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BA6B9" w14:textId="77777777" w:rsidR="00D10D81" w:rsidRDefault="00D10D81" w:rsidP="00D10D81">
      <w:pPr>
        <w:spacing w:line="276" w:lineRule="auto"/>
      </w:pPr>
      <w:r>
        <w:rPr>
          <w:b/>
          <w:bCs/>
          <w:sz w:val="22"/>
          <w:szCs w:val="22"/>
        </w:rPr>
        <w:t xml:space="preserve">Table S1. </w:t>
      </w:r>
      <w:r>
        <w:rPr>
          <w:sz w:val="22"/>
          <w:szCs w:val="22"/>
        </w:rPr>
        <w:t>Day-by-day trajectory of hematologic parameters and derived ratios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7"/>
        <w:gridCol w:w="1427"/>
        <w:gridCol w:w="2089"/>
        <w:gridCol w:w="2089"/>
        <w:gridCol w:w="2089"/>
        <w:gridCol w:w="2089"/>
        <w:gridCol w:w="2196"/>
        <w:gridCol w:w="984"/>
      </w:tblGrid>
      <w:tr w:rsidR="00D10D81" w:rsidRPr="007E66DF" w14:paraId="34D84F30" w14:textId="77777777" w:rsidTr="003A6638">
        <w:trPr>
          <w:trHeight w:val="340"/>
        </w:trPr>
        <w:tc>
          <w:tcPr>
            <w:tcW w:w="786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3897EE4F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Parameters</w:t>
            </w:r>
          </w:p>
        </w:tc>
        <w:tc>
          <w:tcPr>
            <w:tcW w:w="464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379E2424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679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8DD51F1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Day 0</w:t>
            </w:r>
          </w:p>
        </w:tc>
        <w:tc>
          <w:tcPr>
            <w:tcW w:w="679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6D9D74B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Day 1</w:t>
            </w:r>
          </w:p>
        </w:tc>
        <w:tc>
          <w:tcPr>
            <w:tcW w:w="679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C93C5C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Day 5</w:t>
            </w:r>
          </w:p>
        </w:tc>
        <w:tc>
          <w:tcPr>
            <w:tcW w:w="679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C185F8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Day 10</w:t>
            </w:r>
          </w:p>
        </w:tc>
        <w:tc>
          <w:tcPr>
            <w:tcW w:w="714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2E169DC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Group × time effect (95% CI)</w:t>
            </w:r>
          </w:p>
        </w:tc>
        <w:tc>
          <w:tcPr>
            <w:tcW w:w="321" w:type="pct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34AEE6C8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p</w:t>
            </w:r>
          </w:p>
        </w:tc>
      </w:tr>
      <w:tr w:rsidR="00D10D81" w:rsidRPr="007E66DF" w14:paraId="657058DE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962B7AE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Leukocytes (10³/µL)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B2D86D9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C9AF73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12.5 (8.2–16.0)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00BD92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13.2 (8.6–18.5)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1962F31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16.9 (11.1–22.2)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99D40F7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15.5 (11.2–24.1)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0D23F9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1.25 (1.01; 1.55)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DE4100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0.039</w:t>
            </w:r>
          </w:p>
        </w:tc>
      </w:tr>
      <w:tr w:rsidR="00D10D81" w:rsidRPr="007E66DF" w14:paraId="10A58592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220E1B83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242226C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0E2F34B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10.4 (7.5–14.3)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440551A1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11.4 (7.3–15.2)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B19537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15.2 (11.1–21.4)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35A4157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19.3 (13.1–25.7)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2D814CC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66A2DA81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  <w:tr w:rsidR="00D10D81" w:rsidRPr="007E66DF" w14:paraId="2D726678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901EB6F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Neutrophils (10³/µL)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9B1E069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7FAE2E0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10.4 (7.4–14.5)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EDE973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12.0 (7.5–16.4)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C5B419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15.8 (9.4–21.1)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3F105D1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14.1 (9.7–21.9)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078FE57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1.25 (1.00; 1.56)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C21A2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0.049</w:t>
            </w:r>
          </w:p>
        </w:tc>
      </w:tr>
      <w:tr w:rsidR="00D10D81" w:rsidRPr="007E66DF" w14:paraId="62629357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8D1DFB0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467F3176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899637F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9.2 (6.2–12.4)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4F8ABAA1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10.0 (6.5–13.6)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82694DF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13.8 (9.8–19.4)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B29F57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16.4 (11.0–23.0)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33B9E65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DC7505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  <w:tr w:rsidR="00D10D81" w:rsidRPr="007E66DF" w14:paraId="0EDEE330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ABB5A2D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Lymphocytes (10³/µL)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07F6DEF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3A9076C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0.6 (0.4–0.8)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68E8A68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 (0.3–0.9)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560AAC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 (0.3–0.8)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883B727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 (0.4–0.9)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0165BD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0.93 (0.73; 1.19)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4CE069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0.572</w:t>
            </w:r>
          </w:p>
        </w:tc>
      </w:tr>
      <w:tr w:rsidR="00D10D81" w:rsidRPr="007E66DF" w14:paraId="6965EE68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7BE5B3E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CBF12D7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4942C09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0.7 (0.4–1.0)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20E3055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 (0.4–0.8)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4050EC6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0.4 (0.3–0.7)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B8A8A7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0.6 (0.3–0.8)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0CEF60B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565DD94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  <w:tr w:rsidR="00D10D81" w:rsidRPr="007E66DF" w14:paraId="1C1F6E29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677F5A9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Monocytes (10³/µL)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317FAC2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9FBBE5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0.4 (0.2–0.6)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9C0FB1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0.4 (0.2–0.6)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B6DC77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 (0.3–0.7)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D8A3B2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0.4 (0.2–0.8)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B0D45D4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0.87 (0.64; 1.17)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73CA1F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0.358</w:t>
            </w:r>
          </w:p>
        </w:tc>
      </w:tr>
      <w:tr w:rsidR="00D10D81" w:rsidRPr="007E66DF" w14:paraId="57443D59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CD1C90C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71ACD5E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A455A4C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0.3 (0.2–0.5)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51A61CE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0.3 (0.2–0.4)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6CB0B21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0.3 (0.3–0.6)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51AD488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0.3 (0.2–0.6)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FC4BFD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3A0119B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  <w:tr w:rsidR="00D10D81" w:rsidRPr="007E66DF" w14:paraId="0062DDB6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FF25E30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Eosinophils (10³/µL)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01455FE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733C32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7D336E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CEE973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(0.00–0.01)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82CA5A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(0.00–0.02)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3DC9F43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1.04 (0.98; 1.11)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1D696C5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0.231</w:t>
            </w:r>
          </w:p>
        </w:tc>
      </w:tr>
      <w:tr w:rsidR="00D10D81" w:rsidRPr="007E66DF" w14:paraId="16F8FA6A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6BE02FEF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29BD319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EFE1DE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5CE0D1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CDA2EC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59429F3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0.00 (0.00–0.01)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6BE360C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0D0514B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  <w:tr w:rsidR="00D10D81" w:rsidRPr="007E66DF" w14:paraId="751375ED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8AB7BFD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Neutrophil-to-lymphocyte ratio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5C07DB1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4A2AE8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17.0 (9.5–28.1)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00EC9A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22.2 (11.7–34.4)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25B36F5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28.2 (17.5–44.0)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058115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26.2 (15.3–43.9)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D9D5918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1.34 (1.02; 1.76)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86FD38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0.037</w:t>
            </w:r>
          </w:p>
        </w:tc>
      </w:tr>
      <w:tr w:rsidR="00D10D81" w:rsidRPr="007E66DF" w14:paraId="0EB1FAFE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069FFDD0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42D8B9A7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0F571223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14.4 (7.6–25.1)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A5F93B8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16.3 (10.5–27.8)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5FB2CCD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32.1 (21.5–54.0)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696A1E03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28.8 (15.9–45.3)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270E503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6B289390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  <w:tr w:rsidR="00D10D81" w:rsidRPr="007E66DF" w14:paraId="2B6C2FB6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CF6A987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Platelet-to-lymphocyte ratio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DD29647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2DC13C3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417.3 (278.8–611.5)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FEEDDF5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458.4 (306.1–728.6)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9C5C9BC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441.0 (231.9–754.4)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3D900F3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355.6 (233.7–618.0)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70620F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1.15 (0.86; 1.55)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12BE13A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0.342</w:t>
            </w:r>
          </w:p>
        </w:tc>
      </w:tr>
      <w:tr w:rsidR="00D10D81" w:rsidRPr="007E66DF" w14:paraId="13AF8F2E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06F1116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6FEF6D21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4F3A79C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338.8 (223.5–519.8)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15FC68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419.6 (296.0–737.1)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2250EC96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511.3 (374.1–808.7)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1590F66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304.8 (212.5–573.3)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7549CB4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2B090272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  <w:tr w:rsidR="00D10D81" w:rsidRPr="007E66DF" w14:paraId="08239BFA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114A14A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b/>
                <w:bCs/>
                <w:sz w:val="21"/>
                <w:szCs w:val="21"/>
              </w:rPr>
              <w:t>Monocyte-to-lymphocyte ratio</w:t>
            </w: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F7C7BF6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Low dose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5AC4B50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0.63 (0.40–1.04)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DD1DF5B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0.74 (0.41–1.05)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7726EBD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0.83 (0.49–1.28)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C0F29D8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0.76 (0.52–1.37)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C50D80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0.93 (0.70; 1.24)</w:t>
            </w: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EA3ACA9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0.643</w:t>
            </w:r>
          </w:p>
        </w:tc>
      </w:tr>
      <w:tr w:rsidR="00D10D81" w:rsidRPr="007E66DF" w14:paraId="1AEB8708" w14:textId="77777777" w:rsidTr="003A6638">
        <w:trPr>
          <w:trHeight w:val="340"/>
        </w:trPr>
        <w:tc>
          <w:tcPr>
            <w:tcW w:w="786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9236B5C" w14:textId="77777777" w:rsidR="00D10D81" w:rsidRPr="007E66DF" w:rsidRDefault="00D10D81" w:rsidP="003A6638">
            <w:pPr>
              <w:rPr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3EDA8256" w14:textId="77777777" w:rsidR="00D10D81" w:rsidRPr="007E66DF" w:rsidRDefault="00D10D81" w:rsidP="003A6638">
            <w:pPr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Pulse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FC6F5E1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0.56 (0.34–0.72)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6ED3B45E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0.54 (0.35–0.71)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ABB6F1C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0.79 (0.52–1.31)</w:t>
            </w:r>
          </w:p>
        </w:tc>
        <w:tc>
          <w:tcPr>
            <w:tcW w:w="679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3A273D8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  <w:r w:rsidRPr="007E66DF">
              <w:rPr>
                <w:sz w:val="21"/>
                <w:szCs w:val="21"/>
              </w:rPr>
              <w:t>0.64 (0.40–1.04)</w:t>
            </w:r>
          </w:p>
        </w:tc>
        <w:tc>
          <w:tcPr>
            <w:tcW w:w="714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A42E3CF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32A5AD5" w14:textId="77777777" w:rsidR="00D10D81" w:rsidRPr="007E66DF" w:rsidRDefault="00D10D81" w:rsidP="003A6638">
            <w:pPr>
              <w:jc w:val="center"/>
              <w:rPr>
                <w:sz w:val="21"/>
                <w:szCs w:val="21"/>
              </w:rPr>
            </w:pPr>
          </w:p>
        </w:tc>
      </w:tr>
    </w:tbl>
    <w:p w14:paraId="58A7F5BA" w14:textId="77777777" w:rsidR="00D10D81" w:rsidRPr="002427A6" w:rsidRDefault="00D10D81" w:rsidP="00D10D81">
      <w:pPr>
        <w:jc w:val="both"/>
        <w:rPr>
          <w:sz w:val="22"/>
          <w:szCs w:val="22"/>
        </w:rPr>
        <w:sectPr w:rsidR="00D10D81" w:rsidRPr="002427A6" w:rsidSect="00D10D81">
          <w:pgSz w:w="16820" w:h="11900" w:orient="landscape"/>
          <w:pgMar w:top="567" w:right="720" w:bottom="567" w:left="720" w:header="709" w:footer="709" w:gutter="0"/>
          <w:cols w:space="708"/>
          <w:docGrid w:linePitch="360"/>
        </w:sectPr>
      </w:pPr>
      <w:r w:rsidRPr="002427A6">
        <w:rPr>
          <w:sz w:val="22"/>
          <w:szCs w:val="22"/>
        </w:rPr>
        <w:t xml:space="preserve">Format and statistical approach are the same as in Table 3. Cell values are given as median (Q1–Q3); eosinophil counts and the monocyte-to-lymphocyte ratio are given to two decimal places because of their small magnitude. Neutrophil-to-lymphocyte, platelet-to-lymphocyte, and monocyte-to-lymphocyte ratios were derived from the available hematologic counts. After Benjamini-Hochberg correction, </w:t>
      </w:r>
      <w:r w:rsidRPr="002427A6">
        <w:rPr>
          <w:b/>
          <w:bCs/>
          <w:sz w:val="22"/>
          <w:szCs w:val="22"/>
        </w:rPr>
        <w:t>no parameter showed a significant between-group difference</w:t>
      </w:r>
      <w:r w:rsidRPr="002427A6">
        <w:rPr>
          <w:sz w:val="22"/>
          <w:szCs w:val="22"/>
        </w:rPr>
        <w:t>. CI, confidence interval.</w:t>
      </w:r>
    </w:p>
    <w:p w14:paraId="4199932B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81"/>
    <w:rsid w:val="00195413"/>
    <w:rsid w:val="003A03A7"/>
    <w:rsid w:val="003D0186"/>
    <w:rsid w:val="004F7605"/>
    <w:rsid w:val="007278E4"/>
    <w:rsid w:val="00A3738C"/>
    <w:rsid w:val="00B91ABC"/>
    <w:rsid w:val="00BC6C35"/>
    <w:rsid w:val="00CB270D"/>
    <w:rsid w:val="00CF7583"/>
    <w:rsid w:val="00D10D81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0FCF5"/>
  <w15:chartTrackingRefBased/>
  <w15:docId w15:val="{8DC91FA4-8FB3-4449-BF24-A8EE89FE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D81"/>
    <w:rPr>
      <w:rFonts w:ascii="Times New Roman" w:hAnsi="Times New Roman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D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D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D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D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D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D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D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D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D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10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D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10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D81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10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D81"/>
    <w:pPr>
      <w:ind w:left="720"/>
      <w:contextualSpacing/>
    </w:pPr>
    <w:rPr>
      <w:rFonts w:asciiTheme="minorHAnsi" w:hAnsiTheme="minorHAnsi"/>
      <w:lang w:val="en-US"/>
    </w:rPr>
  </w:style>
  <w:style w:type="character" w:styleId="IntenseEmphasis">
    <w:name w:val="Intense Emphasis"/>
    <w:basedOn w:val="DefaultParagraphFont"/>
    <w:uiPriority w:val="21"/>
    <w:qFormat/>
    <w:rsid w:val="00D10D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D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Company>Springer Nature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2026-08-11T06:29:00Z</dcterms:created>
  <dcterms:modified xsi:type="dcterms:W3CDTF">2026-08-11T06:30:00Z</dcterms:modified>
</cp:coreProperties>
</file>