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ABB69" w14:textId="77777777" w:rsidR="00EC27A1"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32"/>
          <w:szCs w:val="32"/>
        </w:rPr>
        <w:t>SUPPLEMENTARY MATERIAL</w:t>
      </w:r>
      <w:r>
        <w:rPr>
          <w:rFonts w:ascii="Times New Roman" w:eastAsia="Times New Roman" w:hAnsi="Times New Roman" w:cs="Times New Roman"/>
          <w:color w:val="000000"/>
          <w:sz w:val="32"/>
          <w:szCs w:val="32"/>
        </w:rPr>
        <w:t> </w:t>
      </w:r>
    </w:p>
    <w:p w14:paraId="56B482CF" w14:textId="77777777" w:rsidR="00EC27A1"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32"/>
          <w:szCs w:val="32"/>
        </w:rPr>
        <w:t> </w:t>
      </w:r>
    </w:p>
    <w:p w14:paraId="660B2CF8" w14:textId="77777777" w:rsidR="00EC27A1" w:rsidRDefault="00000000">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Oral Anticoagulation with or without Antiplatelet Therapy for Secondary Stroke Prevention in Patients with Atrial Fibrillation and Atherosclerosis: A Systematic Review and Meta-Analysis</w:t>
      </w:r>
    </w:p>
    <w:p w14:paraId="55C903E7" w14:textId="77777777" w:rsidR="00EC27A1" w:rsidRDefault="00EC27A1">
      <w:pPr>
        <w:jc w:val="center"/>
      </w:pPr>
    </w:p>
    <w:p w14:paraId="1BA79EA5" w14:textId="77777777" w:rsidR="00EC27A1" w:rsidRDefault="00EC27A1">
      <w:pPr>
        <w:rPr>
          <w:rFonts w:ascii="Times New Roman" w:eastAsia="Times New Roman" w:hAnsi="Times New Roman" w:cs="Times New Roman"/>
        </w:rPr>
      </w:pPr>
    </w:p>
    <w:p w14:paraId="087DDEBC" w14:textId="77777777" w:rsidR="00EC27A1" w:rsidRDefault="00EC27A1">
      <w:pPr>
        <w:rPr>
          <w:rFonts w:ascii="Times New Roman" w:eastAsia="Times New Roman" w:hAnsi="Times New Roman" w:cs="Times New Roman"/>
        </w:rPr>
      </w:pPr>
    </w:p>
    <w:p w14:paraId="5FD68E03" w14:textId="77777777" w:rsidR="00EC27A1" w:rsidRDefault="00EC27A1">
      <w:pPr>
        <w:rPr>
          <w:rFonts w:ascii="Times New Roman" w:eastAsia="Times New Roman" w:hAnsi="Times New Roman" w:cs="Times New Roman"/>
        </w:rPr>
      </w:pPr>
    </w:p>
    <w:p w14:paraId="45130060" w14:textId="77777777" w:rsidR="00EC27A1" w:rsidRDefault="00EC27A1">
      <w:pPr>
        <w:rPr>
          <w:rFonts w:ascii="Times New Roman" w:eastAsia="Times New Roman" w:hAnsi="Times New Roman" w:cs="Times New Roman"/>
        </w:rPr>
      </w:pPr>
    </w:p>
    <w:p w14:paraId="05024350" w14:textId="77777777" w:rsidR="00EC27A1" w:rsidRDefault="00EC27A1">
      <w:pPr>
        <w:rPr>
          <w:rFonts w:ascii="Times New Roman" w:eastAsia="Times New Roman" w:hAnsi="Times New Roman" w:cs="Times New Roman"/>
        </w:rPr>
      </w:pPr>
    </w:p>
    <w:p w14:paraId="42DCFEC6" w14:textId="77777777" w:rsidR="00EC27A1" w:rsidRDefault="00EC27A1">
      <w:pPr>
        <w:rPr>
          <w:rFonts w:ascii="Times New Roman" w:eastAsia="Times New Roman" w:hAnsi="Times New Roman" w:cs="Times New Roman"/>
        </w:rPr>
      </w:pPr>
    </w:p>
    <w:p w14:paraId="3326B9F0" w14:textId="77777777" w:rsidR="00EC27A1" w:rsidRDefault="00EC27A1">
      <w:pPr>
        <w:rPr>
          <w:rFonts w:ascii="Times New Roman" w:eastAsia="Times New Roman" w:hAnsi="Times New Roman" w:cs="Times New Roman"/>
        </w:rPr>
      </w:pPr>
    </w:p>
    <w:p w14:paraId="6FB7F504" w14:textId="77777777" w:rsidR="00EC27A1" w:rsidRDefault="00EC27A1">
      <w:pPr>
        <w:rPr>
          <w:rFonts w:ascii="Times New Roman" w:eastAsia="Times New Roman" w:hAnsi="Times New Roman" w:cs="Times New Roman"/>
        </w:rPr>
      </w:pPr>
    </w:p>
    <w:p w14:paraId="7F3F8991" w14:textId="77777777" w:rsidR="00EC27A1" w:rsidRDefault="00EC27A1">
      <w:pPr>
        <w:rPr>
          <w:rFonts w:ascii="Times New Roman" w:eastAsia="Times New Roman" w:hAnsi="Times New Roman" w:cs="Times New Roman"/>
        </w:rPr>
      </w:pPr>
    </w:p>
    <w:p w14:paraId="438D8E44" w14:textId="77777777" w:rsidR="00EC27A1" w:rsidRDefault="00EC27A1">
      <w:pPr>
        <w:rPr>
          <w:rFonts w:ascii="Times New Roman" w:eastAsia="Times New Roman" w:hAnsi="Times New Roman" w:cs="Times New Roman"/>
        </w:rPr>
      </w:pPr>
    </w:p>
    <w:p w14:paraId="289793A8" w14:textId="77777777" w:rsidR="00EC27A1" w:rsidRDefault="00EC27A1">
      <w:pPr>
        <w:rPr>
          <w:rFonts w:ascii="Times New Roman" w:eastAsia="Times New Roman" w:hAnsi="Times New Roman" w:cs="Times New Roman"/>
        </w:rPr>
      </w:pPr>
    </w:p>
    <w:p w14:paraId="5A085C69" w14:textId="77777777" w:rsidR="00EC27A1" w:rsidRDefault="00EC27A1">
      <w:pPr>
        <w:rPr>
          <w:rFonts w:ascii="Times New Roman" w:eastAsia="Times New Roman" w:hAnsi="Times New Roman" w:cs="Times New Roman"/>
        </w:rPr>
      </w:pPr>
    </w:p>
    <w:p w14:paraId="0DCE13D2" w14:textId="77777777" w:rsidR="00EC27A1" w:rsidRDefault="00EC27A1">
      <w:pPr>
        <w:rPr>
          <w:rFonts w:ascii="Times New Roman" w:eastAsia="Times New Roman" w:hAnsi="Times New Roman" w:cs="Times New Roman"/>
        </w:rPr>
      </w:pPr>
    </w:p>
    <w:p w14:paraId="35DB1371" w14:textId="77777777" w:rsidR="00EC27A1" w:rsidRDefault="00EC27A1">
      <w:pPr>
        <w:rPr>
          <w:rFonts w:ascii="Times New Roman" w:eastAsia="Times New Roman" w:hAnsi="Times New Roman" w:cs="Times New Roman"/>
        </w:rPr>
      </w:pPr>
    </w:p>
    <w:p w14:paraId="308599B6" w14:textId="77777777" w:rsidR="00EC27A1" w:rsidRDefault="00EC27A1">
      <w:pPr>
        <w:rPr>
          <w:rFonts w:ascii="Times New Roman" w:eastAsia="Times New Roman" w:hAnsi="Times New Roman" w:cs="Times New Roman"/>
        </w:rPr>
      </w:pPr>
    </w:p>
    <w:p w14:paraId="1066B5C9" w14:textId="77777777" w:rsidR="00EC27A1" w:rsidRDefault="00EC27A1">
      <w:pPr>
        <w:rPr>
          <w:rFonts w:ascii="Times New Roman" w:eastAsia="Times New Roman" w:hAnsi="Times New Roman" w:cs="Times New Roman"/>
        </w:rPr>
      </w:pPr>
    </w:p>
    <w:p w14:paraId="4F588B41" w14:textId="77777777" w:rsidR="00EC27A1" w:rsidRDefault="00EC27A1">
      <w:pPr>
        <w:rPr>
          <w:rFonts w:ascii="Times New Roman" w:eastAsia="Times New Roman" w:hAnsi="Times New Roman" w:cs="Times New Roman"/>
        </w:rPr>
      </w:pPr>
    </w:p>
    <w:p w14:paraId="12E30F0A" w14:textId="77777777" w:rsidR="00EC27A1" w:rsidRDefault="00EC27A1">
      <w:pPr>
        <w:rPr>
          <w:rFonts w:ascii="Times New Roman" w:eastAsia="Times New Roman" w:hAnsi="Times New Roman" w:cs="Times New Roman"/>
        </w:rPr>
      </w:pPr>
    </w:p>
    <w:p w14:paraId="2BC49E9E" w14:textId="77777777" w:rsidR="00EC27A1" w:rsidRDefault="00EC27A1">
      <w:pPr>
        <w:rPr>
          <w:rFonts w:ascii="Times New Roman" w:eastAsia="Times New Roman" w:hAnsi="Times New Roman" w:cs="Times New Roman"/>
        </w:rPr>
      </w:pPr>
    </w:p>
    <w:p w14:paraId="3105DEC7" w14:textId="77777777" w:rsidR="00EC27A1" w:rsidRDefault="00EC27A1">
      <w:pPr>
        <w:rPr>
          <w:rFonts w:ascii="Times New Roman" w:eastAsia="Times New Roman" w:hAnsi="Times New Roman" w:cs="Times New Roman"/>
        </w:rPr>
      </w:pPr>
    </w:p>
    <w:p w14:paraId="494047CB" w14:textId="77777777" w:rsidR="00EC27A1" w:rsidRDefault="00EC27A1">
      <w:pPr>
        <w:rPr>
          <w:rFonts w:ascii="Times New Roman" w:eastAsia="Times New Roman" w:hAnsi="Times New Roman" w:cs="Times New Roman"/>
        </w:rPr>
      </w:pPr>
    </w:p>
    <w:p w14:paraId="420F05DF" w14:textId="77777777" w:rsidR="00EC27A1" w:rsidRDefault="00EC27A1">
      <w:pPr>
        <w:rPr>
          <w:rFonts w:ascii="Times New Roman" w:eastAsia="Times New Roman" w:hAnsi="Times New Roman" w:cs="Times New Roman"/>
        </w:rPr>
      </w:pPr>
    </w:p>
    <w:p w14:paraId="55610EA8" w14:textId="77777777" w:rsidR="00EC27A1" w:rsidRDefault="00EC27A1">
      <w:pPr>
        <w:rPr>
          <w:rFonts w:ascii="Times New Roman" w:eastAsia="Times New Roman" w:hAnsi="Times New Roman" w:cs="Times New Roman"/>
        </w:rPr>
      </w:pPr>
    </w:p>
    <w:p w14:paraId="077C2A49" w14:textId="77777777" w:rsidR="00EC27A1" w:rsidRDefault="00EC27A1">
      <w:pPr>
        <w:rPr>
          <w:rFonts w:ascii="Times New Roman" w:eastAsia="Times New Roman" w:hAnsi="Times New Roman" w:cs="Times New Roman"/>
        </w:rPr>
      </w:pPr>
    </w:p>
    <w:p w14:paraId="416EF189" w14:textId="77777777" w:rsidR="00EC27A1" w:rsidRDefault="00EC27A1">
      <w:pPr>
        <w:rPr>
          <w:rFonts w:ascii="Times New Roman" w:eastAsia="Times New Roman" w:hAnsi="Times New Roman" w:cs="Times New Roman"/>
        </w:rPr>
      </w:pPr>
    </w:p>
    <w:p w14:paraId="5834E564" w14:textId="77777777" w:rsidR="00EC27A1" w:rsidRDefault="00EC27A1">
      <w:pPr>
        <w:rPr>
          <w:rFonts w:ascii="Times New Roman" w:eastAsia="Times New Roman" w:hAnsi="Times New Roman" w:cs="Times New Roman"/>
          <w:b/>
          <w:bCs/>
          <w:sz w:val="28"/>
          <w:szCs w:val="28"/>
          <w:highlight w:val="white"/>
        </w:rPr>
      </w:pPr>
    </w:p>
    <w:p w14:paraId="00511841" w14:textId="77777777" w:rsidR="00EC27A1" w:rsidRDefault="00EC27A1">
      <w:pPr>
        <w:rPr>
          <w:rFonts w:ascii="Times New Roman" w:eastAsia="Times New Roman" w:hAnsi="Times New Roman" w:cs="Times New Roman"/>
          <w:b/>
          <w:bCs/>
          <w:sz w:val="28"/>
          <w:szCs w:val="28"/>
          <w:highlight w:val="white"/>
        </w:rPr>
      </w:pPr>
    </w:p>
    <w:p w14:paraId="421C30CF" w14:textId="77777777" w:rsidR="00EC27A1" w:rsidRDefault="00000000">
      <w:pPr>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bCs/>
          <w:color w:val="000000"/>
          <w:sz w:val="24"/>
          <w:szCs w:val="24"/>
          <w:highlight w:val="white"/>
        </w:rPr>
        <w:t>TABLE OF CONTENTS</w:t>
      </w:r>
    </w:p>
    <w:p w14:paraId="4E893BB5" w14:textId="77777777" w:rsidR="00EC27A1" w:rsidRDefault="00EC27A1">
      <w:pPr>
        <w:rPr>
          <w:rFonts w:ascii="Times New Roman" w:eastAsia="Times New Roman" w:hAnsi="Times New Roman" w:cs="Times New Roman"/>
          <w:b/>
          <w:bCs/>
          <w:color w:val="000000"/>
          <w:sz w:val="24"/>
          <w:szCs w:val="24"/>
          <w:highlight w:val="white"/>
        </w:rPr>
      </w:pPr>
    </w:p>
    <w:p w14:paraId="01C47410" w14:textId="77777777" w:rsidR="00EC27A1" w:rsidRDefault="00000000">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 Supplementary Table S1. </w:t>
      </w:r>
      <w:r>
        <w:rPr>
          <w:rFonts w:ascii="Times New Roman" w:eastAsia="Times New Roman" w:hAnsi="Times New Roman" w:cs="Times New Roman"/>
          <w:color w:val="000000"/>
          <w:sz w:val="24"/>
          <w:szCs w:val="24"/>
        </w:rPr>
        <w:t>Details of the Search Strategy According to the Database</w:t>
      </w:r>
    </w:p>
    <w:p w14:paraId="68A52D1A" w14:textId="77777777" w:rsidR="00EC27A1" w:rsidRDefault="00000000">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 Supplementary Table S2. </w:t>
      </w:r>
      <w:r>
        <w:rPr>
          <w:rFonts w:ascii="Times New Roman" w:eastAsia="Times New Roman" w:hAnsi="Times New Roman" w:cs="Times New Roman"/>
          <w:color w:val="000000"/>
          <w:sz w:val="24"/>
          <w:szCs w:val="24"/>
        </w:rPr>
        <w:t xml:space="preserve">Definitions of </w:t>
      </w:r>
      <w:r>
        <w:rPr>
          <w:rFonts w:ascii="Times New Roman" w:eastAsia="Times New Roman" w:hAnsi="Times New Roman" w:cs="Times New Roman"/>
          <w:sz w:val="24"/>
          <w:szCs w:val="24"/>
        </w:rPr>
        <w:t xml:space="preserve">vascular composite outcome </w:t>
      </w:r>
      <w:r>
        <w:rPr>
          <w:rFonts w:ascii="Times New Roman" w:eastAsia="Times New Roman" w:hAnsi="Times New Roman" w:cs="Times New Roman"/>
          <w:color w:val="000000"/>
          <w:sz w:val="24"/>
          <w:szCs w:val="24"/>
        </w:rPr>
        <w:t>and major bleeding in each included study.</w:t>
      </w:r>
    </w:p>
    <w:p w14:paraId="23C02D7E" w14:textId="77777777" w:rsidR="00EC27A1" w:rsidRDefault="00000000">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 Supplementary Table S3.</w:t>
      </w:r>
      <w:r>
        <w:rPr>
          <w:rFonts w:ascii="Times New Roman" w:eastAsia="Times New Roman" w:hAnsi="Times New Roman" w:cs="Times New Roman"/>
          <w:color w:val="000000"/>
          <w:sz w:val="24"/>
          <w:szCs w:val="24"/>
        </w:rPr>
        <w:t xml:space="preserve"> Definitions of intra/extracranial arteries in each included study.</w:t>
      </w:r>
    </w:p>
    <w:p w14:paraId="1E9E0C99" w14:textId="77777777" w:rsidR="00EC27A1" w:rsidRDefault="00000000">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4. Supplementary Table S4. </w:t>
      </w:r>
      <w:r>
        <w:rPr>
          <w:rFonts w:ascii="Times New Roman" w:eastAsia="Times New Roman" w:hAnsi="Times New Roman" w:cs="Times New Roman"/>
          <w:color w:val="000000"/>
          <w:sz w:val="24"/>
          <w:szCs w:val="24"/>
        </w:rPr>
        <w:t>Detailed ROBINS-I Assessment</w:t>
      </w:r>
    </w:p>
    <w:p w14:paraId="30560A8C" w14:textId="77777777" w:rsidR="00EC27A1" w:rsidRDefault="00000000">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 Supplementary Table S</w:t>
      </w:r>
      <w:r>
        <w:rPr>
          <w:rFonts w:ascii="Times New Roman" w:eastAsia="Times New Roman" w:hAnsi="Times New Roman" w:cs="Times New Roman"/>
          <w:b/>
          <w:bCs/>
          <w:sz w:val="24"/>
          <w:szCs w:val="24"/>
        </w:rPr>
        <w:t>5</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Detailed </w:t>
      </w:r>
      <w:proofErr w:type="spellStart"/>
      <w:r>
        <w:rPr>
          <w:rFonts w:ascii="Times New Roman" w:eastAsia="Times New Roman" w:hAnsi="Times New Roman" w:cs="Times New Roman"/>
          <w:color w:val="000000"/>
          <w:sz w:val="24"/>
          <w:szCs w:val="24"/>
        </w:rPr>
        <w:t>RoB</w:t>
      </w:r>
      <w:proofErr w:type="spellEnd"/>
      <w:r>
        <w:rPr>
          <w:rFonts w:ascii="Times New Roman" w:eastAsia="Times New Roman" w:hAnsi="Times New Roman" w:cs="Times New Roman"/>
          <w:color w:val="000000"/>
          <w:sz w:val="24"/>
          <w:szCs w:val="24"/>
        </w:rPr>
        <w:t xml:space="preserve"> 2.0 Assessment</w:t>
      </w:r>
    </w:p>
    <w:p w14:paraId="6FDF62D7" w14:textId="77777777" w:rsidR="00EC27A1" w:rsidRDefault="00000000">
      <w:pPr>
        <w:spacing w:line="276" w:lineRule="auto"/>
        <w:rPr>
          <w:rFonts w:ascii="Times New Roman" w:eastAsia="Times New Roman" w:hAnsi="Times New Roman" w:cs="Times New Roman"/>
          <w:color w:val="FF0000"/>
          <w:sz w:val="24"/>
          <w:szCs w:val="24"/>
        </w:rPr>
      </w:pPr>
      <w:r>
        <w:rPr>
          <w:rFonts w:ascii="Times New Roman" w:eastAsia="Times New Roman" w:hAnsi="Times New Roman" w:cs="Times New Roman"/>
          <w:b/>
          <w:bCs/>
          <w:color w:val="000000"/>
          <w:sz w:val="24"/>
          <w:szCs w:val="24"/>
        </w:rPr>
        <w:t>6. Supplementary Figure S1.</w:t>
      </w:r>
      <w:r>
        <w:rPr>
          <w:rFonts w:ascii="Times New Roman" w:eastAsia="Times New Roman" w:hAnsi="Times New Roman" w:cs="Times New Roman"/>
          <w:color w:val="000000"/>
          <w:sz w:val="24"/>
          <w:szCs w:val="24"/>
        </w:rPr>
        <w:t xml:space="preserve"> Sensitivity analysis for outcomes with moderate to high heterogeneity.</w:t>
      </w:r>
    </w:p>
    <w:p w14:paraId="67DFC4F8" w14:textId="77777777" w:rsidR="00EC27A1" w:rsidRDefault="00EC27A1">
      <w:pPr>
        <w:rPr>
          <w:rFonts w:ascii="Times New Roman" w:eastAsia="Times New Roman" w:hAnsi="Times New Roman" w:cs="Times New Roman"/>
          <w:color w:val="000000"/>
          <w:sz w:val="24"/>
          <w:szCs w:val="24"/>
        </w:rPr>
      </w:pPr>
    </w:p>
    <w:p w14:paraId="0E944978" w14:textId="77777777" w:rsidR="00EC27A1" w:rsidRDefault="00EC27A1">
      <w:pPr>
        <w:rPr>
          <w:rFonts w:ascii="Times New Roman" w:eastAsia="Times New Roman" w:hAnsi="Times New Roman" w:cs="Times New Roman"/>
          <w:sz w:val="24"/>
          <w:szCs w:val="24"/>
        </w:rPr>
      </w:pPr>
    </w:p>
    <w:p w14:paraId="69D33F3B" w14:textId="77777777" w:rsidR="00EC27A1"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82DB4F0" w14:textId="77777777" w:rsidR="00EC27A1" w:rsidRDefault="00EC27A1">
      <w:pPr>
        <w:rPr>
          <w:rFonts w:ascii="Times New Roman" w:eastAsia="Times New Roman" w:hAnsi="Times New Roman" w:cs="Times New Roman"/>
          <w:b/>
          <w:bCs/>
          <w:color w:val="000000"/>
          <w:sz w:val="24"/>
          <w:szCs w:val="24"/>
          <w:highlight w:val="white"/>
        </w:rPr>
      </w:pPr>
    </w:p>
    <w:p w14:paraId="3C835AB7" w14:textId="77777777" w:rsidR="00EC27A1" w:rsidRDefault="00EC27A1">
      <w:pPr>
        <w:rPr>
          <w:rFonts w:ascii="Times New Roman" w:eastAsia="Times New Roman" w:hAnsi="Times New Roman" w:cs="Times New Roman"/>
          <w:b/>
          <w:bCs/>
          <w:color w:val="000000"/>
          <w:sz w:val="24"/>
          <w:szCs w:val="24"/>
          <w:highlight w:val="white"/>
        </w:rPr>
      </w:pPr>
    </w:p>
    <w:p w14:paraId="163BFE2B" w14:textId="77777777" w:rsidR="00EC27A1" w:rsidRDefault="00EC27A1">
      <w:pPr>
        <w:rPr>
          <w:rFonts w:ascii="Times New Roman" w:eastAsia="Times New Roman" w:hAnsi="Times New Roman" w:cs="Times New Roman"/>
          <w:b/>
          <w:bCs/>
          <w:color w:val="000000"/>
          <w:sz w:val="24"/>
          <w:szCs w:val="24"/>
          <w:highlight w:val="white"/>
        </w:rPr>
      </w:pPr>
    </w:p>
    <w:p w14:paraId="16926960" w14:textId="77777777" w:rsidR="00EC27A1" w:rsidRDefault="00EC27A1">
      <w:pPr>
        <w:rPr>
          <w:rFonts w:ascii="Times New Roman" w:eastAsia="Times New Roman" w:hAnsi="Times New Roman" w:cs="Times New Roman"/>
          <w:b/>
          <w:bCs/>
          <w:color w:val="000000"/>
          <w:sz w:val="24"/>
          <w:szCs w:val="24"/>
          <w:highlight w:val="white"/>
        </w:rPr>
      </w:pPr>
    </w:p>
    <w:p w14:paraId="09E152BB" w14:textId="77777777" w:rsidR="00EC27A1" w:rsidRDefault="00EC27A1">
      <w:pPr>
        <w:rPr>
          <w:rFonts w:ascii="Times New Roman" w:eastAsia="Times New Roman" w:hAnsi="Times New Roman" w:cs="Times New Roman"/>
          <w:b/>
          <w:bCs/>
          <w:color w:val="000000"/>
          <w:sz w:val="24"/>
          <w:szCs w:val="24"/>
          <w:highlight w:val="white"/>
        </w:rPr>
      </w:pPr>
    </w:p>
    <w:p w14:paraId="242F9505" w14:textId="77777777" w:rsidR="00EC27A1" w:rsidRDefault="00EC27A1">
      <w:pPr>
        <w:rPr>
          <w:rFonts w:ascii="Times New Roman" w:eastAsia="Times New Roman" w:hAnsi="Times New Roman" w:cs="Times New Roman"/>
          <w:b/>
          <w:bCs/>
          <w:color w:val="000000"/>
          <w:sz w:val="24"/>
          <w:szCs w:val="24"/>
          <w:highlight w:val="white"/>
        </w:rPr>
      </w:pPr>
    </w:p>
    <w:p w14:paraId="5074A66D" w14:textId="77777777" w:rsidR="00EC27A1" w:rsidRDefault="00EC27A1">
      <w:pPr>
        <w:rPr>
          <w:rFonts w:ascii="Times New Roman" w:eastAsia="Times New Roman" w:hAnsi="Times New Roman" w:cs="Times New Roman"/>
          <w:b/>
          <w:bCs/>
          <w:color w:val="000000"/>
          <w:sz w:val="24"/>
          <w:szCs w:val="24"/>
          <w:highlight w:val="white"/>
        </w:rPr>
      </w:pPr>
    </w:p>
    <w:p w14:paraId="2621739F" w14:textId="77777777" w:rsidR="00EC27A1" w:rsidRDefault="00EC27A1">
      <w:pPr>
        <w:rPr>
          <w:rFonts w:ascii="Times New Roman" w:eastAsia="Times New Roman" w:hAnsi="Times New Roman" w:cs="Times New Roman"/>
          <w:b/>
          <w:bCs/>
          <w:color w:val="000000"/>
          <w:sz w:val="24"/>
          <w:szCs w:val="24"/>
          <w:highlight w:val="white"/>
        </w:rPr>
      </w:pPr>
    </w:p>
    <w:p w14:paraId="6C5D744C" w14:textId="77777777" w:rsidR="00EC27A1" w:rsidRDefault="00EC27A1">
      <w:pPr>
        <w:rPr>
          <w:rFonts w:ascii="Times New Roman" w:eastAsia="Times New Roman" w:hAnsi="Times New Roman" w:cs="Times New Roman"/>
          <w:b/>
          <w:bCs/>
          <w:color w:val="000000"/>
          <w:sz w:val="24"/>
          <w:szCs w:val="24"/>
          <w:highlight w:val="white"/>
        </w:rPr>
      </w:pPr>
    </w:p>
    <w:p w14:paraId="58438A22" w14:textId="77777777" w:rsidR="00EC27A1" w:rsidRDefault="00EC27A1">
      <w:pPr>
        <w:rPr>
          <w:rFonts w:ascii="Times New Roman" w:eastAsia="Times New Roman" w:hAnsi="Times New Roman" w:cs="Times New Roman"/>
          <w:b/>
          <w:bCs/>
          <w:color w:val="000000"/>
          <w:sz w:val="24"/>
          <w:szCs w:val="24"/>
          <w:highlight w:val="white"/>
        </w:rPr>
      </w:pPr>
    </w:p>
    <w:p w14:paraId="3217243A" w14:textId="77777777" w:rsidR="00EC27A1" w:rsidRDefault="00EC27A1">
      <w:pPr>
        <w:rPr>
          <w:rFonts w:ascii="Times New Roman" w:eastAsia="Times New Roman" w:hAnsi="Times New Roman" w:cs="Times New Roman"/>
          <w:b/>
          <w:bCs/>
          <w:color w:val="000000"/>
          <w:sz w:val="24"/>
          <w:szCs w:val="24"/>
          <w:highlight w:val="white"/>
        </w:rPr>
      </w:pPr>
    </w:p>
    <w:p w14:paraId="3CD591CC" w14:textId="77777777" w:rsidR="00EC27A1" w:rsidRDefault="00EC27A1">
      <w:pPr>
        <w:rPr>
          <w:rFonts w:ascii="Times New Roman" w:eastAsia="Times New Roman" w:hAnsi="Times New Roman" w:cs="Times New Roman"/>
          <w:b/>
          <w:bCs/>
          <w:color w:val="000000"/>
          <w:sz w:val="24"/>
          <w:szCs w:val="24"/>
          <w:highlight w:val="white"/>
        </w:rPr>
      </w:pPr>
    </w:p>
    <w:p w14:paraId="684718F2" w14:textId="77777777" w:rsidR="00EC27A1" w:rsidRDefault="00EC27A1">
      <w:pPr>
        <w:spacing w:after="0" w:line="240" w:lineRule="auto"/>
        <w:jc w:val="both"/>
        <w:rPr>
          <w:rFonts w:ascii="Times New Roman" w:eastAsia="Times New Roman" w:hAnsi="Times New Roman" w:cs="Times New Roman"/>
          <w:b/>
          <w:bCs/>
          <w:sz w:val="24"/>
          <w:szCs w:val="24"/>
          <w:highlight w:val="white"/>
        </w:rPr>
      </w:pPr>
    </w:p>
    <w:p w14:paraId="0A94F3F4" w14:textId="77777777" w:rsidR="00EC27A1" w:rsidRDefault="00EC27A1">
      <w:pPr>
        <w:spacing w:after="0" w:line="240" w:lineRule="auto"/>
        <w:jc w:val="both"/>
        <w:rPr>
          <w:rFonts w:ascii="Times New Roman" w:eastAsia="Times New Roman" w:hAnsi="Times New Roman" w:cs="Times New Roman"/>
          <w:b/>
          <w:bCs/>
          <w:sz w:val="24"/>
          <w:szCs w:val="24"/>
          <w:highlight w:val="white"/>
        </w:rPr>
      </w:pPr>
    </w:p>
    <w:p w14:paraId="0F5F8AAC" w14:textId="77777777" w:rsidR="00EC27A1" w:rsidRDefault="00EC27A1">
      <w:pPr>
        <w:spacing w:after="0" w:line="240" w:lineRule="auto"/>
        <w:jc w:val="both"/>
        <w:rPr>
          <w:rFonts w:ascii="Times New Roman" w:eastAsia="Times New Roman" w:hAnsi="Times New Roman" w:cs="Times New Roman"/>
          <w:b/>
          <w:bCs/>
          <w:sz w:val="24"/>
          <w:szCs w:val="24"/>
          <w:highlight w:val="white"/>
        </w:rPr>
      </w:pPr>
    </w:p>
    <w:p w14:paraId="5F579058" w14:textId="77777777" w:rsidR="00EC27A1" w:rsidRDefault="00EC27A1">
      <w:pPr>
        <w:spacing w:after="0" w:line="240" w:lineRule="auto"/>
        <w:jc w:val="both"/>
        <w:rPr>
          <w:rFonts w:ascii="Times New Roman" w:eastAsia="Times New Roman" w:hAnsi="Times New Roman" w:cs="Times New Roman"/>
          <w:b/>
          <w:bCs/>
          <w:sz w:val="24"/>
          <w:szCs w:val="24"/>
        </w:rPr>
      </w:pPr>
    </w:p>
    <w:p w14:paraId="3D497216" w14:textId="77777777" w:rsidR="00EC27A1" w:rsidRDefault="00EC27A1">
      <w:pPr>
        <w:spacing w:after="0" w:line="240" w:lineRule="auto"/>
        <w:jc w:val="both"/>
        <w:rPr>
          <w:rFonts w:ascii="Times New Roman" w:eastAsia="Times New Roman" w:hAnsi="Times New Roman" w:cs="Times New Roman"/>
          <w:b/>
          <w:bCs/>
          <w:sz w:val="24"/>
          <w:szCs w:val="24"/>
        </w:rPr>
      </w:pPr>
    </w:p>
    <w:p w14:paraId="45AA81F8" w14:textId="77777777" w:rsidR="00EC27A1" w:rsidRDefault="00EC27A1">
      <w:pPr>
        <w:spacing w:after="0" w:line="240" w:lineRule="auto"/>
        <w:jc w:val="both"/>
        <w:rPr>
          <w:rFonts w:ascii="Times New Roman" w:eastAsia="Times New Roman" w:hAnsi="Times New Roman" w:cs="Times New Roman"/>
          <w:b/>
          <w:bCs/>
          <w:sz w:val="24"/>
          <w:szCs w:val="24"/>
        </w:rPr>
      </w:pPr>
    </w:p>
    <w:p w14:paraId="3948E7FA" w14:textId="77777777" w:rsidR="00EC27A1" w:rsidRDefault="00EC27A1">
      <w:pPr>
        <w:spacing w:after="0" w:line="240" w:lineRule="auto"/>
        <w:jc w:val="both"/>
        <w:rPr>
          <w:rFonts w:ascii="Times New Roman" w:eastAsia="Times New Roman" w:hAnsi="Times New Roman" w:cs="Times New Roman"/>
          <w:b/>
          <w:bCs/>
          <w:sz w:val="24"/>
          <w:szCs w:val="24"/>
        </w:rPr>
      </w:pPr>
    </w:p>
    <w:p w14:paraId="3CF83657" w14:textId="77777777" w:rsidR="00EC27A1"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Supplementary Table S1. </w:t>
      </w:r>
      <w:r>
        <w:rPr>
          <w:rFonts w:ascii="Times New Roman" w:eastAsia="Times New Roman" w:hAnsi="Times New Roman" w:cs="Times New Roman"/>
          <w:color w:val="000000"/>
          <w:sz w:val="24"/>
          <w:szCs w:val="24"/>
        </w:rPr>
        <w:t>Details of the search strategy according to the database. </w:t>
      </w:r>
    </w:p>
    <w:p w14:paraId="19497D40" w14:textId="77777777" w:rsidR="00EC27A1" w:rsidRDefault="00EC27A1">
      <w:pPr>
        <w:spacing w:after="0" w:line="240" w:lineRule="auto"/>
        <w:jc w:val="both"/>
        <w:rPr>
          <w:rFonts w:ascii="Times New Roman" w:eastAsia="Times New Roman" w:hAnsi="Times New Roman" w:cs="Times New Roman"/>
          <w:color w:val="000000"/>
          <w:sz w:val="24"/>
          <w:szCs w:val="24"/>
        </w:rPr>
      </w:pPr>
    </w:p>
    <w:p w14:paraId="3356CB54" w14:textId="77777777" w:rsidR="00EC27A1" w:rsidRDefault="00EC27A1">
      <w:pPr>
        <w:spacing w:after="0" w:line="240" w:lineRule="auto"/>
        <w:jc w:val="both"/>
        <w:rPr>
          <w:rFonts w:ascii="Times New Roman" w:eastAsia="Times New Roman" w:hAnsi="Times New Roman" w:cs="Times New Roman"/>
          <w:color w:val="2F5496"/>
          <w:sz w:val="24"/>
          <w:szCs w:val="24"/>
        </w:rPr>
      </w:pPr>
    </w:p>
    <w:tbl>
      <w:tblPr>
        <w:tblStyle w:val="a"/>
        <w:tblW w:w="8621"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912"/>
        <w:gridCol w:w="6709"/>
      </w:tblGrid>
      <w:tr w:rsidR="00EC27A1" w14:paraId="7C7CBE1A" w14:textId="77777777">
        <w:trPr>
          <w:trHeight w:val="495"/>
        </w:trPr>
        <w:tc>
          <w:tcPr>
            <w:tcW w:w="1912" w:type="dxa"/>
            <w:tcBorders>
              <w:top w:val="single" w:sz="6" w:space="0" w:color="666666"/>
              <w:left w:val="single" w:sz="6" w:space="0" w:color="000000"/>
              <w:bottom w:val="single" w:sz="6" w:space="0" w:color="666666"/>
              <w:right w:val="single" w:sz="6" w:space="0" w:color="000000"/>
            </w:tcBorders>
            <w:shd w:val="clear" w:color="auto" w:fill="D9D9D9"/>
            <w:vAlign w:val="center"/>
          </w:tcPr>
          <w:p w14:paraId="23C32F82" w14:textId="77777777" w:rsidR="00EC27A1"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Database</w:t>
            </w:r>
            <w:r>
              <w:rPr>
                <w:rFonts w:ascii="Times New Roman" w:eastAsia="Times New Roman" w:hAnsi="Times New Roman" w:cs="Times New Roman"/>
                <w:sz w:val="20"/>
                <w:szCs w:val="20"/>
              </w:rPr>
              <w:t> </w:t>
            </w:r>
          </w:p>
        </w:tc>
        <w:tc>
          <w:tcPr>
            <w:tcW w:w="6709" w:type="dxa"/>
            <w:tcBorders>
              <w:top w:val="single" w:sz="6" w:space="0" w:color="666666"/>
              <w:left w:val="single" w:sz="6" w:space="0" w:color="000000"/>
              <w:bottom w:val="single" w:sz="6" w:space="0" w:color="666666"/>
              <w:right w:val="single" w:sz="6" w:space="0" w:color="000000"/>
            </w:tcBorders>
            <w:shd w:val="clear" w:color="auto" w:fill="D9D9D9"/>
            <w:vAlign w:val="center"/>
          </w:tcPr>
          <w:p w14:paraId="1202477A" w14:textId="77777777" w:rsidR="00EC27A1"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Search strategy</w:t>
            </w:r>
            <w:r>
              <w:rPr>
                <w:rFonts w:ascii="Times New Roman" w:eastAsia="Times New Roman" w:hAnsi="Times New Roman" w:cs="Times New Roman"/>
                <w:sz w:val="20"/>
                <w:szCs w:val="20"/>
              </w:rPr>
              <w:t> </w:t>
            </w:r>
          </w:p>
        </w:tc>
      </w:tr>
      <w:tr w:rsidR="00EC27A1" w14:paraId="2D49AA1B" w14:textId="77777777">
        <w:trPr>
          <w:trHeight w:val="2760"/>
        </w:trPr>
        <w:tc>
          <w:tcPr>
            <w:tcW w:w="1912" w:type="dxa"/>
            <w:tcBorders>
              <w:top w:val="single" w:sz="6" w:space="0" w:color="666666"/>
              <w:left w:val="single" w:sz="6" w:space="0" w:color="000000"/>
              <w:bottom w:val="single" w:sz="6" w:space="0" w:color="666666"/>
              <w:right w:val="single" w:sz="6" w:space="0" w:color="000000"/>
            </w:tcBorders>
            <w:shd w:val="clear" w:color="auto" w:fill="F2F2F2"/>
            <w:vAlign w:val="center"/>
          </w:tcPr>
          <w:p w14:paraId="5895E0C8" w14:textId="77777777" w:rsidR="00EC27A1"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PubMed</w:t>
            </w:r>
            <w:r>
              <w:rPr>
                <w:rFonts w:ascii="Times New Roman" w:eastAsia="Times New Roman" w:hAnsi="Times New Roman" w:cs="Times New Roman"/>
                <w:sz w:val="20"/>
                <w:szCs w:val="20"/>
              </w:rPr>
              <w:t> </w:t>
            </w:r>
          </w:p>
        </w:tc>
        <w:tc>
          <w:tcPr>
            <w:tcW w:w="6709" w:type="dxa"/>
            <w:tcBorders>
              <w:top w:val="single" w:sz="6" w:space="0" w:color="666666"/>
              <w:left w:val="single" w:sz="6" w:space="0" w:color="000000"/>
              <w:bottom w:val="single" w:sz="6" w:space="0" w:color="666666"/>
              <w:right w:val="single" w:sz="6" w:space="0" w:color="000000"/>
            </w:tcBorders>
            <w:vAlign w:val="center"/>
          </w:tcPr>
          <w:p w14:paraId="08DD43BC"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("Atrial Fibrillation"[Mesh] OR "atrial fibrillation" OR AF OR NVAF) </w:t>
            </w:r>
            <w:r>
              <w:rPr>
                <w:rFonts w:ascii="Times New Roman" w:eastAsia="Times New Roman" w:hAnsi="Times New Roman" w:cs="Times New Roman"/>
                <w:sz w:val="20"/>
                <w:szCs w:val="20"/>
              </w:rPr>
              <w:br/>
            </w:r>
          </w:p>
          <w:p w14:paraId="2B7C2611"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AND </w:t>
            </w:r>
          </w:p>
          <w:p w14:paraId="54CD1871"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color w:val="000000"/>
                <w:sz w:val="20"/>
                <w:szCs w:val="20"/>
              </w:rPr>
              <w:t>("cerebral infarction" OR "brain infarction" OR "Ischemic Stroke"[Mesh] OR "Ischemic stroke" OR "</w:t>
            </w:r>
            <w:proofErr w:type="spellStart"/>
            <w:r>
              <w:rPr>
                <w:rFonts w:ascii="Times New Roman" w:eastAsia="Times New Roman" w:hAnsi="Times New Roman" w:cs="Times New Roman"/>
                <w:color w:val="000000"/>
                <w:sz w:val="20"/>
                <w:szCs w:val="20"/>
              </w:rPr>
              <w:t>Ischaemic</w:t>
            </w:r>
            <w:proofErr w:type="spellEnd"/>
            <w:r>
              <w:rPr>
                <w:rFonts w:ascii="Times New Roman" w:eastAsia="Times New Roman" w:hAnsi="Times New Roman" w:cs="Times New Roman"/>
                <w:color w:val="000000"/>
                <w:sz w:val="20"/>
                <w:szCs w:val="20"/>
              </w:rPr>
              <w:t xml:space="preserve"> Stroke" OR "cerebral accident" OR "cerebrovascular accident") </w:t>
            </w:r>
            <w:r>
              <w:rPr>
                <w:rFonts w:ascii="Times New Roman" w:eastAsia="Times New Roman" w:hAnsi="Times New Roman" w:cs="Times New Roman"/>
                <w:sz w:val="20"/>
                <w:szCs w:val="20"/>
              </w:rPr>
              <w:br/>
            </w:r>
          </w:p>
          <w:p w14:paraId="5B2F7EB7"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w:t>
            </w:r>
          </w:p>
          <w:p w14:paraId="481D2040"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color w:val="000000"/>
                <w:sz w:val="20"/>
                <w:szCs w:val="20"/>
              </w:rPr>
              <w:t xml:space="preserve"> (Atherosclerosis OR CAD OR CAOD OR "Coronary Artery Disease"[Mesh] OR "Carotid Artery Diseases"[Mesh] OR “carotid artery stenosis” OR "Carotid Stenosis"[Mesh] OR “intracranial artery stenosis” OR “intracranial arterial stenosis” OR “intracranial stenosis” OR “extracranial artery stenosis” OR “extracranial arterial stenosis” OR “extracranial stenosis” OR “ischemic heart disease” OR “peripheral artery disease” OR "Peripheral Arterial Disease"[Mesh] OR “steno-occlusion” OR “artery occlusion” OR “arterial occlusion”) </w:t>
            </w:r>
          </w:p>
          <w:p w14:paraId="206B1510"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4713CA2C"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AND </w:t>
            </w:r>
          </w:p>
          <w:p w14:paraId="5D3FDF23"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766023CB"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(Antiplatelet OR antiplatelets OR "Platelet Aggregation Inhibitors"[Mesh] OR Aspirin OR AAS OR ticagrelor OR clopidogrel OR </w:t>
            </w:r>
            <w:proofErr w:type="spellStart"/>
            <w:r>
              <w:rPr>
                <w:rFonts w:ascii="Times New Roman" w:eastAsia="Times New Roman" w:hAnsi="Times New Roman" w:cs="Times New Roman"/>
                <w:color w:val="000000"/>
                <w:sz w:val="20"/>
                <w:szCs w:val="20"/>
              </w:rPr>
              <w:t>triflusal</w:t>
            </w:r>
            <w:proofErr w:type="spellEnd"/>
            <w:r>
              <w:rPr>
                <w:rFonts w:ascii="Times New Roman" w:eastAsia="Times New Roman" w:hAnsi="Times New Roman" w:cs="Times New Roman"/>
                <w:color w:val="000000"/>
                <w:sz w:val="20"/>
                <w:szCs w:val="20"/>
              </w:rPr>
              <w:t xml:space="preserve"> OR cilostazol) </w:t>
            </w:r>
          </w:p>
          <w:p w14:paraId="614A1A08"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72D58556"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AND </w:t>
            </w:r>
          </w:p>
          <w:p w14:paraId="04692BAF"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51BD7A37"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(Anticoagulant OR anticoagulants OR anticoagulation OR "Anticoagulants"[Mesh] OR OAC OR VKA OR DOAC OR Apixaban OR dabigatran OR rivaroxaban OR </w:t>
            </w:r>
            <w:proofErr w:type="spellStart"/>
            <w:r>
              <w:rPr>
                <w:rFonts w:ascii="Times New Roman" w:eastAsia="Times New Roman" w:hAnsi="Times New Roman" w:cs="Times New Roman"/>
                <w:color w:val="000000"/>
                <w:sz w:val="20"/>
                <w:szCs w:val="20"/>
              </w:rPr>
              <w:t>edoxaban</w:t>
            </w:r>
            <w:proofErr w:type="spellEnd"/>
            <w:r>
              <w:rPr>
                <w:rFonts w:ascii="Times New Roman" w:eastAsia="Times New Roman" w:hAnsi="Times New Roman" w:cs="Times New Roman"/>
                <w:color w:val="000000"/>
                <w:sz w:val="20"/>
                <w:szCs w:val="20"/>
              </w:rPr>
              <w:t>)</w:t>
            </w:r>
          </w:p>
          <w:p w14:paraId="6D067F2C" w14:textId="77777777" w:rsidR="00EC27A1" w:rsidRDefault="00EC27A1">
            <w:pPr>
              <w:spacing w:after="0" w:line="240" w:lineRule="auto"/>
              <w:jc w:val="both"/>
              <w:rPr>
                <w:rFonts w:ascii="Times New Roman" w:eastAsia="Times New Roman" w:hAnsi="Times New Roman" w:cs="Times New Roman"/>
                <w:color w:val="000000"/>
                <w:sz w:val="20"/>
                <w:szCs w:val="20"/>
              </w:rPr>
            </w:pPr>
          </w:p>
        </w:tc>
      </w:tr>
      <w:tr w:rsidR="00EC27A1" w14:paraId="21925DF6" w14:textId="77777777">
        <w:trPr>
          <w:trHeight w:val="300"/>
        </w:trPr>
        <w:tc>
          <w:tcPr>
            <w:tcW w:w="1912" w:type="dxa"/>
            <w:tcBorders>
              <w:top w:val="single" w:sz="6" w:space="0" w:color="666666"/>
              <w:left w:val="single" w:sz="6" w:space="0" w:color="000000"/>
              <w:bottom w:val="single" w:sz="6" w:space="0" w:color="666666"/>
              <w:right w:val="single" w:sz="6" w:space="0" w:color="000000"/>
            </w:tcBorders>
            <w:shd w:val="clear" w:color="auto" w:fill="F2F2F2"/>
            <w:vAlign w:val="center"/>
          </w:tcPr>
          <w:p w14:paraId="7E0F8FAB" w14:textId="77777777" w:rsidR="00EC27A1"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Embase</w:t>
            </w:r>
            <w:r>
              <w:rPr>
                <w:rFonts w:ascii="Times New Roman" w:eastAsia="Times New Roman" w:hAnsi="Times New Roman" w:cs="Times New Roman"/>
                <w:sz w:val="20"/>
                <w:szCs w:val="20"/>
              </w:rPr>
              <w:t> </w:t>
            </w:r>
          </w:p>
        </w:tc>
        <w:tc>
          <w:tcPr>
            <w:tcW w:w="6709" w:type="dxa"/>
            <w:tcBorders>
              <w:top w:val="single" w:sz="6" w:space="0" w:color="666666"/>
              <w:left w:val="single" w:sz="6" w:space="0" w:color="000000"/>
              <w:bottom w:val="single" w:sz="6" w:space="0" w:color="666666"/>
              <w:right w:val="single" w:sz="6" w:space="0" w:color="000000"/>
            </w:tcBorders>
            <w:vAlign w:val="center"/>
          </w:tcPr>
          <w:p w14:paraId="3607865D" w14:textId="77777777" w:rsidR="00EC27A1" w:rsidRDefault="00000000">
            <w:pPr>
              <w:spacing w:before="240" w:after="2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("atrial fibrillation" OR AF OR NVAF)</w:t>
            </w:r>
          </w:p>
          <w:p w14:paraId="59BA5F32" w14:textId="77777777" w:rsidR="00EC27A1" w:rsidRDefault="00000000">
            <w:pPr>
              <w:spacing w:before="240" w:after="2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w:t>
            </w:r>
          </w:p>
          <w:p w14:paraId="5DE2F0F5" w14:textId="77777777" w:rsidR="00EC27A1" w:rsidRDefault="00000000">
            <w:pPr>
              <w:spacing w:before="240" w:after="2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("cerebral infarction" OR "brain infarction" OR "Ischemic stroke" OR "</w:t>
            </w:r>
            <w:proofErr w:type="spellStart"/>
            <w:r>
              <w:rPr>
                <w:rFonts w:ascii="Times New Roman" w:eastAsia="Times New Roman" w:hAnsi="Times New Roman" w:cs="Times New Roman"/>
                <w:color w:val="000000"/>
                <w:sz w:val="20"/>
                <w:szCs w:val="20"/>
              </w:rPr>
              <w:t>Ischaemic</w:t>
            </w:r>
            <w:proofErr w:type="spellEnd"/>
            <w:r>
              <w:rPr>
                <w:rFonts w:ascii="Times New Roman" w:eastAsia="Times New Roman" w:hAnsi="Times New Roman" w:cs="Times New Roman"/>
                <w:color w:val="000000"/>
                <w:sz w:val="20"/>
                <w:szCs w:val="20"/>
              </w:rPr>
              <w:t xml:space="preserve"> Stroke" OR "cerebral accident" OR "cerebrovascular accident")</w:t>
            </w:r>
          </w:p>
          <w:p w14:paraId="6642C124" w14:textId="77777777" w:rsidR="00EC27A1" w:rsidRDefault="00000000">
            <w:pPr>
              <w:spacing w:before="240" w:after="2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w:t>
            </w:r>
          </w:p>
          <w:p w14:paraId="29F86FA0" w14:textId="77777777" w:rsidR="00EC27A1" w:rsidRDefault="00000000">
            <w:pPr>
              <w:spacing w:before="240" w:after="2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(Atherosclerosis OR CAD OR CAOD OR “carotid artery stenosis” OR “Carotid Stenosis” OR “intracranial artery stenosis” OR “intracranial arterial stenosis” OR “intracranial stenosis” OR “extracranial artery stenosis” OR “extracranial arterial stenosis” OR “extracranial stenosis” OR “ischemic heart disease” OR “peripheral artery disease” OR “steno-occlusion” OR “artery occlusion” OR “arterial occlusion”)</w:t>
            </w:r>
          </w:p>
          <w:p w14:paraId="3ADF1608" w14:textId="77777777" w:rsidR="00EC27A1" w:rsidRDefault="00000000">
            <w:pPr>
              <w:spacing w:before="240" w:after="2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w:t>
            </w:r>
          </w:p>
          <w:p w14:paraId="1B5D00A2" w14:textId="77777777" w:rsidR="00EC27A1" w:rsidRDefault="00000000">
            <w:pPr>
              <w:spacing w:before="240" w:after="2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(Antiplatelet OR antiplatelets OR Aspirin OR AAS OR ticagrelor OR clopidogrel OR </w:t>
            </w:r>
            <w:proofErr w:type="spellStart"/>
            <w:r>
              <w:rPr>
                <w:rFonts w:ascii="Times New Roman" w:eastAsia="Times New Roman" w:hAnsi="Times New Roman" w:cs="Times New Roman"/>
                <w:color w:val="000000"/>
                <w:sz w:val="20"/>
                <w:szCs w:val="20"/>
              </w:rPr>
              <w:t>triflusal</w:t>
            </w:r>
            <w:proofErr w:type="spellEnd"/>
            <w:r>
              <w:rPr>
                <w:rFonts w:ascii="Times New Roman" w:eastAsia="Times New Roman" w:hAnsi="Times New Roman" w:cs="Times New Roman"/>
                <w:color w:val="000000"/>
                <w:sz w:val="20"/>
                <w:szCs w:val="20"/>
              </w:rPr>
              <w:t xml:space="preserve"> OR cilostazol)</w:t>
            </w:r>
          </w:p>
          <w:p w14:paraId="59EE0484" w14:textId="77777777" w:rsidR="00EC27A1" w:rsidRDefault="00000000">
            <w:pPr>
              <w:spacing w:before="240" w:after="2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AND </w:t>
            </w:r>
          </w:p>
          <w:p w14:paraId="1B30289A" w14:textId="77777777" w:rsidR="00EC27A1" w:rsidRDefault="00000000">
            <w:pPr>
              <w:spacing w:before="240" w:after="24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(Anticoagulant OR anticoagulants OR anticoagulation OR OAC OR VKA OR DOAC OR Apixaban OR dabigatran OR rivaroxaban OR </w:t>
            </w:r>
            <w:proofErr w:type="spellStart"/>
            <w:r>
              <w:rPr>
                <w:rFonts w:ascii="Times New Roman" w:eastAsia="Times New Roman" w:hAnsi="Times New Roman" w:cs="Times New Roman"/>
                <w:color w:val="000000"/>
                <w:sz w:val="20"/>
                <w:szCs w:val="20"/>
              </w:rPr>
              <w:t>edoxaban</w:t>
            </w:r>
            <w:proofErr w:type="spellEnd"/>
            <w:r>
              <w:rPr>
                <w:rFonts w:ascii="Times New Roman" w:eastAsia="Times New Roman" w:hAnsi="Times New Roman" w:cs="Times New Roman"/>
                <w:color w:val="000000"/>
                <w:sz w:val="20"/>
                <w:szCs w:val="20"/>
              </w:rPr>
              <w:t>)</w:t>
            </w:r>
          </w:p>
        </w:tc>
      </w:tr>
      <w:tr w:rsidR="00EC27A1" w14:paraId="63312077" w14:textId="77777777">
        <w:trPr>
          <w:trHeight w:val="5175"/>
        </w:trPr>
        <w:tc>
          <w:tcPr>
            <w:tcW w:w="1912" w:type="dxa"/>
            <w:tcBorders>
              <w:top w:val="single" w:sz="6" w:space="0" w:color="666666"/>
              <w:left w:val="single" w:sz="6" w:space="0" w:color="000000"/>
              <w:bottom w:val="single" w:sz="6" w:space="0" w:color="666666"/>
              <w:right w:val="single" w:sz="6" w:space="0" w:color="000000"/>
            </w:tcBorders>
            <w:shd w:val="clear" w:color="auto" w:fill="F2F2F2"/>
            <w:vAlign w:val="center"/>
          </w:tcPr>
          <w:p w14:paraId="072B5AD2" w14:textId="77777777" w:rsidR="00EC27A1"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lastRenderedPageBreak/>
              <w:t>Cochrane</w:t>
            </w:r>
            <w:r>
              <w:rPr>
                <w:rFonts w:ascii="Times New Roman" w:eastAsia="Times New Roman" w:hAnsi="Times New Roman" w:cs="Times New Roman"/>
                <w:sz w:val="20"/>
                <w:szCs w:val="20"/>
              </w:rPr>
              <w:t> </w:t>
            </w:r>
          </w:p>
        </w:tc>
        <w:tc>
          <w:tcPr>
            <w:tcW w:w="6709" w:type="dxa"/>
            <w:tcBorders>
              <w:top w:val="single" w:sz="6" w:space="0" w:color="666666"/>
              <w:left w:val="single" w:sz="6" w:space="0" w:color="000000"/>
              <w:bottom w:val="single" w:sz="6" w:space="0" w:color="666666"/>
              <w:right w:val="single" w:sz="6" w:space="0" w:color="000000"/>
            </w:tcBorders>
            <w:vAlign w:val="center"/>
          </w:tcPr>
          <w:p w14:paraId="2547E376"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("atrial fibrillation" OR AF OR NVAF)</w:t>
            </w:r>
          </w:p>
          <w:p w14:paraId="51EDF00C"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301ECF75"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w:t>
            </w:r>
          </w:p>
          <w:p w14:paraId="29097FD7"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6C7A27C1"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("cerebral infarction" OR "brain infarction" OR "Ischemic stroke" OR "</w:t>
            </w:r>
            <w:proofErr w:type="spellStart"/>
            <w:r>
              <w:rPr>
                <w:rFonts w:ascii="Times New Roman" w:eastAsia="Times New Roman" w:hAnsi="Times New Roman" w:cs="Times New Roman"/>
                <w:color w:val="000000"/>
                <w:sz w:val="20"/>
                <w:szCs w:val="20"/>
              </w:rPr>
              <w:t>Ischaemic</w:t>
            </w:r>
            <w:proofErr w:type="spellEnd"/>
            <w:r>
              <w:rPr>
                <w:rFonts w:ascii="Times New Roman" w:eastAsia="Times New Roman" w:hAnsi="Times New Roman" w:cs="Times New Roman"/>
                <w:color w:val="000000"/>
                <w:sz w:val="20"/>
                <w:szCs w:val="20"/>
              </w:rPr>
              <w:t xml:space="preserve"> Stroke" OR "cerebral accident" OR "cerebrovascular accident")</w:t>
            </w:r>
          </w:p>
          <w:p w14:paraId="25541059"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2503FC20"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w:t>
            </w:r>
          </w:p>
          <w:p w14:paraId="24EC30A4"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1412D554"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(Atherosclerosis OR CAD OR CAOD OR “carotid artery stenosis” OR “Carotid Stenosis” OR “intracranial artery stenosis” OR “intracranial arterial stenosis” OR </w:t>
            </w:r>
            <w:r>
              <w:rPr>
                <w:rFonts w:ascii="Times New Roman" w:eastAsia="Times New Roman" w:hAnsi="Times New Roman" w:cs="Times New Roman"/>
                <w:sz w:val="20"/>
                <w:szCs w:val="20"/>
              </w:rPr>
              <w:t>"intracranial stenosis"</w:t>
            </w:r>
            <w:r>
              <w:rPr>
                <w:rFonts w:ascii="Times New Roman" w:eastAsia="Times New Roman" w:hAnsi="Times New Roman" w:cs="Times New Roman"/>
                <w:color w:val="000000"/>
                <w:sz w:val="20"/>
                <w:szCs w:val="20"/>
              </w:rPr>
              <w:t xml:space="preserve"> OR “extracranial artery stenosis” OR “extracranial arterial stenosis” OR “extracranial stenosis” OR “ischemic heart disease” OR “peripheral artery disease” OR “steno-occlusion” OR “artery occlusion” OR “arterial occlusion”)</w:t>
            </w:r>
          </w:p>
          <w:p w14:paraId="318EB183"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4A3CB8B2"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w:t>
            </w:r>
          </w:p>
          <w:p w14:paraId="168650CB"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39D64434"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(Antiplatelet OR antiplatelets OR Aspirin OR AAS OR ticagrelor OR clopidogrel OR </w:t>
            </w:r>
            <w:proofErr w:type="spellStart"/>
            <w:r>
              <w:rPr>
                <w:rFonts w:ascii="Times New Roman" w:eastAsia="Times New Roman" w:hAnsi="Times New Roman" w:cs="Times New Roman"/>
                <w:color w:val="000000"/>
                <w:sz w:val="20"/>
                <w:szCs w:val="20"/>
              </w:rPr>
              <w:t>triflusal</w:t>
            </w:r>
            <w:proofErr w:type="spellEnd"/>
            <w:r>
              <w:rPr>
                <w:rFonts w:ascii="Times New Roman" w:eastAsia="Times New Roman" w:hAnsi="Times New Roman" w:cs="Times New Roman"/>
                <w:color w:val="000000"/>
                <w:sz w:val="20"/>
                <w:szCs w:val="20"/>
              </w:rPr>
              <w:t xml:space="preserve"> OR cilostazol)</w:t>
            </w:r>
          </w:p>
          <w:p w14:paraId="6C034B2A"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55678703"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w:t>
            </w:r>
          </w:p>
          <w:p w14:paraId="7FB3688F" w14:textId="77777777" w:rsidR="00EC27A1" w:rsidRDefault="00EC27A1">
            <w:pPr>
              <w:spacing w:after="0" w:line="240" w:lineRule="auto"/>
              <w:jc w:val="both"/>
              <w:rPr>
                <w:rFonts w:ascii="Times New Roman" w:eastAsia="Times New Roman" w:hAnsi="Times New Roman" w:cs="Times New Roman"/>
                <w:color w:val="000000"/>
                <w:sz w:val="20"/>
                <w:szCs w:val="20"/>
              </w:rPr>
            </w:pPr>
          </w:p>
          <w:p w14:paraId="20BF3A6D" w14:textId="77777777" w:rsidR="00EC27A1"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(Anticoagulant OR anticoagulants OR anticoagulation OR OAC OR VKA OR DOAC OR Apixaban OR dabigatran OR rivaroxaban OR </w:t>
            </w:r>
            <w:proofErr w:type="spellStart"/>
            <w:r>
              <w:rPr>
                <w:rFonts w:ascii="Times New Roman" w:eastAsia="Times New Roman" w:hAnsi="Times New Roman" w:cs="Times New Roman"/>
                <w:color w:val="000000"/>
                <w:sz w:val="20"/>
                <w:szCs w:val="20"/>
              </w:rPr>
              <w:t>edoxaban</w:t>
            </w:r>
            <w:proofErr w:type="spellEnd"/>
            <w:r>
              <w:rPr>
                <w:rFonts w:ascii="Times New Roman" w:eastAsia="Times New Roman" w:hAnsi="Times New Roman" w:cs="Times New Roman"/>
                <w:color w:val="000000"/>
                <w:sz w:val="20"/>
                <w:szCs w:val="20"/>
              </w:rPr>
              <w:t>)</w:t>
            </w:r>
          </w:p>
        </w:tc>
      </w:tr>
    </w:tbl>
    <w:p w14:paraId="6EB77043" w14:textId="77777777" w:rsidR="00EC27A1" w:rsidRDefault="00EC27A1">
      <w:pPr>
        <w:rPr>
          <w:rFonts w:ascii="Times New Roman" w:eastAsia="Times New Roman" w:hAnsi="Times New Roman" w:cs="Times New Roman"/>
          <w:b/>
          <w:bCs/>
          <w:color w:val="000000"/>
          <w:sz w:val="24"/>
          <w:szCs w:val="24"/>
          <w:highlight w:val="white"/>
        </w:rPr>
      </w:pPr>
    </w:p>
    <w:p w14:paraId="0E5A9DEC" w14:textId="77777777" w:rsidR="00EC27A1" w:rsidRDefault="00EC27A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456929A5" w14:textId="77777777" w:rsidR="00EC27A1" w:rsidRDefault="00EC27A1">
      <w:pPr>
        <w:rPr>
          <w:rFonts w:ascii="Times New Roman" w:eastAsia="Times New Roman" w:hAnsi="Times New Roman" w:cs="Times New Roman"/>
          <w:b/>
          <w:bCs/>
          <w:color w:val="000000"/>
          <w:sz w:val="24"/>
          <w:szCs w:val="24"/>
          <w:highlight w:val="white"/>
        </w:rPr>
      </w:pPr>
    </w:p>
    <w:p w14:paraId="6E6F80A5" w14:textId="77777777" w:rsidR="00EC27A1" w:rsidRDefault="00EC27A1">
      <w:pPr>
        <w:rPr>
          <w:rFonts w:ascii="Times New Roman" w:eastAsia="Times New Roman" w:hAnsi="Times New Roman" w:cs="Times New Roman"/>
          <w:b/>
          <w:bCs/>
          <w:color w:val="000000"/>
          <w:sz w:val="24"/>
          <w:szCs w:val="24"/>
          <w:highlight w:val="white"/>
        </w:rPr>
      </w:pPr>
    </w:p>
    <w:p w14:paraId="46A734C0" w14:textId="77777777" w:rsidR="00EC27A1" w:rsidRDefault="00EC27A1">
      <w:pPr>
        <w:rPr>
          <w:rFonts w:ascii="Times New Roman" w:eastAsia="Times New Roman" w:hAnsi="Times New Roman" w:cs="Times New Roman"/>
          <w:b/>
          <w:bCs/>
          <w:color w:val="000000"/>
          <w:sz w:val="24"/>
          <w:szCs w:val="24"/>
          <w:highlight w:val="white"/>
        </w:rPr>
      </w:pPr>
    </w:p>
    <w:p w14:paraId="179F7881" w14:textId="77777777" w:rsidR="00EC27A1" w:rsidRDefault="00EC27A1">
      <w:pPr>
        <w:rPr>
          <w:rFonts w:ascii="Times New Roman" w:eastAsia="Times New Roman" w:hAnsi="Times New Roman" w:cs="Times New Roman"/>
          <w:b/>
          <w:bCs/>
          <w:color w:val="000000"/>
          <w:sz w:val="24"/>
          <w:szCs w:val="24"/>
          <w:highlight w:val="white"/>
        </w:rPr>
      </w:pPr>
    </w:p>
    <w:p w14:paraId="5BDE9CAB" w14:textId="77777777" w:rsidR="00EC27A1" w:rsidRDefault="00EC27A1">
      <w:pPr>
        <w:rPr>
          <w:rFonts w:ascii="Times New Roman" w:eastAsia="Times New Roman" w:hAnsi="Times New Roman" w:cs="Times New Roman"/>
          <w:b/>
          <w:bCs/>
          <w:color w:val="000000"/>
          <w:sz w:val="24"/>
          <w:szCs w:val="24"/>
          <w:highlight w:val="white"/>
        </w:rPr>
      </w:pPr>
    </w:p>
    <w:p w14:paraId="062D219E" w14:textId="77777777" w:rsidR="00EC27A1" w:rsidRDefault="00EC27A1">
      <w:pPr>
        <w:rPr>
          <w:rFonts w:ascii="Times New Roman" w:eastAsia="Times New Roman" w:hAnsi="Times New Roman" w:cs="Times New Roman"/>
          <w:b/>
          <w:bCs/>
          <w:color w:val="000000"/>
          <w:sz w:val="24"/>
          <w:szCs w:val="24"/>
          <w:highlight w:val="white"/>
        </w:rPr>
      </w:pPr>
    </w:p>
    <w:p w14:paraId="0C6F678B" w14:textId="77777777" w:rsidR="00EC27A1" w:rsidRDefault="00EC27A1">
      <w:pPr>
        <w:spacing w:line="278" w:lineRule="auto"/>
        <w:rPr>
          <w:rFonts w:ascii="Times New Roman" w:eastAsia="Times New Roman" w:hAnsi="Times New Roman" w:cs="Times New Roman"/>
          <w:b/>
          <w:bCs/>
          <w:sz w:val="24"/>
          <w:szCs w:val="24"/>
          <w:highlight w:val="white"/>
        </w:rPr>
      </w:pPr>
    </w:p>
    <w:p w14:paraId="28E3FB5E" w14:textId="77777777" w:rsidR="00EC27A1" w:rsidRDefault="00EC27A1">
      <w:pPr>
        <w:spacing w:line="278" w:lineRule="auto"/>
        <w:rPr>
          <w:rFonts w:ascii="Times New Roman" w:eastAsia="Times New Roman" w:hAnsi="Times New Roman" w:cs="Times New Roman"/>
          <w:b/>
          <w:bCs/>
          <w:sz w:val="24"/>
          <w:szCs w:val="24"/>
          <w:highlight w:val="white"/>
        </w:rPr>
      </w:pPr>
    </w:p>
    <w:p w14:paraId="4D2EFDA5" w14:textId="77777777" w:rsidR="00EC27A1" w:rsidRDefault="00EC27A1">
      <w:pPr>
        <w:spacing w:line="278" w:lineRule="auto"/>
        <w:rPr>
          <w:rFonts w:ascii="Times New Roman" w:eastAsia="Times New Roman" w:hAnsi="Times New Roman" w:cs="Times New Roman"/>
          <w:b/>
          <w:bCs/>
          <w:sz w:val="24"/>
          <w:szCs w:val="24"/>
        </w:rPr>
      </w:pPr>
    </w:p>
    <w:p w14:paraId="1EC57B22" w14:textId="77777777" w:rsidR="00EC27A1" w:rsidRDefault="00EC27A1">
      <w:pPr>
        <w:spacing w:line="278" w:lineRule="auto"/>
        <w:rPr>
          <w:rFonts w:ascii="Times New Roman" w:eastAsia="Times New Roman" w:hAnsi="Times New Roman" w:cs="Times New Roman"/>
          <w:b/>
          <w:bCs/>
          <w:sz w:val="24"/>
          <w:szCs w:val="24"/>
        </w:rPr>
      </w:pPr>
    </w:p>
    <w:p w14:paraId="1911992D" w14:textId="77777777" w:rsidR="00EC27A1" w:rsidRDefault="00EC27A1">
      <w:pPr>
        <w:spacing w:line="278" w:lineRule="auto"/>
        <w:rPr>
          <w:rFonts w:ascii="Times New Roman" w:eastAsia="Times New Roman" w:hAnsi="Times New Roman" w:cs="Times New Roman"/>
          <w:b/>
          <w:bCs/>
          <w:sz w:val="24"/>
          <w:szCs w:val="24"/>
        </w:rPr>
      </w:pPr>
    </w:p>
    <w:p w14:paraId="532E144F" w14:textId="77777777" w:rsidR="00EC27A1" w:rsidRDefault="00EC27A1">
      <w:pPr>
        <w:spacing w:line="278" w:lineRule="auto"/>
        <w:rPr>
          <w:rFonts w:ascii="Times New Roman" w:eastAsia="Times New Roman" w:hAnsi="Times New Roman" w:cs="Times New Roman"/>
          <w:b/>
          <w:bCs/>
          <w:sz w:val="24"/>
          <w:szCs w:val="24"/>
        </w:rPr>
      </w:pPr>
    </w:p>
    <w:p w14:paraId="29CE070C" w14:textId="77777777" w:rsidR="00EC27A1" w:rsidRDefault="00EC27A1">
      <w:pPr>
        <w:spacing w:line="278" w:lineRule="auto"/>
        <w:rPr>
          <w:rFonts w:ascii="Times New Roman" w:eastAsia="Times New Roman" w:hAnsi="Times New Roman" w:cs="Times New Roman"/>
        </w:rPr>
      </w:pPr>
    </w:p>
    <w:p w14:paraId="5FF123DC" w14:textId="77777777" w:rsidR="00EC27A1" w:rsidRDefault="00EC27A1">
      <w:pPr>
        <w:spacing w:line="278" w:lineRule="auto"/>
        <w:rPr>
          <w:rFonts w:ascii="Times New Roman" w:eastAsia="Times New Roman" w:hAnsi="Times New Roman" w:cs="Times New Roman"/>
        </w:rPr>
      </w:pPr>
    </w:p>
    <w:p w14:paraId="40F99A38" w14:textId="77777777" w:rsidR="00EC27A1" w:rsidRDefault="00000000">
      <w:pPr>
        <w:spacing w:line="278" w:lineRule="auto"/>
        <w:rPr>
          <w:rFonts w:ascii="Times New Roman" w:eastAsia="Times New Roman" w:hAnsi="Times New Roman" w:cs="Times New Roman"/>
        </w:rPr>
      </w:pPr>
      <w:r>
        <w:rPr>
          <w:rFonts w:ascii="Times New Roman" w:eastAsia="Times New Roman" w:hAnsi="Times New Roman" w:cs="Times New Roman"/>
          <w:b/>
          <w:bCs/>
          <w:sz w:val="24"/>
          <w:szCs w:val="24"/>
        </w:rPr>
        <w:lastRenderedPageBreak/>
        <w:t>Supplementary Table S2.</w:t>
      </w:r>
      <w:r>
        <w:rPr>
          <w:rFonts w:ascii="Times New Roman" w:eastAsia="Times New Roman" w:hAnsi="Times New Roman" w:cs="Times New Roman"/>
          <w:sz w:val="24"/>
          <w:szCs w:val="24"/>
        </w:rPr>
        <w:t xml:space="preserve"> Vascular composite outcome and major bleeding definitions of each included study.</w:t>
      </w:r>
      <w:r>
        <w:rPr>
          <w:rFonts w:ascii="Times New Roman" w:eastAsia="Times New Roman" w:hAnsi="Times New Roman" w:cs="Times New Roman"/>
        </w:rPr>
        <w:t xml:space="preserve"> </w:t>
      </w:r>
    </w:p>
    <w:p w14:paraId="429E3461" w14:textId="77777777" w:rsidR="00EC27A1" w:rsidRDefault="00EC27A1"/>
    <w:tbl>
      <w:tblPr>
        <w:tblStyle w:val="a0"/>
        <w:tblpPr w:leftFromText="141" w:rightFromText="141" w:vertAnchor="page" w:horzAnchor="margin" w:tblpX="-65" w:tblpY="2745"/>
        <w:tblW w:w="8809" w:type="dxa"/>
        <w:tblInd w:w="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000000"/>
        </w:tblBorders>
        <w:tblLayout w:type="fixed"/>
        <w:tblLook w:val="0400" w:firstRow="0" w:lastRow="0" w:firstColumn="0" w:lastColumn="0" w:noHBand="0" w:noVBand="1"/>
      </w:tblPr>
      <w:tblGrid>
        <w:gridCol w:w="1879"/>
        <w:gridCol w:w="6930"/>
      </w:tblGrid>
      <w:tr w:rsidR="00EC27A1" w14:paraId="6B133EA7" w14:textId="77777777">
        <w:trPr>
          <w:trHeight w:val="668"/>
        </w:trPr>
        <w:tc>
          <w:tcPr>
            <w:tcW w:w="8809" w:type="dxa"/>
            <w:gridSpan w:val="2"/>
            <w:shd w:val="clear" w:color="auto" w:fill="D9D9D9"/>
            <w:vAlign w:val="center"/>
          </w:tcPr>
          <w:p w14:paraId="4A4C4581" w14:textId="77777777" w:rsidR="00EC27A1" w:rsidRDefault="00000000">
            <w:pPr>
              <w:spacing w:before="240" w:after="240"/>
              <w:ind w:left="501"/>
              <w:jc w:val="center"/>
              <w:rPr>
                <w:rFonts w:ascii="Times New Roman" w:eastAsia="Times New Roman" w:hAnsi="Times New Roman" w:cs="Times New Roman"/>
                <w:b/>
                <w:bCs/>
              </w:rPr>
            </w:pPr>
            <w:r>
              <w:rPr>
                <w:rFonts w:ascii="Times New Roman" w:eastAsia="Times New Roman" w:hAnsi="Times New Roman" w:cs="Times New Roman"/>
                <w:b/>
                <w:bCs/>
              </w:rPr>
              <w:t>Definitions of vascular composite outcome</w:t>
            </w:r>
          </w:p>
        </w:tc>
      </w:tr>
      <w:tr w:rsidR="00EC27A1" w14:paraId="3A81B747" w14:textId="77777777">
        <w:trPr>
          <w:trHeight w:val="548"/>
        </w:trPr>
        <w:tc>
          <w:tcPr>
            <w:tcW w:w="1879" w:type="dxa"/>
            <w:shd w:val="clear" w:color="auto" w:fill="F2F2F2"/>
            <w:vAlign w:val="center"/>
          </w:tcPr>
          <w:p w14:paraId="5C576FDF"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Choi, 2019</w:t>
            </w:r>
          </w:p>
        </w:tc>
        <w:tc>
          <w:tcPr>
            <w:tcW w:w="6930" w:type="dxa"/>
            <w:vAlign w:val="center"/>
          </w:tcPr>
          <w:p w14:paraId="216BAABC" w14:textId="77777777" w:rsidR="00EC27A1" w:rsidRDefault="00000000">
            <w:pPr>
              <w:spacing w:before="200"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EC27A1" w14:paraId="11D7FEAA" w14:textId="77777777">
        <w:trPr>
          <w:trHeight w:val="548"/>
        </w:trPr>
        <w:tc>
          <w:tcPr>
            <w:tcW w:w="1879" w:type="dxa"/>
            <w:shd w:val="clear" w:color="auto" w:fill="F2F2F2"/>
            <w:vAlign w:val="center"/>
          </w:tcPr>
          <w:p w14:paraId="1D60F57D"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Harrison, 2024</w:t>
            </w:r>
          </w:p>
        </w:tc>
        <w:tc>
          <w:tcPr>
            <w:tcW w:w="6930" w:type="dxa"/>
            <w:vAlign w:val="center"/>
          </w:tcPr>
          <w:p w14:paraId="2BB675F5" w14:textId="77777777" w:rsidR="00EC27A1" w:rsidRDefault="00000000">
            <w:pPr>
              <w:spacing w:before="200"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EC27A1" w14:paraId="060E20EA" w14:textId="77777777">
        <w:trPr>
          <w:trHeight w:val="975"/>
        </w:trPr>
        <w:tc>
          <w:tcPr>
            <w:tcW w:w="1879" w:type="dxa"/>
            <w:shd w:val="clear" w:color="auto" w:fill="F2F2F2"/>
            <w:vAlign w:val="center"/>
          </w:tcPr>
          <w:p w14:paraId="26517E40" w14:textId="77777777" w:rsidR="00EC27A1" w:rsidRDefault="00000000">
            <w:pPr>
              <w:spacing w:before="240" w:after="240"/>
              <w:jc w:val="center"/>
            </w:pPr>
            <w:r>
              <w:rPr>
                <w:rFonts w:ascii="Times New Roman" w:eastAsia="Times New Roman" w:hAnsi="Times New Roman" w:cs="Times New Roman"/>
                <w:sz w:val="20"/>
                <w:szCs w:val="20"/>
              </w:rPr>
              <w:t>Heo, 2024</w:t>
            </w:r>
          </w:p>
        </w:tc>
        <w:tc>
          <w:tcPr>
            <w:tcW w:w="6930" w:type="dxa"/>
            <w:vAlign w:val="center"/>
          </w:tcPr>
          <w:p w14:paraId="1F652376" w14:textId="77777777" w:rsidR="00EC27A1" w:rsidRDefault="00000000">
            <w:pPr>
              <w:spacing w:before="200"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All-composite: composite of all predetermined outcomes. Main outcomes encompassed all-cause mortality, cardiovascular death, ischemic stroke, hemorrhagic stroke, myocardial infarction and bleeding events.</w:t>
            </w:r>
          </w:p>
        </w:tc>
      </w:tr>
      <w:tr w:rsidR="00EC27A1" w14:paraId="48E41ECC" w14:textId="77777777">
        <w:trPr>
          <w:trHeight w:val="890"/>
        </w:trPr>
        <w:tc>
          <w:tcPr>
            <w:tcW w:w="1879" w:type="dxa"/>
            <w:shd w:val="clear" w:color="auto" w:fill="F2F2F2"/>
            <w:vAlign w:val="center"/>
          </w:tcPr>
          <w:p w14:paraId="67116994"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Kim, 2020</w:t>
            </w:r>
          </w:p>
        </w:tc>
        <w:tc>
          <w:tcPr>
            <w:tcW w:w="6930" w:type="dxa"/>
            <w:vAlign w:val="center"/>
          </w:tcPr>
          <w:p w14:paraId="220C31ED" w14:textId="77777777" w:rsidR="00EC27A1" w:rsidRDefault="00000000">
            <w:pPr>
              <w:spacing w:before="200" w:after="200"/>
              <w:jc w:val="both"/>
              <w:rPr>
                <w:rFonts w:ascii="Times New Roman" w:eastAsia="Times New Roman" w:hAnsi="Times New Roman" w:cs="Times New Roman"/>
                <w:color w:val="101010"/>
                <w:sz w:val="20"/>
                <w:szCs w:val="20"/>
              </w:rPr>
            </w:pPr>
            <w:r>
              <w:rPr>
                <w:rFonts w:ascii="Times New Roman" w:eastAsia="Times New Roman" w:hAnsi="Times New Roman" w:cs="Times New Roman"/>
                <w:color w:val="101010"/>
                <w:sz w:val="20"/>
                <w:szCs w:val="20"/>
              </w:rPr>
              <w:t>The primary outcome event was a composite of recurrent stroke (ischemic or hemorrhagic), myocardial infarction (MI), and all-cause mortality within 3 months of the index stroke.</w:t>
            </w:r>
          </w:p>
        </w:tc>
      </w:tr>
      <w:tr w:rsidR="00EC27A1" w14:paraId="11B2D184" w14:textId="77777777">
        <w:trPr>
          <w:trHeight w:val="740"/>
        </w:trPr>
        <w:tc>
          <w:tcPr>
            <w:tcW w:w="1879" w:type="dxa"/>
            <w:shd w:val="clear" w:color="auto" w:fill="F2F2F2"/>
            <w:vAlign w:val="center"/>
          </w:tcPr>
          <w:p w14:paraId="727E5FCF"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Koyanagi, 2022</w:t>
            </w:r>
          </w:p>
        </w:tc>
        <w:tc>
          <w:tcPr>
            <w:tcW w:w="6930" w:type="dxa"/>
            <w:vAlign w:val="center"/>
          </w:tcPr>
          <w:p w14:paraId="752E7105" w14:textId="77777777" w:rsidR="00EC27A1" w:rsidRDefault="00000000">
            <w:pPr>
              <w:spacing w:before="200" w:after="200"/>
              <w:jc w:val="both"/>
              <w:rPr>
                <w:rFonts w:ascii="Times New Roman" w:eastAsia="Times New Roman" w:hAnsi="Times New Roman" w:cs="Times New Roman"/>
                <w:sz w:val="20"/>
                <w:szCs w:val="20"/>
              </w:rPr>
            </w:pPr>
            <w:r>
              <w:rPr>
                <w:rFonts w:ascii="Times New Roman" w:eastAsia="Times New Roman" w:hAnsi="Times New Roman" w:cs="Times New Roman"/>
                <w:color w:val="141413"/>
                <w:sz w:val="20"/>
                <w:szCs w:val="20"/>
              </w:rPr>
              <w:t>The primary outcome was a composite of all-cause death, ISTH major bleeding events and ischemic events. Ischemic events included ischemic stroke, acute coronary syndrome, acute myocardial infarction, or systemic embolism.</w:t>
            </w:r>
          </w:p>
        </w:tc>
      </w:tr>
      <w:tr w:rsidR="00EC27A1" w14:paraId="4A1F5AC1" w14:textId="77777777">
        <w:trPr>
          <w:trHeight w:val="566"/>
        </w:trPr>
        <w:tc>
          <w:tcPr>
            <w:tcW w:w="1879" w:type="dxa"/>
            <w:shd w:val="clear" w:color="auto" w:fill="F2F2F2"/>
            <w:vAlign w:val="center"/>
          </w:tcPr>
          <w:p w14:paraId="141C82CE"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McGrath, 2014</w:t>
            </w:r>
          </w:p>
        </w:tc>
        <w:tc>
          <w:tcPr>
            <w:tcW w:w="6930" w:type="dxa"/>
            <w:vAlign w:val="center"/>
          </w:tcPr>
          <w:p w14:paraId="24D2E81D" w14:textId="77777777" w:rsidR="00EC27A1" w:rsidRDefault="00000000">
            <w:pPr>
              <w:spacing w:before="200" w:after="200"/>
              <w:jc w:val="both"/>
              <w:rPr>
                <w:rFonts w:ascii="Times New Roman" w:eastAsia="Times New Roman" w:hAnsi="Times New Roman" w:cs="Times New Roman"/>
                <w:b/>
                <w:bCs/>
                <w:sz w:val="20"/>
                <w:szCs w:val="20"/>
              </w:rPr>
            </w:pPr>
            <w:r>
              <w:rPr>
                <w:rFonts w:ascii="Times New Roman" w:eastAsia="Times New Roman" w:hAnsi="Times New Roman" w:cs="Times New Roman"/>
                <w:color w:val="141413"/>
                <w:sz w:val="20"/>
                <w:szCs w:val="20"/>
              </w:rPr>
              <w:t>The primary outcome was the composite of death or hospital readmission for recurrent IS, myocardial infarction (MI), or major bleeding.</w:t>
            </w:r>
          </w:p>
        </w:tc>
      </w:tr>
      <w:tr w:rsidR="00EC27A1" w14:paraId="4DB969E8" w14:textId="77777777">
        <w:trPr>
          <w:trHeight w:val="1431"/>
        </w:trPr>
        <w:tc>
          <w:tcPr>
            <w:tcW w:w="1879" w:type="dxa"/>
            <w:shd w:val="clear" w:color="auto" w:fill="F2F2F2"/>
            <w:vAlign w:val="center"/>
          </w:tcPr>
          <w:p w14:paraId="2FE97D20"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Okazaki, 2025</w:t>
            </w:r>
          </w:p>
        </w:tc>
        <w:tc>
          <w:tcPr>
            <w:tcW w:w="6930" w:type="dxa"/>
            <w:vAlign w:val="center"/>
          </w:tcPr>
          <w:p w14:paraId="2B71F464" w14:textId="77777777" w:rsidR="00EC27A1" w:rsidRDefault="00000000">
            <w:pPr>
              <w:spacing w:before="200" w:after="200"/>
              <w:jc w:val="both"/>
              <w:rPr>
                <w:rFonts w:ascii="Times New Roman" w:eastAsia="Times New Roman" w:hAnsi="Times New Roman" w:cs="Times New Roman"/>
                <w:b/>
                <w:bCs/>
                <w:sz w:val="20"/>
                <w:szCs w:val="20"/>
              </w:rPr>
            </w:pPr>
            <w:r>
              <w:rPr>
                <w:rFonts w:ascii="Times New Roman" w:eastAsia="Times New Roman" w:hAnsi="Times New Roman" w:cs="Times New Roman"/>
                <w:color w:val="141413"/>
                <w:sz w:val="20"/>
                <w:szCs w:val="20"/>
              </w:rPr>
              <w:t>The primary outcome was a composite of ischemic cardiovascular events and ISTH major bleeding occurring within 2 years of randomization. Ischemic cardiovascular events included cardiovascular death, ischemic stroke, myocardial infarction, systemic embolism, and ischemic events requiring urgent revascularization.</w:t>
            </w:r>
          </w:p>
        </w:tc>
      </w:tr>
      <w:tr w:rsidR="00EC27A1" w14:paraId="4F0C755C" w14:textId="77777777">
        <w:trPr>
          <w:trHeight w:val="668"/>
        </w:trPr>
        <w:tc>
          <w:tcPr>
            <w:tcW w:w="8809" w:type="dxa"/>
            <w:gridSpan w:val="2"/>
            <w:shd w:val="clear" w:color="auto" w:fill="D0CECE"/>
            <w:vAlign w:val="center"/>
          </w:tcPr>
          <w:p w14:paraId="5D20D15B" w14:textId="77777777" w:rsidR="00EC27A1" w:rsidRDefault="00000000">
            <w:pPr>
              <w:ind w:left="501"/>
              <w:jc w:val="center"/>
              <w:rPr>
                <w:rFonts w:ascii="Times New Roman" w:eastAsia="Times New Roman" w:hAnsi="Times New Roman" w:cs="Times New Roman"/>
                <w:b/>
                <w:bCs/>
              </w:rPr>
            </w:pPr>
            <w:r>
              <w:rPr>
                <w:rFonts w:ascii="Times New Roman" w:eastAsia="Times New Roman" w:hAnsi="Times New Roman" w:cs="Times New Roman"/>
                <w:b/>
                <w:bCs/>
              </w:rPr>
              <w:t>Definitions of major bleeding</w:t>
            </w:r>
          </w:p>
        </w:tc>
      </w:tr>
      <w:tr w:rsidR="00EC27A1" w14:paraId="1D54EC1E" w14:textId="77777777">
        <w:trPr>
          <w:trHeight w:val="638"/>
        </w:trPr>
        <w:tc>
          <w:tcPr>
            <w:tcW w:w="1879" w:type="dxa"/>
            <w:shd w:val="clear" w:color="auto" w:fill="F2F2F2"/>
            <w:vAlign w:val="center"/>
          </w:tcPr>
          <w:p w14:paraId="2BFF3A71"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Choi, 2019</w:t>
            </w:r>
          </w:p>
        </w:tc>
        <w:tc>
          <w:tcPr>
            <w:tcW w:w="6930" w:type="dxa"/>
            <w:vAlign w:val="center"/>
          </w:tcPr>
          <w:p w14:paraId="7971C9BA" w14:textId="77777777" w:rsidR="00EC27A1" w:rsidRDefault="00000000">
            <w:pPr>
              <w:spacing w:before="200"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EC27A1" w14:paraId="443F813B" w14:textId="77777777">
        <w:trPr>
          <w:trHeight w:val="908"/>
        </w:trPr>
        <w:tc>
          <w:tcPr>
            <w:tcW w:w="1879" w:type="dxa"/>
            <w:shd w:val="clear" w:color="auto" w:fill="F2F2F2"/>
            <w:vAlign w:val="center"/>
          </w:tcPr>
          <w:p w14:paraId="5DF30500"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Harrison, 2024</w:t>
            </w:r>
          </w:p>
        </w:tc>
        <w:tc>
          <w:tcPr>
            <w:tcW w:w="6930" w:type="dxa"/>
            <w:vAlign w:val="center"/>
          </w:tcPr>
          <w:p w14:paraId="4F13C37D" w14:textId="77777777" w:rsidR="00EC27A1" w:rsidRDefault="00000000">
            <w:pPr>
              <w:spacing w:before="200"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Major bleeding was defined based on ICD codes for intracranial, gastrointestinal, ocular, respiratory, genitourinary, and other systemic hemorrhages.</w:t>
            </w:r>
          </w:p>
        </w:tc>
      </w:tr>
      <w:tr w:rsidR="00EC27A1" w14:paraId="0C3411A1" w14:textId="77777777">
        <w:trPr>
          <w:trHeight w:val="668"/>
        </w:trPr>
        <w:tc>
          <w:tcPr>
            <w:tcW w:w="1879" w:type="dxa"/>
            <w:shd w:val="clear" w:color="auto" w:fill="F2F2F2"/>
            <w:vAlign w:val="center"/>
          </w:tcPr>
          <w:p w14:paraId="534D80B6" w14:textId="77777777" w:rsidR="00EC27A1" w:rsidRDefault="00000000">
            <w:pPr>
              <w:spacing w:before="240" w:after="240"/>
              <w:jc w:val="center"/>
            </w:pPr>
            <w:r>
              <w:rPr>
                <w:rFonts w:ascii="Times New Roman" w:eastAsia="Times New Roman" w:hAnsi="Times New Roman" w:cs="Times New Roman"/>
                <w:sz w:val="20"/>
                <w:szCs w:val="20"/>
              </w:rPr>
              <w:t>Heo, 2024</w:t>
            </w:r>
          </w:p>
        </w:tc>
        <w:tc>
          <w:tcPr>
            <w:tcW w:w="6930" w:type="dxa"/>
            <w:vAlign w:val="center"/>
          </w:tcPr>
          <w:p w14:paraId="5F4F9C82" w14:textId="77777777" w:rsidR="00EC27A1" w:rsidRDefault="00000000">
            <w:pPr>
              <w:spacing w:before="200" w:after="200"/>
              <w:jc w:val="both"/>
              <w:rPr>
                <w:rFonts w:ascii="Times New Roman" w:eastAsia="Times New Roman" w:hAnsi="Times New Roman" w:cs="Times New Roman"/>
              </w:rPr>
            </w:pPr>
            <w:r>
              <w:rPr>
                <w:rFonts w:ascii="Times New Roman" w:eastAsia="Times New Roman" w:hAnsi="Times New Roman" w:cs="Times New Roman"/>
              </w:rPr>
              <w:t>NA</w:t>
            </w:r>
          </w:p>
        </w:tc>
      </w:tr>
      <w:tr w:rsidR="00EC27A1" w14:paraId="39EAC5BF" w14:textId="77777777">
        <w:trPr>
          <w:trHeight w:val="668"/>
        </w:trPr>
        <w:tc>
          <w:tcPr>
            <w:tcW w:w="1879" w:type="dxa"/>
            <w:shd w:val="clear" w:color="auto" w:fill="F2F2F2"/>
            <w:vAlign w:val="center"/>
          </w:tcPr>
          <w:p w14:paraId="4494FE44"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Kim, 2020</w:t>
            </w:r>
          </w:p>
        </w:tc>
        <w:tc>
          <w:tcPr>
            <w:tcW w:w="6930" w:type="dxa"/>
            <w:vAlign w:val="center"/>
          </w:tcPr>
          <w:p w14:paraId="22EB5A0F" w14:textId="77777777" w:rsidR="00EC27A1" w:rsidRDefault="00000000">
            <w:pPr>
              <w:spacing w:before="200"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EC27A1" w14:paraId="7883D51D" w14:textId="77777777">
        <w:trPr>
          <w:trHeight w:val="668"/>
        </w:trPr>
        <w:tc>
          <w:tcPr>
            <w:tcW w:w="1879" w:type="dxa"/>
            <w:shd w:val="clear" w:color="auto" w:fill="F2F2F2"/>
            <w:vAlign w:val="center"/>
          </w:tcPr>
          <w:p w14:paraId="7EB0F11F"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Koyanagi, 2022</w:t>
            </w:r>
          </w:p>
        </w:tc>
        <w:tc>
          <w:tcPr>
            <w:tcW w:w="6930" w:type="dxa"/>
            <w:vAlign w:val="center"/>
          </w:tcPr>
          <w:p w14:paraId="651F3010" w14:textId="77777777" w:rsidR="00EC27A1" w:rsidRDefault="00000000">
            <w:pPr>
              <w:spacing w:before="200"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Major bleeding was defined according to ISTH criteria.</w:t>
            </w:r>
          </w:p>
        </w:tc>
      </w:tr>
      <w:tr w:rsidR="00EC27A1" w14:paraId="1DABC753" w14:textId="77777777">
        <w:trPr>
          <w:trHeight w:val="668"/>
        </w:trPr>
        <w:tc>
          <w:tcPr>
            <w:tcW w:w="1879" w:type="dxa"/>
            <w:shd w:val="clear" w:color="auto" w:fill="F2F2F2"/>
            <w:vAlign w:val="center"/>
          </w:tcPr>
          <w:p w14:paraId="7493AAAD"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McGrath, 2014</w:t>
            </w:r>
          </w:p>
        </w:tc>
        <w:tc>
          <w:tcPr>
            <w:tcW w:w="6930" w:type="dxa"/>
            <w:vAlign w:val="center"/>
          </w:tcPr>
          <w:p w14:paraId="60079353" w14:textId="77777777" w:rsidR="00EC27A1" w:rsidRDefault="00000000">
            <w:pPr>
              <w:spacing w:before="200"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Major bleeding was defined based on ICD-10 codes for intracranial and gastrointestinal hemorrhages (including variceal and ulcer-related bleeding), as well as posthemorrhagic anemia.</w:t>
            </w:r>
          </w:p>
        </w:tc>
      </w:tr>
      <w:tr w:rsidR="00EC27A1" w14:paraId="2CFD7CFD" w14:textId="77777777">
        <w:trPr>
          <w:trHeight w:val="668"/>
        </w:trPr>
        <w:tc>
          <w:tcPr>
            <w:tcW w:w="1879" w:type="dxa"/>
            <w:shd w:val="clear" w:color="auto" w:fill="F2F2F2"/>
            <w:vAlign w:val="center"/>
          </w:tcPr>
          <w:p w14:paraId="620A6B68" w14:textId="77777777" w:rsidR="00EC27A1"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Okazaki, 2025</w:t>
            </w:r>
          </w:p>
        </w:tc>
        <w:tc>
          <w:tcPr>
            <w:tcW w:w="6930" w:type="dxa"/>
            <w:vAlign w:val="center"/>
          </w:tcPr>
          <w:p w14:paraId="44C74DB9" w14:textId="77777777" w:rsidR="00EC27A1" w:rsidRDefault="00000000">
            <w:pPr>
              <w:spacing w:before="200"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Major bleeding was defined according to ISTH criteria.</w:t>
            </w:r>
          </w:p>
        </w:tc>
      </w:tr>
      <w:tr w:rsidR="00EC27A1" w14:paraId="7CF73A45" w14:textId="77777777">
        <w:trPr>
          <w:trHeight w:val="501"/>
        </w:trPr>
        <w:tc>
          <w:tcPr>
            <w:tcW w:w="8809" w:type="dxa"/>
            <w:gridSpan w:val="2"/>
            <w:shd w:val="clear" w:color="auto" w:fill="FFFFFF"/>
            <w:vAlign w:val="center"/>
          </w:tcPr>
          <w:p w14:paraId="13B0B407" w14:textId="77777777" w:rsidR="00EC27A1"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ISTH: </w:t>
            </w:r>
            <w:r>
              <w:rPr>
                <w:rFonts w:ascii="Times New Roman" w:eastAsia="Times New Roman" w:hAnsi="Times New Roman" w:cs="Times New Roman"/>
                <w:color w:val="141413"/>
                <w:sz w:val="20"/>
                <w:szCs w:val="20"/>
              </w:rPr>
              <w:t xml:space="preserve">International Society of Thrombosis and Hemostasis; ICD: </w:t>
            </w:r>
            <w:r>
              <w:rPr>
                <w:rFonts w:ascii="Times New Roman" w:eastAsia="Times New Roman" w:hAnsi="Times New Roman" w:cs="Times New Roman"/>
                <w:sz w:val="20"/>
                <w:szCs w:val="20"/>
              </w:rPr>
              <w:t>International Classification of Diseases.</w:t>
            </w:r>
          </w:p>
        </w:tc>
      </w:tr>
    </w:tbl>
    <w:p w14:paraId="33835F14" w14:textId="77777777" w:rsidR="00EC27A1" w:rsidRDefault="00EC27A1"/>
    <w:p w14:paraId="51E35F67" w14:textId="77777777" w:rsidR="00EC27A1" w:rsidRDefault="00EC27A1">
      <w:pPr>
        <w:rPr>
          <w:rFonts w:ascii="Times New Roman" w:eastAsia="Times New Roman" w:hAnsi="Times New Roman" w:cs="Times New Roman"/>
          <w:sz w:val="20"/>
          <w:szCs w:val="20"/>
        </w:rPr>
      </w:pPr>
    </w:p>
    <w:p w14:paraId="1ACFC3CB" w14:textId="77777777" w:rsidR="00EC27A1" w:rsidRDefault="00EC27A1">
      <w:pPr>
        <w:spacing w:line="278" w:lineRule="auto"/>
        <w:rPr>
          <w:rFonts w:ascii="Times New Roman" w:eastAsia="Times New Roman" w:hAnsi="Times New Roman" w:cs="Times New Roman"/>
        </w:rPr>
      </w:pPr>
    </w:p>
    <w:p w14:paraId="2F970043" w14:textId="77777777" w:rsidR="00EC27A1" w:rsidRDefault="00EC27A1">
      <w:pPr>
        <w:spacing w:line="278" w:lineRule="auto"/>
        <w:rPr>
          <w:rFonts w:ascii="Times New Roman" w:eastAsia="Times New Roman" w:hAnsi="Times New Roman" w:cs="Times New Roman"/>
        </w:rPr>
      </w:pPr>
    </w:p>
    <w:p w14:paraId="4EF1E90C" w14:textId="77777777" w:rsidR="00EC27A1" w:rsidRDefault="00EC27A1">
      <w:pPr>
        <w:spacing w:line="278" w:lineRule="auto"/>
        <w:rPr>
          <w:rFonts w:ascii="Times New Roman" w:eastAsia="Times New Roman" w:hAnsi="Times New Roman" w:cs="Times New Roman"/>
        </w:rPr>
      </w:pPr>
    </w:p>
    <w:p w14:paraId="318661FA" w14:textId="77777777" w:rsidR="00EC27A1" w:rsidRDefault="00EC27A1">
      <w:pPr>
        <w:spacing w:line="278" w:lineRule="auto"/>
        <w:rPr>
          <w:rFonts w:ascii="Times New Roman" w:eastAsia="Times New Roman" w:hAnsi="Times New Roman" w:cs="Times New Roman"/>
        </w:rPr>
      </w:pPr>
    </w:p>
    <w:p w14:paraId="0B698DE3" w14:textId="77777777" w:rsidR="00EC27A1" w:rsidRDefault="00EC27A1">
      <w:pPr>
        <w:spacing w:line="278" w:lineRule="auto"/>
        <w:rPr>
          <w:rFonts w:ascii="Times New Roman" w:eastAsia="Times New Roman" w:hAnsi="Times New Roman" w:cs="Times New Roman"/>
        </w:rPr>
      </w:pPr>
    </w:p>
    <w:p w14:paraId="6B74FDAD" w14:textId="77777777" w:rsidR="00EC27A1" w:rsidRDefault="00EC27A1">
      <w:pPr>
        <w:rPr>
          <w:rFonts w:ascii="Times New Roman" w:eastAsia="Times New Roman" w:hAnsi="Times New Roman" w:cs="Times New Roman"/>
          <w:b/>
          <w:bCs/>
          <w:sz w:val="24"/>
          <w:szCs w:val="24"/>
        </w:rPr>
      </w:pPr>
    </w:p>
    <w:p w14:paraId="0234C93E" w14:textId="77777777" w:rsidR="00EC27A1" w:rsidRDefault="00EC27A1">
      <w:pPr>
        <w:rPr>
          <w:rFonts w:ascii="Times New Roman" w:eastAsia="Times New Roman" w:hAnsi="Times New Roman" w:cs="Times New Roman"/>
          <w:b/>
          <w:bCs/>
          <w:sz w:val="24"/>
          <w:szCs w:val="24"/>
        </w:rPr>
      </w:pPr>
    </w:p>
    <w:p w14:paraId="3E18F882" w14:textId="77777777" w:rsidR="00EC27A1" w:rsidRDefault="00EC27A1">
      <w:pPr>
        <w:rPr>
          <w:rFonts w:ascii="Times New Roman" w:eastAsia="Times New Roman" w:hAnsi="Times New Roman" w:cs="Times New Roman"/>
          <w:b/>
          <w:bCs/>
          <w:sz w:val="24"/>
          <w:szCs w:val="24"/>
        </w:rPr>
      </w:pPr>
    </w:p>
    <w:p w14:paraId="5F027AC7" w14:textId="77777777" w:rsidR="00EC27A1" w:rsidRDefault="00EC27A1">
      <w:pPr>
        <w:rPr>
          <w:rFonts w:ascii="Times New Roman" w:eastAsia="Times New Roman" w:hAnsi="Times New Roman" w:cs="Times New Roman"/>
          <w:b/>
          <w:bCs/>
          <w:sz w:val="24"/>
          <w:szCs w:val="24"/>
        </w:rPr>
      </w:pPr>
    </w:p>
    <w:p w14:paraId="7D2D162E" w14:textId="77777777" w:rsidR="00EC27A1" w:rsidRDefault="00EC27A1">
      <w:pPr>
        <w:rPr>
          <w:rFonts w:ascii="Times New Roman" w:eastAsia="Times New Roman" w:hAnsi="Times New Roman" w:cs="Times New Roman"/>
          <w:b/>
          <w:bCs/>
          <w:sz w:val="24"/>
          <w:szCs w:val="24"/>
        </w:rPr>
      </w:pPr>
    </w:p>
    <w:p w14:paraId="45B8E683" w14:textId="77777777" w:rsidR="00EC27A1" w:rsidRDefault="00EC27A1">
      <w:pPr>
        <w:rPr>
          <w:rFonts w:ascii="Times New Roman" w:eastAsia="Times New Roman" w:hAnsi="Times New Roman" w:cs="Times New Roman"/>
          <w:b/>
          <w:bCs/>
          <w:sz w:val="24"/>
          <w:szCs w:val="24"/>
        </w:rPr>
      </w:pPr>
    </w:p>
    <w:p w14:paraId="616FF68C" w14:textId="77777777" w:rsidR="00EC27A1" w:rsidRDefault="00EC27A1">
      <w:pPr>
        <w:rPr>
          <w:rFonts w:ascii="Times New Roman" w:eastAsia="Times New Roman" w:hAnsi="Times New Roman" w:cs="Times New Roman"/>
          <w:b/>
          <w:bCs/>
          <w:sz w:val="24"/>
          <w:szCs w:val="24"/>
        </w:rPr>
      </w:pPr>
    </w:p>
    <w:p w14:paraId="1F52333A" w14:textId="77777777" w:rsidR="00EC27A1" w:rsidRDefault="00EC27A1">
      <w:pPr>
        <w:rPr>
          <w:rFonts w:ascii="Times New Roman" w:eastAsia="Times New Roman" w:hAnsi="Times New Roman" w:cs="Times New Roman"/>
          <w:b/>
          <w:bCs/>
          <w:sz w:val="24"/>
          <w:szCs w:val="24"/>
        </w:rPr>
      </w:pPr>
    </w:p>
    <w:p w14:paraId="2F83EDCC" w14:textId="77777777" w:rsidR="00EC27A1" w:rsidRDefault="00EC27A1">
      <w:pPr>
        <w:rPr>
          <w:rFonts w:ascii="Times New Roman" w:eastAsia="Times New Roman" w:hAnsi="Times New Roman" w:cs="Times New Roman"/>
          <w:b/>
          <w:bCs/>
          <w:sz w:val="24"/>
          <w:szCs w:val="24"/>
        </w:rPr>
      </w:pPr>
    </w:p>
    <w:p w14:paraId="734667A6" w14:textId="77777777" w:rsidR="00EC27A1" w:rsidRDefault="00EC27A1">
      <w:pPr>
        <w:rPr>
          <w:rFonts w:ascii="Times New Roman" w:eastAsia="Times New Roman" w:hAnsi="Times New Roman" w:cs="Times New Roman"/>
          <w:b/>
          <w:bCs/>
          <w:sz w:val="24"/>
          <w:szCs w:val="24"/>
        </w:rPr>
      </w:pPr>
    </w:p>
    <w:p w14:paraId="6F034283" w14:textId="77777777" w:rsidR="00EC27A1" w:rsidRDefault="00EC27A1">
      <w:pPr>
        <w:rPr>
          <w:rFonts w:ascii="Times New Roman" w:eastAsia="Times New Roman" w:hAnsi="Times New Roman" w:cs="Times New Roman"/>
          <w:b/>
          <w:bCs/>
          <w:sz w:val="24"/>
          <w:szCs w:val="24"/>
        </w:rPr>
      </w:pPr>
    </w:p>
    <w:p w14:paraId="6B1B9B7D" w14:textId="77777777" w:rsidR="00EC27A1" w:rsidRDefault="00EC27A1">
      <w:pPr>
        <w:rPr>
          <w:rFonts w:ascii="Times New Roman" w:eastAsia="Times New Roman" w:hAnsi="Times New Roman" w:cs="Times New Roman"/>
          <w:b/>
          <w:bCs/>
          <w:sz w:val="24"/>
          <w:szCs w:val="24"/>
        </w:rPr>
      </w:pPr>
    </w:p>
    <w:p w14:paraId="1D290D03" w14:textId="77777777" w:rsidR="00EC27A1" w:rsidRDefault="00EC27A1">
      <w:pPr>
        <w:rPr>
          <w:rFonts w:ascii="Times New Roman" w:eastAsia="Times New Roman" w:hAnsi="Times New Roman" w:cs="Times New Roman"/>
          <w:b/>
          <w:bCs/>
          <w:sz w:val="24"/>
          <w:szCs w:val="24"/>
        </w:rPr>
      </w:pPr>
    </w:p>
    <w:p w14:paraId="4AE4F6A5" w14:textId="77777777" w:rsidR="00EC27A1" w:rsidRDefault="00EC27A1">
      <w:pPr>
        <w:rPr>
          <w:rFonts w:ascii="Times New Roman" w:eastAsia="Times New Roman" w:hAnsi="Times New Roman" w:cs="Times New Roman"/>
          <w:b/>
          <w:bCs/>
          <w:sz w:val="24"/>
          <w:szCs w:val="24"/>
        </w:rPr>
      </w:pPr>
    </w:p>
    <w:p w14:paraId="4CD6E784" w14:textId="77777777" w:rsidR="00EC27A1" w:rsidRDefault="00EC27A1">
      <w:pPr>
        <w:rPr>
          <w:rFonts w:ascii="Times New Roman" w:eastAsia="Times New Roman" w:hAnsi="Times New Roman" w:cs="Times New Roman"/>
          <w:b/>
          <w:bCs/>
          <w:sz w:val="24"/>
          <w:szCs w:val="24"/>
        </w:rPr>
      </w:pPr>
    </w:p>
    <w:p w14:paraId="6B7C890B" w14:textId="77777777" w:rsidR="00EC27A1" w:rsidRDefault="00EC27A1">
      <w:pPr>
        <w:rPr>
          <w:rFonts w:ascii="Times New Roman" w:eastAsia="Times New Roman" w:hAnsi="Times New Roman" w:cs="Times New Roman"/>
          <w:b/>
          <w:bCs/>
          <w:sz w:val="24"/>
          <w:szCs w:val="24"/>
        </w:rPr>
      </w:pPr>
    </w:p>
    <w:p w14:paraId="24CE13F0" w14:textId="77777777" w:rsidR="006E0284" w:rsidRDefault="006E0284">
      <w:pPr>
        <w:rPr>
          <w:rFonts w:ascii="Times New Roman" w:eastAsia="Times New Roman" w:hAnsi="Times New Roman" w:cs="Times New Roman"/>
          <w:b/>
          <w:bCs/>
          <w:sz w:val="24"/>
          <w:szCs w:val="24"/>
        </w:rPr>
      </w:pPr>
    </w:p>
    <w:p w14:paraId="19FE3EE8" w14:textId="77777777" w:rsidR="006E0284" w:rsidRDefault="006E0284">
      <w:pPr>
        <w:rPr>
          <w:rFonts w:ascii="Times New Roman" w:eastAsia="Times New Roman" w:hAnsi="Times New Roman" w:cs="Times New Roman"/>
          <w:b/>
          <w:bCs/>
          <w:sz w:val="24"/>
          <w:szCs w:val="24"/>
        </w:rPr>
      </w:pPr>
    </w:p>
    <w:p w14:paraId="23A25FE3" w14:textId="77777777" w:rsidR="00EC27A1" w:rsidRDefault="00000000">
      <w:r>
        <w:rPr>
          <w:rFonts w:ascii="Times New Roman" w:eastAsia="Times New Roman" w:hAnsi="Times New Roman" w:cs="Times New Roman"/>
          <w:b/>
          <w:bCs/>
          <w:sz w:val="24"/>
          <w:szCs w:val="24"/>
        </w:rPr>
        <w:lastRenderedPageBreak/>
        <w:t>Supplementary Table S3.</w:t>
      </w:r>
      <w:r>
        <w:rPr>
          <w:rFonts w:ascii="Times New Roman" w:eastAsia="Times New Roman" w:hAnsi="Times New Roman" w:cs="Times New Roman"/>
          <w:sz w:val="24"/>
          <w:szCs w:val="24"/>
        </w:rPr>
        <w:t xml:space="preserve"> Definitions of intra/extracranial atherosclerosis in each included study.</w:t>
      </w:r>
    </w:p>
    <w:tbl>
      <w:tblPr>
        <w:tblStyle w:val="a1"/>
        <w:tblpPr w:leftFromText="141" w:rightFromText="141" w:vertAnchor="page" w:horzAnchor="margin" w:tblpX="9" w:tblpY="2625"/>
        <w:tblW w:w="8809" w:type="dxa"/>
        <w:tblInd w:w="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000000"/>
        </w:tblBorders>
        <w:tblLayout w:type="fixed"/>
        <w:tblLook w:val="0400" w:firstRow="0" w:lastRow="0" w:firstColumn="0" w:lastColumn="0" w:noHBand="0" w:noVBand="1"/>
      </w:tblPr>
      <w:tblGrid>
        <w:gridCol w:w="1879"/>
        <w:gridCol w:w="6930"/>
      </w:tblGrid>
      <w:tr w:rsidR="00EC27A1" w14:paraId="2803E96E" w14:textId="77777777">
        <w:trPr>
          <w:trHeight w:val="668"/>
        </w:trPr>
        <w:tc>
          <w:tcPr>
            <w:tcW w:w="8809" w:type="dxa"/>
            <w:gridSpan w:val="2"/>
            <w:shd w:val="clear" w:color="auto" w:fill="D9D9D9"/>
            <w:vAlign w:val="center"/>
          </w:tcPr>
          <w:p w14:paraId="274548BB" w14:textId="77777777" w:rsidR="00EC27A1" w:rsidRDefault="00000000">
            <w:pPr>
              <w:spacing w:before="240" w:after="240" w:line="240" w:lineRule="auto"/>
              <w:ind w:left="501"/>
              <w:jc w:val="center"/>
              <w:rPr>
                <w:rFonts w:ascii="Times New Roman" w:eastAsia="Times New Roman" w:hAnsi="Times New Roman" w:cs="Times New Roman"/>
                <w:b/>
                <w:bCs/>
              </w:rPr>
            </w:pPr>
            <w:r>
              <w:rPr>
                <w:rFonts w:ascii="Times New Roman" w:eastAsia="Times New Roman" w:hAnsi="Times New Roman" w:cs="Times New Roman"/>
                <w:b/>
                <w:bCs/>
              </w:rPr>
              <w:t>Definitions of intracranial and extracranial atherosclerosis</w:t>
            </w:r>
          </w:p>
        </w:tc>
      </w:tr>
      <w:tr w:rsidR="00EC27A1" w14:paraId="3CCB3059" w14:textId="77777777">
        <w:trPr>
          <w:trHeight w:val="413"/>
        </w:trPr>
        <w:tc>
          <w:tcPr>
            <w:tcW w:w="1879" w:type="dxa"/>
            <w:shd w:val="clear" w:color="auto" w:fill="F2F2F2"/>
            <w:vAlign w:val="center"/>
          </w:tcPr>
          <w:p w14:paraId="391EDCFB" w14:textId="77777777" w:rsidR="00EC27A1" w:rsidRDefault="0000000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Choi, 2019</w:t>
            </w:r>
          </w:p>
        </w:tc>
        <w:tc>
          <w:tcPr>
            <w:tcW w:w="6930" w:type="dxa"/>
            <w:vAlign w:val="center"/>
          </w:tcPr>
          <w:p w14:paraId="70104F9D" w14:textId="77777777" w:rsidR="00EC27A1" w:rsidRDefault="00000000">
            <w:pPr>
              <w:spacing w:before="200"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EC27A1" w14:paraId="62D915EA" w14:textId="77777777">
        <w:trPr>
          <w:trHeight w:val="518"/>
        </w:trPr>
        <w:tc>
          <w:tcPr>
            <w:tcW w:w="1879" w:type="dxa"/>
            <w:shd w:val="clear" w:color="auto" w:fill="F2F2F2"/>
            <w:vAlign w:val="center"/>
          </w:tcPr>
          <w:p w14:paraId="5A0A98FA" w14:textId="77777777" w:rsidR="00EC27A1" w:rsidRDefault="0000000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Harrison, 2024</w:t>
            </w:r>
          </w:p>
        </w:tc>
        <w:tc>
          <w:tcPr>
            <w:tcW w:w="6930" w:type="dxa"/>
            <w:vAlign w:val="center"/>
          </w:tcPr>
          <w:p w14:paraId="639B9612" w14:textId="77777777" w:rsidR="00EC27A1" w:rsidRDefault="00000000">
            <w:pPr>
              <w:spacing w:before="200"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Carotid artery disease was identified using ICD-10 codes (I63.03, I63.13, I63.23, I65.2), without specification of stenosis severity or imaging criteria.</w:t>
            </w:r>
          </w:p>
        </w:tc>
      </w:tr>
      <w:tr w:rsidR="00EC27A1" w14:paraId="6A6176B8" w14:textId="77777777">
        <w:trPr>
          <w:trHeight w:val="518"/>
        </w:trPr>
        <w:tc>
          <w:tcPr>
            <w:tcW w:w="1879" w:type="dxa"/>
            <w:shd w:val="clear" w:color="auto" w:fill="F2F2F2"/>
            <w:vAlign w:val="center"/>
          </w:tcPr>
          <w:p w14:paraId="3D2AA8FF" w14:textId="77777777" w:rsidR="00EC27A1" w:rsidRDefault="00000000">
            <w:pPr>
              <w:spacing w:before="240" w:after="240" w:line="240" w:lineRule="auto"/>
              <w:jc w:val="center"/>
              <w:rPr>
                <w:rFonts w:ascii="Times New Roman" w:eastAsia="Times New Roman" w:hAnsi="Times New Roman" w:cs="Times New Roman"/>
              </w:rPr>
            </w:pPr>
            <w:r>
              <w:rPr>
                <w:rFonts w:ascii="Times New Roman" w:eastAsia="Times New Roman" w:hAnsi="Times New Roman" w:cs="Times New Roman"/>
                <w:sz w:val="20"/>
                <w:szCs w:val="20"/>
              </w:rPr>
              <w:t>Heo, 2024</w:t>
            </w:r>
          </w:p>
        </w:tc>
        <w:tc>
          <w:tcPr>
            <w:tcW w:w="6930" w:type="dxa"/>
            <w:vAlign w:val="center"/>
          </w:tcPr>
          <w:p w14:paraId="28A20333" w14:textId="77777777" w:rsidR="00EC27A1" w:rsidRDefault="00000000">
            <w:pPr>
              <w:spacing w:before="200"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EC27A1" w14:paraId="66547381" w14:textId="77777777">
        <w:trPr>
          <w:trHeight w:val="458"/>
        </w:trPr>
        <w:tc>
          <w:tcPr>
            <w:tcW w:w="1879" w:type="dxa"/>
            <w:shd w:val="clear" w:color="auto" w:fill="F2F2F2"/>
            <w:vAlign w:val="center"/>
          </w:tcPr>
          <w:p w14:paraId="38145DB7" w14:textId="77777777" w:rsidR="00EC27A1" w:rsidRDefault="0000000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Kim, 2020</w:t>
            </w:r>
          </w:p>
        </w:tc>
        <w:tc>
          <w:tcPr>
            <w:tcW w:w="6930" w:type="dxa"/>
            <w:vAlign w:val="center"/>
          </w:tcPr>
          <w:p w14:paraId="005C0C67" w14:textId="77777777" w:rsidR="00EC27A1" w:rsidRPr="006E0284" w:rsidRDefault="00000000">
            <w:pPr>
              <w:spacing w:before="200" w:after="200" w:line="240" w:lineRule="auto"/>
              <w:jc w:val="both"/>
              <w:rPr>
                <w:rFonts w:ascii="Times New Roman" w:eastAsia="Times New Roman" w:hAnsi="Times New Roman" w:cs="Times New Roman"/>
                <w:color w:val="101010"/>
                <w:sz w:val="20"/>
                <w:szCs w:val="20"/>
              </w:rPr>
            </w:pPr>
            <w:r w:rsidRPr="006E0284">
              <w:rPr>
                <w:rFonts w:ascii="Times New Roman" w:eastAsia="Gungsuh" w:hAnsi="Times New Roman" w:cs="Times New Roman"/>
                <w:sz w:val="20"/>
                <w:szCs w:val="20"/>
              </w:rPr>
              <w:t>Patients with clinically significant large artery steno-occlusion (LASO) were included. LASO was defined as ≥50% stenosis or occlusion on CT or MR angiography, considered clinically significant when corresponding to acute ischemic lesions on brain imaging.</w:t>
            </w:r>
          </w:p>
        </w:tc>
      </w:tr>
      <w:tr w:rsidR="00EC27A1" w14:paraId="388DE66C" w14:textId="77777777">
        <w:trPr>
          <w:trHeight w:val="443"/>
        </w:trPr>
        <w:tc>
          <w:tcPr>
            <w:tcW w:w="1879" w:type="dxa"/>
            <w:shd w:val="clear" w:color="auto" w:fill="F2F2F2"/>
            <w:vAlign w:val="center"/>
          </w:tcPr>
          <w:p w14:paraId="50DFFC86" w14:textId="77777777" w:rsidR="00EC27A1" w:rsidRDefault="0000000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Koyanagi, 2022</w:t>
            </w:r>
          </w:p>
        </w:tc>
        <w:tc>
          <w:tcPr>
            <w:tcW w:w="6930" w:type="dxa"/>
            <w:vAlign w:val="center"/>
          </w:tcPr>
          <w:p w14:paraId="3BE76EAE" w14:textId="77777777" w:rsidR="00EC27A1" w:rsidRDefault="00000000">
            <w:pPr>
              <w:spacing w:before="200"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Intra-/extracranial artery stenosis was defined as &gt;50% stenosis on vascular imaging (MRA, CTA, or DSA).</w:t>
            </w:r>
          </w:p>
        </w:tc>
      </w:tr>
      <w:tr w:rsidR="00EC27A1" w14:paraId="1E75EBFB" w14:textId="77777777">
        <w:trPr>
          <w:trHeight w:val="495"/>
        </w:trPr>
        <w:tc>
          <w:tcPr>
            <w:tcW w:w="1879" w:type="dxa"/>
            <w:shd w:val="clear" w:color="auto" w:fill="F2F2F2"/>
            <w:vAlign w:val="center"/>
          </w:tcPr>
          <w:p w14:paraId="36CD9593" w14:textId="77777777" w:rsidR="00EC27A1" w:rsidRDefault="0000000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McGrath, 2014</w:t>
            </w:r>
          </w:p>
        </w:tc>
        <w:tc>
          <w:tcPr>
            <w:tcW w:w="6930" w:type="dxa"/>
            <w:vAlign w:val="center"/>
          </w:tcPr>
          <w:p w14:paraId="07F0082A" w14:textId="77777777" w:rsidR="00EC27A1" w:rsidRDefault="00000000">
            <w:pPr>
              <w:spacing w:before="200" w:after="20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r>
      <w:tr w:rsidR="00EC27A1" w14:paraId="6E8F8B77" w14:textId="77777777">
        <w:trPr>
          <w:trHeight w:val="413"/>
        </w:trPr>
        <w:tc>
          <w:tcPr>
            <w:tcW w:w="1879" w:type="dxa"/>
            <w:shd w:val="clear" w:color="auto" w:fill="F2F2F2"/>
            <w:vAlign w:val="center"/>
          </w:tcPr>
          <w:p w14:paraId="2CEAC2EB" w14:textId="77777777" w:rsidR="00EC27A1" w:rsidRDefault="00000000">
            <w:pPr>
              <w:spacing w:before="240"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Okazaki, 2025</w:t>
            </w:r>
          </w:p>
        </w:tc>
        <w:tc>
          <w:tcPr>
            <w:tcW w:w="6930" w:type="dxa"/>
            <w:vAlign w:val="center"/>
          </w:tcPr>
          <w:p w14:paraId="454476D4" w14:textId="77777777" w:rsidR="00EC27A1" w:rsidRPr="006E0284" w:rsidRDefault="00000000">
            <w:pPr>
              <w:spacing w:before="200" w:after="200" w:line="240" w:lineRule="auto"/>
              <w:jc w:val="both"/>
              <w:rPr>
                <w:rFonts w:ascii="Times New Roman" w:eastAsia="Times New Roman" w:hAnsi="Times New Roman" w:cs="Times New Roman"/>
                <w:sz w:val="20"/>
                <w:szCs w:val="20"/>
              </w:rPr>
            </w:pPr>
            <w:r w:rsidRPr="006E0284">
              <w:rPr>
                <w:rFonts w:ascii="Times New Roman" w:eastAsia="Gungsuh" w:hAnsi="Times New Roman" w:cs="Times New Roman"/>
                <w:sz w:val="20"/>
                <w:szCs w:val="20"/>
              </w:rPr>
              <w:t>Subgroup analysis restricted to patients with intracranial or carotid stenosis (≥50% in diameter) was reported in the supplementary material (</w:t>
            </w:r>
            <w:proofErr w:type="spellStart"/>
            <w:r w:rsidRPr="006E0284">
              <w:rPr>
                <w:rFonts w:ascii="Times New Roman" w:eastAsia="Gungsuh" w:hAnsi="Times New Roman" w:cs="Times New Roman"/>
                <w:sz w:val="20"/>
                <w:szCs w:val="20"/>
              </w:rPr>
              <w:t>eFigure</w:t>
            </w:r>
            <w:proofErr w:type="spellEnd"/>
            <w:r w:rsidRPr="006E0284">
              <w:rPr>
                <w:rFonts w:ascii="Times New Roman" w:eastAsia="Gungsuh" w:hAnsi="Times New Roman" w:cs="Times New Roman"/>
                <w:sz w:val="20"/>
                <w:szCs w:val="20"/>
              </w:rPr>
              <w:t xml:space="preserve"> 1).</w:t>
            </w:r>
          </w:p>
        </w:tc>
      </w:tr>
      <w:tr w:rsidR="00EC27A1" w14:paraId="01B2EC95" w14:textId="77777777">
        <w:trPr>
          <w:trHeight w:val="1165"/>
        </w:trPr>
        <w:tc>
          <w:tcPr>
            <w:tcW w:w="8809" w:type="dxa"/>
            <w:gridSpan w:val="2"/>
            <w:shd w:val="clear" w:color="auto" w:fill="FFFFFF"/>
            <w:vAlign w:val="center"/>
          </w:tcPr>
          <w:p w14:paraId="13E63604" w14:textId="77777777" w:rsidR="00EC27A1"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141515"/>
                <w:sz w:val="20"/>
                <w:szCs w:val="20"/>
              </w:rPr>
              <w:t xml:space="preserve">CRCS: Clinical Research Center for Stroke; CT: computed tomography; </w:t>
            </w:r>
            <w:r>
              <w:rPr>
                <w:rFonts w:ascii="Times New Roman" w:eastAsia="Times New Roman" w:hAnsi="Times New Roman" w:cs="Times New Roman"/>
                <w:sz w:val="20"/>
                <w:szCs w:val="20"/>
              </w:rPr>
              <w:t xml:space="preserve">CTA: </w:t>
            </w:r>
            <w:r>
              <w:rPr>
                <w:rFonts w:ascii="Times New Roman" w:eastAsia="Times New Roman" w:hAnsi="Times New Roman" w:cs="Times New Roman"/>
                <w:color w:val="141515"/>
                <w:sz w:val="20"/>
                <w:szCs w:val="20"/>
              </w:rPr>
              <w:t xml:space="preserve">computed tomography angiography; DSA: digital subtraction angiography; ICD: International Classification of Diseases; </w:t>
            </w:r>
            <w:r>
              <w:rPr>
                <w:rFonts w:ascii="Times New Roman" w:eastAsia="Times New Roman" w:hAnsi="Times New Roman" w:cs="Times New Roman"/>
                <w:sz w:val="20"/>
                <w:szCs w:val="20"/>
              </w:rPr>
              <w:t xml:space="preserve">MRA: </w:t>
            </w:r>
            <w:r>
              <w:rPr>
                <w:rFonts w:ascii="Times New Roman" w:eastAsia="Times New Roman" w:hAnsi="Times New Roman" w:cs="Times New Roman"/>
                <w:color w:val="141515"/>
                <w:sz w:val="20"/>
                <w:szCs w:val="20"/>
              </w:rPr>
              <w:t>magnetic resonance angiography;</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141413"/>
                <w:sz w:val="20"/>
                <w:szCs w:val="20"/>
              </w:rPr>
              <w:t xml:space="preserve">NHIRD: National Health Insurance Research Database; </w:t>
            </w:r>
            <w:r>
              <w:rPr>
                <w:rFonts w:ascii="Times New Roman" w:eastAsia="Times New Roman" w:hAnsi="Times New Roman" w:cs="Times New Roman"/>
                <w:sz w:val="20"/>
                <w:szCs w:val="20"/>
              </w:rPr>
              <w:t xml:space="preserve">TOAST: </w:t>
            </w:r>
            <w:r>
              <w:rPr>
                <w:rFonts w:ascii="Times New Roman" w:eastAsia="Times New Roman" w:hAnsi="Times New Roman" w:cs="Times New Roman"/>
                <w:color w:val="141515"/>
                <w:sz w:val="20"/>
                <w:szCs w:val="20"/>
              </w:rPr>
              <w:t>Trial of Org 10172 in Acute Stroke Treatment.</w:t>
            </w:r>
          </w:p>
        </w:tc>
      </w:tr>
    </w:tbl>
    <w:p w14:paraId="482ABB4A" w14:textId="77777777" w:rsidR="00EC27A1" w:rsidRDefault="00EC27A1">
      <w:pPr>
        <w:rPr>
          <w:rFonts w:ascii="Times New Roman" w:eastAsia="Times New Roman" w:hAnsi="Times New Roman" w:cs="Times New Roman"/>
          <w:sz w:val="24"/>
          <w:szCs w:val="24"/>
        </w:rPr>
        <w:sectPr w:rsidR="00EC27A1">
          <w:headerReference w:type="default" r:id="rId6"/>
          <w:footerReference w:type="default" r:id="rId7"/>
          <w:pgSz w:w="11906" w:h="16838"/>
          <w:pgMar w:top="1417" w:right="1701" w:bottom="1417" w:left="1701" w:header="708" w:footer="708" w:gutter="0"/>
          <w:lnNumType w:countBy="1"/>
          <w:pgNumType w:start="1"/>
          <w:cols w:space="720"/>
        </w:sectPr>
      </w:pPr>
    </w:p>
    <w:p w14:paraId="2A5FD157" w14:textId="01B9F707" w:rsidR="00EC27A1" w:rsidRPr="00644145" w:rsidRDefault="00644145">
      <w:pPr>
        <w:spacing w:after="0" w:line="276" w:lineRule="auto"/>
        <w:rPr>
          <w:rFonts w:ascii="Times New Roman" w:eastAsia="Times New Roman" w:hAnsi="Times New Roman" w:cs="Times New Roman"/>
        </w:rPr>
      </w:pPr>
      <w:r w:rsidRPr="00644145">
        <w:rPr>
          <w:rFonts w:ascii="Times New Roman" w:eastAsia="Times New Roman" w:hAnsi="Times New Roman" w:cs="Times New Roman"/>
          <w:b/>
          <w:bCs/>
        </w:rPr>
        <w:lastRenderedPageBreak/>
        <w:t xml:space="preserve">Supplementary </w:t>
      </w:r>
      <w:r w:rsidR="00000000" w:rsidRPr="00644145">
        <w:rPr>
          <w:rFonts w:ascii="Times New Roman" w:eastAsia="Times New Roman" w:hAnsi="Times New Roman" w:cs="Times New Roman"/>
          <w:b/>
          <w:bCs/>
        </w:rPr>
        <w:t>Table S4.</w:t>
      </w:r>
      <w:r w:rsidR="00000000" w:rsidRPr="00644145">
        <w:rPr>
          <w:rFonts w:ascii="Times New Roman" w:eastAsia="Times New Roman" w:hAnsi="Times New Roman" w:cs="Times New Roman"/>
        </w:rPr>
        <w:t xml:space="preserve"> Detailed ROBINS-I Risk of Bias Assessment</w:t>
      </w:r>
      <w:r>
        <w:rPr>
          <w:rFonts w:ascii="Times New Roman" w:eastAsia="Times New Roman" w:hAnsi="Times New Roman" w:cs="Times New Roman"/>
        </w:rPr>
        <w:t>.</w:t>
      </w:r>
    </w:p>
    <w:p w14:paraId="38EEBDB7" w14:textId="77777777" w:rsidR="00EC27A1" w:rsidRDefault="00EC27A1">
      <w:pPr>
        <w:spacing w:after="0" w:line="276" w:lineRule="auto"/>
        <w:rPr>
          <w:rFonts w:ascii="Times New Roman" w:eastAsia="Times New Roman" w:hAnsi="Times New Roman" w:cs="Times New Roman"/>
          <w:sz w:val="20"/>
          <w:szCs w:val="20"/>
        </w:rPr>
      </w:pPr>
    </w:p>
    <w:tbl>
      <w:tblPr>
        <w:tblStyle w:val="a2"/>
        <w:tblW w:w="149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657"/>
        <w:gridCol w:w="1658"/>
        <w:gridCol w:w="1658"/>
        <w:gridCol w:w="1658"/>
        <w:gridCol w:w="1658"/>
        <w:gridCol w:w="1658"/>
        <w:gridCol w:w="1658"/>
        <w:gridCol w:w="1658"/>
        <w:gridCol w:w="1658"/>
      </w:tblGrid>
      <w:tr w:rsidR="00EC27A1" w14:paraId="286456F8" w14:textId="77777777">
        <w:trPr>
          <w:trHeight w:val="56"/>
        </w:trPr>
        <w:tc>
          <w:tcPr>
            <w:tcW w:w="1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9F0D76B"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Study</w:t>
            </w:r>
          </w:p>
        </w:tc>
        <w:tc>
          <w:tcPr>
            <w:tcW w:w="1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6784F7B7"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Confounding</w:t>
            </w:r>
          </w:p>
        </w:tc>
        <w:tc>
          <w:tcPr>
            <w:tcW w:w="1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73200B22"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Selection of Participants</w:t>
            </w:r>
          </w:p>
        </w:tc>
        <w:tc>
          <w:tcPr>
            <w:tcW w:w="1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2F580785"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Classification of Intervention</w:t>
            </w:r>
          </w:p>
        </w:tc>
        <w:tc>
          <w:tcPr>
            <w:tcW w:w="1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5F255002"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Deviations from Intended Interventions</w:t>
            </w:r>
          </w:p>
        </w:tc>
        <w:tc>
          <w:tcPr>
            <w:tcW w:w="1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57B3CA3"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Missing Data</w:t>
            </w:r>
          </w:p>
        </w:tc>
        <w:tc>
          <w:tcPr>
            <w:tcW w:w="1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53D1FFDF"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Measurement of Outcomes</w:t>
            </w:r>
          </w:p>
        </w:tc>
        <w:tc>
          <w:tcPr>
            <w:tcW w:w="1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A51F2DE"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Selection of Reported Results</w:t>
            </w:r>
          </w:p>
        </w:tc>
        <w:tc>
          <w:tcPr>
            <w:tcW w:w="1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74DEF4DA"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Overall Risk</w:t>
            </w:r>
          </w:p>
        </w:tc>
      </w:tr>
      <w:tr w:rsidR="00EC27A1" w14:paraId="2AF7CB4B" w14:textId="77777777">
        <w:trPr>
          <w:trHeight w:val="514"/>
        </w:trPr>
        <w:tc>
          <w:tcPr>
            <w:tcW w:w="1658" w:type="dxa"/>
            <w:tcMar>
              <w:top w:w="0" w:type="dxa"/>
              <w:left w:w="0" w:type="dxa"/>
              <w:bottom w:w="0" w:type="dxa"/>
              <w:right w:w="0" w:type="dxa"/>
            </w:tcMar>
            <w:vAlign w:val="center"/>
          </w:tcPr>
          <w:p w14:paraId="2C6920AB"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Choi et al., 2019</w:t>
            </w:r>
          </w:p>
        </w:tc>
        <w:tc>
          <w:tcPr>
            <w:tcW w:w="1658" w:type="dxa"/>
            <w:tcMar>
              <w:top w:w="0" w:type="dxa"/>
              <w:left w:w="0" w:type="dxa"/>
              <w:bottom w:w="0" w:type="dxa"/>
              <w:right w:w="0" w:type="dxa"/>
            </w:tcMar>
            <w:vAlign w:val="center"/>
          </w:tcPr>
          <w:p w14:paraId="5816F8EA"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Serious</w:t>
            </w:r>
            <w:r>
              <w:rPr>
                <w:rFonts w:ascii="Times New Roman" w:eastAsia="Times New Roman" w:hAnsi="Times New Roman" w:cs="Times New Roman"/>
                <w:sz w:val="18"/>
                <w:szCs w:val="18"/>
              </w:rPr>
              <w:t xml:space="preserve"> – Residual confounding; D-dimer variability; unmeasured thrombotic conditions</w:t>
            </w:r>
          </w:p>
        </w:tc>
        <w:tc>
          <w:tcPr>
            <w:tcW w:w="1658" w:type="dxa"/>
            <w:tcMar>
              <w:top w:w="0" w:type="dxa"/>
              <w:left w:w="0" w:type="dxa"/>
              <w:bottom w:w="0" w:type="dxa"/>
              <w:right w:w="0" w:type="dxa"/>
            </w:tcMar>
            <w:vAlign w:val="center"/>
          </w:tcPr>
          <w:p w14:paraId="04581D13"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w:t>
            </w:r>
          </w:p>
        </w:tc>
        <w:tc>
          <w:tcPr>
            <w:tcW w:w="1658" w:type="dxa"/>
            <w:tcMar>
              <w:top w:w="0" w:type="dxa"/>
              <w:left w:w="0" w:type="dxa"/>
              <w:bottom w:w="0" w:type="dxa"/>
              <w:right w:w="0" w:type="dxa"/>
            </w:tcMar>
            <w:vAlign w:val="center"/>
          </w:tcPr>
          <w:p w14:paraId="4360233D"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Baseline D-dimer measurement variability</w:t>
            </w:r>
          </w:p>
        </w:tc>
        <w:tc>
          <w:tcPr>
            <w:tcW w:w="1658" w:type="dxa"/>
            <w:tcMar>
              <w:top w:w="0" w:type="dxa"/>
              <w:left w:w="0" w:type="dxa"/>
              <w:bottom w:w="0" w:type="dxa"/>
              <w:right w:w="0" w:type="dxa"/>
            </w:tcMar>
            <w:vAlign w:val="center"/>
          </w:tcPr>
          <w:p w14:paraId="5A34C3FC"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Limited adherence verification</w:t>
            </w:r>
          </w:p>
        </w:tc>
        <w:tc>
          <w:tcPr>
            <w:tcW w:w="1658" w:type="dxa"/>
            <w:tcMar>
              <w:top w:w="0" w:type="dxa"/>
              <w:left w:w="0" w:type="dxa"/>
              <w:bottom w:w="0" w:type="dxa"/>
              <w:right w:w="0" w:type="dxa"/>
            </w:tcMar>
            <w:vAlign w:val="center"/>
          </w:tcPr>
          <w:p w14:paraId="354F78CF"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Laboratory variation</w:t>
            </w:r>
          </w:p>
        </w:tc>
        <w:tc>
          <w:tcPr>
            <w:tcW w:w="1658" w:type="dxa"/>
            <w:tcMar>
              <w:top w:w="0" w:type="dxa"/>
              <w:left w:w="0" w:type="dxa"/>
              <w:bottom w:w="0" w:type="dxa"/>
              <w:right w:w="0" w:type="dxa"/>
            </w:tcMar>
            <w:vAlign w:val="center"/>
          </w:tcPr>
          <w:p w14:paraId="44DA6402"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Clinical records</w:t>
            </w:r>
          </w:p>
        </w:tc>
        <w:tc>
          <w:tcPr>
            <w:tcW w:w="1658" w:type="dxa"/>
            <w:tcMar>
              <w:top w:w="0" w:type="dxa"/>
              <w:left w:w="0" w:type="dxa"/>
              <w:bottom w:w="0" w:type="dxa"/>
              <w:right w:w="0" w:type="dxa"/>
            </w:tcMar>
            <w:vAlign w:val="center"/>
          </w:tcPr>
          <w:p w14:paraId="093B6D28"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Low</w:t>
            </w:r>
          </w:p>
        </w:tc>
        <w:tc>
          <w:tcPr>
            <w:tcW w:w="1658" w:type="dxa"/>
            <w:tcMar>
              <w:top w:w="0" w:type="dxa"/>
              <w:left w:w="0" w:type="dxa"/>
              <w:bottom w:w="0" w:type="dxa"/>
              <w:right w:w="0" w:type="dxa"/>
            </w:tcMar>
            <w:vAlign w:val="center"/>
          </w:tcPr>
          <w:p w14:paraId="47D7557F"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Serious</w:t>
            </w:r>
          </w:p>
        </w:tc>
      </w:tr>
      <w:tr w:rsidR="00EC27A1" w14:paraId="2409290F" w14:textId="77777777">
        <w:trPr>
          <w:trHeight w:val="536"/>
        </w:trPr>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3ED422" w14:textId="686DABAA"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Harris</w:t>
            </w:r>
            <w:r w:rsidR="006E0284">
              <w:rPr>
                <w:rFonts w:ascii="Times New Roman" w:eastAsia="Times New Roman" w:hAnsi="Times New Roman" w:cs="Times New Roman"/>
                <w:sz w:val="18"/>
                <w:szCs w:val="18"/>
              </w:rPr>
              <w:t>o</w:t>
            </w:r>
            <w:r>
              <w:rPr>
                <w:rFonts w:ascii="Times New Roman" w:eastAsia="Times New Roman" w:hAnsi="Times New Roman" w:cs="Times New Roman"/>
                <w:sz w:val="18"/>
                <w:szCs w:val="18"/>
              </w:rPr>
              <w:t>n et al., 2024</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5D1F07"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PS matching; no NIHSS or stenosis severity</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7C20FE"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Multi-institutional EHR network</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0A74C3"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Exposure limited to first 6 weeks</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2E1110"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Post-discharge therapy changes not captured</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5183CF"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Outcomes outside network not captured</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3A4C60"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ICD-based definitions</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90F736"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Prespecified outcomes</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68A185"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w:t>
            </w:r>
          </w:p>
        </w:tc>
      </w:tr>
      <w:tr w:rsidR="00EC27A1" w14:paraId="2C9E3EF1" w14:textId="77777777">
        <w:trPr>
          <w:trHeight w:val="686"/>
        </w:trPr>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78F1B4"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Heo et al., 2024</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DD4448"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IPTW applied; single-center limits covariate depth</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915958"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Single-center cohort</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1D60FC"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Discharge-based classification</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1E591F"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Adherence not fully assessable</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B4DCF3B"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Limited exposure tracking</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13E386"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Hospital record-based outcomes</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0C6466"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 selective reporting detected</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7452ED"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w:t>
            </w:r>
          </w:p>
        </w:tc>
      </w:tr>
      <w:tr w:rsidR="00EC27A1" w14:paraId="127E392A" w14:textId="77777777">
        <w:trPr>
          <w:trHeight w:val="598"/>
        </w:trPr>
        <w:tc>
          <w:tcPr>
            <w:tcW w:w="1658" w:type="dxa"/>
            <w:tcMar>
              <w:top w:w="0" w:type="dxa"/>
              <w:left w:w="0" w:type="dxa"/>
              <w:bottom w:w="0" w:type="dxa"/>
              <w:right w:w="0" w:type="dxa"/>
            </w:tcMar>
            <w:vAlign w:val="center"/>
          </w:tcPr>
          <w:p w14:paraId="4DE16C28"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Kim et al., 2020</w:t>
            </w:r>
          </w:p>
        </w:tc>
        <w:tc>
          <w:tcPr>
            <w:tcW w:w="1658" w:type="dxa"/>
            <w:tcMar>
              <w:top w:w="0" w:type="dxa"/>
              <w:left w:w="0" w:type="dxa"/>
              <w:bottom w:w="0" w:type="dxa"/>
              <w:right w:w="0" w:type="dxa"/>
            </w:tcMar>
            <w:vAlign w:val="center"/>
          </w:tcPr>
          <w:p w14:paraId="5BFF14BE"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Registry; residual confounding</w:t>
            </w:r>
          </w:p>
        </w:tc>
        <w:tc>
          <w:tcPr>
            <w:tcW w:w="1658" w:type="dxa"/>
            <w:tcMar>
              <w:top w:w="0" w:type="dxa"/>
              <w:left w:w="0" w:type="dxa"/>
              <w:bottom w:w="0" w:type="dxa"/>
              <w:right w:w="0" w:type="dxa"/>
            </w:tcMar>
            <w:vAlign w:val="center"/>
          </w:tcPr>
          <w:p w14:paraId="63CBB189"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National Korean cohort</w:t>
            </w:r>
          </w:p>
        </w:tc>
        <w:tc>
          <w:tcPr>
            <w:tcW w:w="1658" w:type="dxa"/>
            <w:tcMar>
              <w:top w:w="0" w:type="dxa"/>
              <w:left w:w="0" w:type="dxa"/>
              <w:bottom w:w="0" w:type="dxa"/>
              <w:right w:w="0" w:type="dxa"/>
            </w:tcMar>
            <w:vAlign w:val="center"/>
          </w:tcPr>
          <w:p w14:paraId="1866BFEB"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 dose/INR/NOAC detail</w:t>
            </w:r>
          </w:p>
        </w:tc>
        <w:tc>
          <w:tcPr>
            <w:tcW w:w="1658" w:type="dxa"/>
            <w:tcMar>
              <w:top w:w="0" w:type="dxa"/>
              <w:left w:w="0" w:type="dxa"/>
              <w:bottom w:w="0" w:type="dxa"/>
              <w:right w:w="0" w:type="dxa"/>
            </w:tcMar>
            <w:vAlign w:val="center"/>
          </w:tcPr>
          <w:p w14:paraId="38DD6A78"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 adherence confirmation</w:t>
            </w:r>
          </w:p>
        </w:tc>
        <w:tc>
          <w:tcPr>
            <w:tcW w:w="1658" w:type="dxa"/>
            <w:tcMar>
              <w:top w:w="0" w:type="dxa"/>
              <w:left w:w="0" w:type="dxa"/>
              <w:bottom w:w="0" w:type="dxa"/>
              <w:right w:w="0" w:type="dxa"/>
            </w:tcMar>
            <w:vAlign w:val="center"/>
          </w:tcPr>
          <w:p w14:paraId="214A5E1B"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w:t>
            </w:r>
          </w:p>
        </w:tc>
        <w:tc>
          <w:tcPr>
            <w:tcW w:w="1658" w:type="dxa"/>
            <w:tcMar>
              <w:top w:w="0" w:type="dxa"/>
              <w:left w:w="0" w:type="dxa"/>
              <w:bottom w:w="0" w:type="dxa"/>
              <w:right w:w="0" w:type="dxa"/>
            </w:tcMar>
            <w:vAlign w:val="center"/>
          </w:tcPr>
          <w:p w14:paraId="3D08E37D"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w:t>
            </w:r>
          </w:p>
        </w:tc>
        <w:tc>
          <w:tcPr>
            <w:tcW w:w="1658" w:type="dxa"/>
            <w:tcMar>
              <w:top w:w="0" w:type="dxa"/>
              <w:left w:w="0" w:type="dxa"/>
              <w:bottom w:w="0" w:type="dxa"/>
              <w:right w:w="0" w:type="dxa"/>
            </w:tcMar>
            <w:vAlign w:val="center"/>
          </w:tcPr>
          <w:p w14:paraId="190BF64C"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Low</w:t>
            </w:r>
          </w:p>
        </w:tc>
        <w:tc>
          <w:tcPr>
            <w:tcW w:w="1658" w:type="dxa"/>
            <w:tcMar>
              <w:top w:w="0" w:type="dxa"/>
              <w:left w:w="0" w:type="dxa"/>
              <w:bottom w:w="0" w:type="dxa"/>
              <w:right w:w="0" w:type="dxa"/>
            </w:tcMar>
            <w:vAlign w:val="center"/>
          </w:tcPr>
          <w:p w14:paraId="7AF48AD0"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w:t>
            </w:r>
          </w:p>
        </w:tc>
      </w:tr>
      <w:tr w:rsidR="00EC27A1" w14:paraId="7D913F8F" w14:textId="77777777">
        <w:trPr>
          <w:trHeight w:val="56"/>
        </w:trPr>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63AD71"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Koyanagi et al., 2022</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018FD4"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 bleeding risk scores; limited stenosis stratification</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F7B8AC"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Japanese registry cohort</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744D50"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Baseline treatment classification</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C6E40F"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 longitudinal verification</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27DFCD"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Small stenosis subgroup</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C198D4"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Clinical endpoints without blinded adjudication</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1109A8"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 reporting concerns</w:t>
            </w:r>
          </w:p>
        </w:tc>
        <w:tc>
          <w:tcPr>
            <w:tcW w:w="16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AC499F"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w:t>
            </w:r>
          </w:p>
        </w:tc>
      </w:tr>
      <w:tr w:rsidR="00EC27A1" w14:paraId="67BC25BB" w14:textId="77777777">
        <w:trPr>
          <w:trHeight w:val="56"/>
        </w:trPr>
        <w:tc>
          <w:tcPr>
            <w:tcW w:w="1658" w:type="dxa"/>
            <w:tcMar>
              <w:top w:w="0" w:type="dxa"/>
              <w:left w:w="0" w:type="dxa"/>
              <w:bottom w:w="0" w:type="dxa"/>
              <w:right w:w="0" w:type="dxa"/>
            </w:tcMar>
            <w:vAlign w:val="center"/>
          </w:tcPr>
          <w:p w14:paraId="4840593E"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McGrath et al., 2014</w:t>
            </w:r>
          </w:p>
        </w:tc>
        <w:tc>
          <w:tcPr>
            <w:tcW w:w="1658" w:type="dxa"/>
            <w:tcMar>
              <w:top w:w="0" w:type="dxa"/>
              <w:left w:w="0" w:type="dxa"/>
              <w:bottom w:w="0" w:type="dxa"/>
              <w:right w:w="0" w:type="dxa"/>
            </w:tcMar>
            <w:vAlign w:val="center"/>
          </w:tcPr>
          <w:p w14:paraId="67AC88F2"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 – No post-discharge therapy tracking</w:t>
            </w:r>
          </w:p>
        </w:tc>
        <w:tc>
          <w:tcPr>
            <w:tcW w:w="1658" w:type="dxa"/>
            <w:tcMar>
              <w:top w:w="0" w:type="dxa"/>
              <w:left w:w="0" w:type="dxa"/>
              <w:bottom w:w="0" w:type="dxa"/>
              <w:right w:w="0" w:type="dxa"/>
            </w:tcMar>
            <w:vAlign w:val="center"/>
          </w:tcPr>
          <w:p w14:paraId="610E9B8E"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 – Stroke center cohort</w:t>
            </w:r>
          </w:p>
        </w:tc>
        <w:tc>
          <w:tcPr>
            <w:tcW w:w="1658" w:type="dxa"/>
            <w:tcMar>
              <w:top w:w="0" w:type="dxa"/>
              <w:left w:w="0" w:type="dxa"/>
              <w:bottom w:w="0" w:type="dxa"/>
              <w:right w:w="0" w:type="dxa"/>
            </w:tcMar>
            <w:vAlign w:val="center"/>
          </w:tcPr>
          <w:p w14:paraId="08728928"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 – Discharge prescription only</w:t>
            </w:r>
          </w:p>
        </w:tc>
        <w:tc>
          <w:tcPr>
            <w:tcW w:w="1658" w:type="dxa"/>
            <w:tcMar>
              <w:top w:w="0" w:type="dxa"/>
              <w:left w:w="0" w:type="dxa"/>
              <w:bottom w:w="0" w:type="dxa"/>
              <w:right w:w="0" w:type="dxa"/>
            </w:tcMar>
            <w:vAlign w:val="center"/>
          </w:tcPr>
          <w:p w14:paraId="2D046C98"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 adherence/INR data</w:t>
            </w:r>
          </w:p>
        </w:tc>
        <w:tc>
          <w:tcPr>
            <w:tcW w:w="1658" w:type="dxa"/>
            <w:tcMar>
              <w:top w:w="0" w:type="dxa"/>
              <w:left w:w="0" w:type="dxa"/>
              <w:bottom w:w="0" w:type="dxa"/>
              <w:right w:w="0" w:type="dxa"/>
            </w:tcMar>
            <w:vAlign w:val="center"/>
          </w:tcPr>
          <w:p w14:paraId="1DC6CB61"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w:t>
            </w:r>
          </w:p>
        </w:tc>
        <w:tc>
          <w:tcPr>
            <w:tcW w:w="1658" w:type="dxa"/>
            <w:tcMar>
              <w:top w:w="0" w:type="dxa"/>
              <w:left w:w="0" w:type="dxa"/>
              <w:bottom w:w="0" w:type="dxa"/>
              <w:right w:w="0" w:type="dxa"/>
            </w:tcMar>
            <w:vAlign w:val="center"/>
          </w:tcPr>
          <w:p w14:paraId="6E74F8A4"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w:t>
            </w:r>
          </w:p>
        </w:tc>
        <w:tc>
          <w:tcPr>
            <w:tcW w:w="1658" w:type="dxa"/>
            <w:tcMar>
              <w:top w:w="0" w:type="dxa"/>
              <w:left w:w="0" w:type="dxa"/>
              <w:bottom w:w="0" w:type="dxa"/>
              <w:right w:w="0" w:type="dxa"/>
            </w:tcMar>
            <w:vAlign w:val="center"/>
          </w:tcPr>
          <w:p w14:paraId="18739275"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Low</w:t>
            </w:r>
          </w:p>
        </w:tc>
        <w:tc>
          <w:tcPr>
            <w:tcW w:w="1658" w:type="dxa"/>
            <w:tcMar>
              <w:top w:w="0" w:type="dxa"/>
              <w:left w:w="0" w:type="dxa"/>
              <w:bottom w:w="0" w:type="dxa"/>
              <w:right w:w="0" w:type="dxa"/>
            </w:tcMar>
            <w:vAlign w:val="center"/>
          </w:tcPr>
          <w:p w14:paraId="24C6551E" w14:textId="77777777" w:rsidR="00EC27A1"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Moderate</w:t>
            </w:r>
          </w:p>
        </w:tc>
      </w:tr>
    </w:tbl>
    <w:p w14:paraId="38005BDD" w14:textId="77777777" w:rsidR="00EC27A1" w:rsidRDefault="00EC27A1">
      <w:pPr>
        <w:spacing w:after="0" w:line="276" w:lineRule="auto"/>
        <w:rPr>
          <w:rFonts w:ascii="Times New Roman" w:eastAsia="Times New Roman" w:hAnsi="Times New Roman" w:cs="Times New Roman"/>
          <w:b/>
          <w:bCs/>
          <w:sz w:val="20"/>
          <w:szCs w:val="20"/>
        </w:rPr>
      </w:pPr>
    </w:p>
    <w:p w14:paraId="00D0FA77" w14:textId="77777777" w:rsidR="00EC27A1" w:rsidRDefault="00EC27A1">
      <w:pPr>
        <w:spacing w:after="0" w:line="276" w:lineRule="auto"/>
        <w:rPr>
          <w:rFonts w:ascii="Times New Roman" w:eastAsia="Times New Roman" w:hAnsi="Times New Roman" w:cs="Times New Roman"/>
          <w:b/>
          <w:bCs/>
          <w:sz w:val="20"/>
          <w:szCs w:val="20"/>
        </w:rPr>
      </w:pPr>
    </w:p>
    <w:p w14:paraId="6C255E27" w14:textId="77777777" w:rsidR="00EC27A1" w:rsidRDefault="00EC27A1">
      <w:pPr>
        <w:spacing w:after="0" w:line="276" w:lineRule="auto"/>
        <w:rPr>
          <w:rFonts w:ascii="Times New Roman" w:eastAsia="Times New Roman" w:hAnsi="Times New Roman" w:cs="Times New Roman"/>
          <w:b/>
          <w:bCs/>
          <w:sz w:val="20"/>
          <w:szCs w:val="20"/>
        </w:rPr>
      </w:pPr>
    </w:p>
    <w:p w14:paraId="7099DD7A" w14:textId="26291902" w:rsidR="00EC27A1" w:rsidRPr="00644145" w:rsidRDefault="00644145">
      <w:pPr>
        <w:spacing w:after="0" w:line="276" w:lineRule="auto"/>
        <w:rPr>
          <w:rFonts w:ascii="Times New Roman" w:eastAsia="Times New Roman" w:hAnsi="Times New Roman" w:cs="Times New Roman"/>
        </w:rPr>
      </w:pPr>
      <w:r w:rsidRPr="00644145">
        <w:rPr>
          <w:rFonts w:ascii="Times New Roman" w:eastAsia="Times New Roman" w:hAnsi="Times New Roman" w:cs="Times New Roman"/>
          <w:b/>
          <w:bCs/>
        </w:rPr>
        <w:t xml:space="preserve">Supplementary </w:t>
      </w:r>
      <w:r w:rsidR="00000000" w:rsidRPr="00644145">
        <w:rPr>
          <w:rFonts w:ascii="Times New Roman" w:eastAsia="Times New Roman" w:hAnsi="Times New Roman" w:cs="Times New Roman"/>
          <w:b/>
          <w:bCs/>
        </w:rPr>
        <w:t xml:space="preserve">Table S5. </w:t>
      </w:r>
      <w:r w:rsidR="00000000" w:rsidRPr="00644145">
        <w:rPr>
          <w:rFonts w:ascii="Times New Roman" w:eastAsia="Times New Roman" w:hAnsi="Times New Roman" w:cs="Times New Roman"/>
        </w:rPr>
        <w:t xml:space="preserve">Detailed </w:t>
      </w:r>
      <w:proofErr w:type="spellStart"/>
      <w:r w:rsidR="00000000" w:rsidRPr="00644145">
        <w:rPr>
          <w:rFonts w:ascii="Times New Roman" w:eastAsia="Times New Roman" w:hAnsi="Times New Roman" w:cs="Times New Roman"/>
        </w:rPr>
        <w:t>RoB</w:t>
      </w:r>
      <w:proofErr w:type="spellEnd"/>
      <w:r w:rsidR="00000000" w:rsidRPr="00644145">
        <w:rPr>
          <w:rFonts w:ascii="Times New Roman" w:eastAsia="Times New Roman" w:hAnsi="Times New Roman" w:cs="Times New Roman"/>
        </w:rPr>
        <w:t xml:space="preserve"> 2.0 Assessment</w:t>
      </w:r>
      <w:r>
        <w:rPr>
          <w:rFonts w:ascii="Times New Roman" w:eastAsia="Times New Roman" w:hAnsi="Times New Roman" w:cs="Times New Roman"/>
        </w:rPr>
        <w:t>.</w:t>
      </w:r>
    </w:p>
    <w:p w14:paraId="59D2787F" w14:textId="77777777" w:rsidR="00EC27A1" w:rsidRDefault="00EC27A1">
      <w:pPr>
        <w:spacing w:after="0" w:line="276" w:lineRule="auto"/>
        <w:rPr>
          <w:rFonts w:ascii="Times New Roman" w:eastAsia="Times New Roman" w:hAnsi="Times New Roman" w:cs="Times New Roman"/>
          <w:sz w:val="20"/>
          <w:szCs w:val="20"/>
        </w:rPr>
      </w:pPr>
    </w:p>
    <w:tbl>
      <w:tblPr>
        <w:tblStyle w:val="a3"/>
        <w:tblW w:w="117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680"/>
        <w:gridCol w:w="1680"/>
        <w:gridCol w:w="2160"/>
        <w:gridCol w:w="1710"/>
        <w:gridCol w:w="1560"/>
        <w:gridCol w:w="1305"/>
        <w:gridCol w:w="1665"/>
      </w:tblGrid>
      <w:tr w:rsidR="00EC27A1" w14:paraId="69B33625" w14:textId="77777777">
        <w:trPr>
          <w:trHeight w:val="56"/>
        </w:trPr>
        <w:tc>
          <w:tcPr>
            <w:tcW w:w="1680" w:type="dxa"/>
            <w:tcBorders>
              <w:top w:val="single" w:sz="4" w:space="0" w:color="000000"/>
              <w:left w:val="single" w:sz="4" w:space="0" w:color="000000"/>
              <w:bottom w:val="single" w:sz="4" w:space="0" w:color="000000"/>
              <w:right w:val="single" w:sz="4" w:space="0" w:color="000000"/>
            </w:tcBorders>
            <w:shd w:val="clear" w:color="auto" w:fill="EFEFEF"/>
            <w:tcMar>
              <w:top w:w="0" w:type="dxa"/>
              <w:left w:w="0" w:type="dxa"/>
              <w:bottom w:w="0" w:type="dxa"/>
              <w:right w:w="0" w:type="dxa"/>
            </w:tcMar>
            <w:vAlign w:val="center"/>
          </w:tcPr>
          <w:p w14:paraId="7A657E9E"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bCs/>
                <w:sz w:val="16"/>
                <w:szCs w:val="16"/>
              </w:rPr>
              <w:t>Study</w:t>
            </w:r>
          </w:p>
        </w:tc>
        <w:tc>
          <w:tcPr>
            <w:tcW w:w="1680" w:type="dxa"/>
            <w:tcBorders>
              <w:top w:val="single" w:sz="4" w:space="0" w:color="000000"/>
              <w:left w:val="single" w:sz="4" w:space="0" w:color="000000"/>
              <w:bottom w:val="single" w:sz="4" w:space="0" w:color="000000"/>
              <w:right w:val="single" w:sz="4" w:space="0" w:color="000000"/>
            </w:tcBorders>
            <w:shd w:val="clear" w:color="auto" w:fill="EFEFEF"/>
            <w:tcMar>
              <w:top w:w="0" w:type="dxa"/>
              <w:left w:w="0" w:type="dxa"/>
              <w:bottom w:w="0" w:type="dxa"/>
              <w:right w:w="0" w:type="dxa"/>
            </w:tcMar>
            <w:vAlign w:val="center"/>
          </w:tcPr>
          <w:p w14:paraId="22B7757A"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bCs/>
                <w:sz w:val="16"/>
                <w:szCs w:val="16"/>
              </w:rPr>
              <w:t>Randomization Process</w:t>
            </w:r>
          </w:p>
        </w:tc>
        <w:tc>
          <w:tcPr>
            <w:tcW w:w="2160" w:type="dxa"/>
            <w:tcBorders>
              <w:top w:val="single" w:sz="4" w:space="0" w:color="000000"/>
              <w:left w:val="single" w:sz="4" w:space="0" w:color="000000"/>
              <w:bottom w:val="single" w:sz="4" w:space="0" w:color="000000"/>
              <w:right w:val="single" w:sz="4" w:space="0" w:color="000000"/>
            </w:tcBorders>
            <w:shd w:val="clear" w:color="auto" w:fill="EFEFEF"/>
            <w:tcMar>
              <w:top w:w="0" w:type="dxa"/>
              <w:left w:w="0" w:type="dxa"/>
              <w:bottom w:w="0" w:type="dxa"/>
              <w:right w:w="0" w:type="dxa"/>
            </w:tcMar>
            <w:vAlign w:val="center"/>
          </w:tcPr>
          <w:p w14:paraId="73228962"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bCs/>
                <w:sz w:val="16"/>
                <w:szCs w:val="16"/>
              </w:rPr>
              <w:t>Deviations from Intended Interventions</w:t>
            </w:r>
          </w:p>
        </w:tc>
        <w:tc>
          <w:tcPr>
            <w:tcW w:w="1710" w:type="dxa"/>
            <w:tcBorders>
              <w:top w:val="single" w:sz="4" w:space="0" w:color="000000"/>
              <w:left w:val="single" w:sz="4" w:space="0" w:color="000000"/>
              <w:bottom w:val="single" w:sz="4" w:space="0" w:color="000000"/>
              <w:right w:val="single" w:sz="4" w:space="0" w:color="000000"/>
            </w:tcBorders>
            <w:shd w:val="clear" w:color="auto" w:fill="EFEFEF"/>
            <w:tcMar>
              <w:top w:w="0" w:type="dxa"/>
              <w:left w:w="0" w:type="dxa"/>
              <w:bottom w:w="0" w:type="dxa"/>
              <w:right w:w="0" w:type="dxa"/>
            </w:tcMar>
            <w:vAlign w:val="center"/>
          </w:tcPr>
          <w:p w14:paraId="0EFD5A0F"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bCs/>
                <w:sz w:val="16"/>
                <w:szCs w:val="16"/>
              </w:rPr>
              <w:t>Missing Outcome Data</w:t>
            </w:r>
          </w:p>
        </w:tc>
        <w:tc>
          <w:tcPr>
            <w:tcW w:w="1560" w:type="dxa"/>
            <w:tcBorders>
              <w:top w:val="single" w:sz="4" w:space="0" w:color="000000"/>
              <w:left w:val="single" w:sz="4" w:space="0" w:color="000000"/>
              <w:bottom w:val="single" w:sz="4" w:space="0" w:color="000000"/>
              <w:right w:val="single" w:sz="4" w:space="0" w:color="000000"/>
            </w:tcBorders>
            <w:shd w:val="clear" w:color="auto" w:fill="EFEFEF"/>
            <w:tcMar>
              <w:top w:w="0" w:type="dxa"/>
              <w:left w:w="0" w:type="dxa"/>
              <w:bottom w:w="0" w:type="dxa"/>
              <w:right w:w="0" w:type="dxa"/>
            </w:tcMar>
            <w:vAlign w:val="center"/>
          </w:tcPr>
          <w:p w14:paraId="2874A2AE"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bCs/>
                <w:sz w:val="16"/>
                <w:szCs w:val="16"/>
              </w:rPr>
              <w:t>Measurement of Outcomes</w:t>
            </w:r>
          </w:p>
        </w:tc>
        <w:tc>
          <w:tcPr>
            <w:tcW w:w="1305" w:type="dxa"/>
            <w:tcBorders>
              <w:top w:val="single" w:sz="4" w:space="0" w:color="000000"/>
              <w:left w:val="single" w:sz="4" w:space="0" w:color="000000"/>
              <w:bottom w:val="single" w:sz="4" w:space="0" w:color="000000"/>
              <w:right w:val="single" w:sz="4" w:space="0" w:color="000000"/>
            </w:tcBorders>
            <w:shd w:val="clear" w:color="auto" w:fill="EFEFEF"/>
            <w:tcMar>
              <w:top w:w="0" w:type="dxa"/>
              <w:left w:w="0" w:type="dxa"/>
              <w:bottom w:w="0" w:type="dxa"/>
              <w:right w:w="0" w:type="dxa"/>
            </w:tcMar>
            <w:vAlign w:val="center"/>
          </w:tcPr>
          <w:p w14:paraId="1D91ADA7"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bCs/>
                <w:sz w:val="16"/>
                <w:szCs w:val="16"/>
              </w:rPr>
              <w:t>Selection of Reported Results</w:t>
            </w:r>
          </w:p>
        </w:tc>
        <w:tc>
          <w:tcPr>
            <w:tcW w:w="1665" w:type="dxa"/>
            <w:tcBorders>
              <w:top w:val="single" w:sz="4" w:space="0" w:color="000000"/>
              <w:left w:val="single" w:sz="4" w:space="0" w:color="000000"/>
              <w:bottom w:val="single" w:sz="4" w:space="0" w:color="000000"/>
              <w:right w:val="single" w:sz="4" w:space="0" w:color="000000"/>
            </w:tcBorders>
            <w:shd w:val="clear" w:color="auto" w:fill="EFEFEF"/>
            <w:tcMar>
              <w:top w:w="0" w:type="dxa"/>
              <w:left w:w="0" w:type="dxa"/>
              <w:bottom w:w="0" w:type="dxa"/>
              <w:right w:w="0" w:type="dxa"/>
            </w:tcMar>
            <w:vAlign w:val="center"/>
          </w:tcPr>
          <w:p w14:paraId="78BF9B3C"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bCs/>
                <w:sz w:val="16"/>
                <w:szCs w:val="16"/>
              </w:rPr>
              <w:t>Overall Risk</w:t>
            </w:r>
          </w:p>
        </w:tc>
      </w:tr>
      <w:tr w:rsidR="00EC27A1" w14:paraId="6F186916" w14:textId="77777777">
        <w:trPr>
          <w:trHeight w:val="562"/>
        </w:trPr>
        <w:tc>
          <w:tcPr>
            <w:tcW w:w="16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31121E"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Okazaki et al., 2025</w:t>
            </w:r>
          </w:p>
        </w:tc>
        <w:tc>
          <w:tcPr>
            <w:tcW w:w="16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90D939"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Appropriate allocation procedure</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EA2EC3"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Open-label design; physician discretion in treatment selection</w:t>
            </w:r>
          </w:p>
        </w:tc>
        <w:tc>
          <w:tcPr>
            <w:tcW w:w="17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109427"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No major attrition</w:t>
            </w:r>
          </w:p>
        </w:tc>
        <w:tc>
          <w:tcPr>
            <w:tcW w:w="1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108789"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Blinded event adjudication</w:t>
            </w:r>
          </w:p>
        </w:tc>
        <w:tc>
          <w:tcPr>
            <w:tcW w:w="13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2C9E24"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Prespecified outcomes</w:t>
            </w:r>
          </w:p>
        </w:tc>
        <w:tc>
          <w:tcPr>
            <w:tcW w:w="1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BB78DB" w14:textId="77777777" w:rsidR="00EC27A1"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Some concerns</w:t>
            </w:r>
          </w:p>
        </w:tc>
      </w:tr>
    </w:tbl>
    <w:p w14:paraId="168450AE" w14:textId="77777777" w:rsidR="00EC27A1" w:rsidRDefault="00EC27A1">
      <w:pPr>
        <w:spacing w:after="0" w:line="276" w:lineRule="auto"/>
        <w:rPr>
          <w:rFonts w:ascii="Times New Roman" w:eastAsia="Times New Roman" w:hAnsi="Times New Roman" w:cs="Times New Roman"/>
          <w:sz w:val="20"/>
          <w:szCs w:val="20"/>
        </w:rPr>
        <w:sectPr w:rsidR="00EC27A1">
          <w:pgSz w:w="16838" w:h="11906" w:orient="landscape"/>
          <w:pgMar w:top="1417" w:right="1701" w:bottom="1417" w:left="1701" w:header="708" w:footer="708" w:gutter="0"/>
          <w:lnNumType w:countBy="1"/>
          <w:cols w:space="720"/>
        </w:sectPr>
      </w:pPr>
    </w:p>
    <w:p w14:paraId="6D17D509" w14:textId="77777777" w:rsidR="00EC27A1"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Supplementary Figure S1. </w:t>
      </w:r>
      <w:r>
        <w:rPr>
          <w:rFonts w:ascii="Times New Roman" w:eastAsia="Times New Roman" w:hAnsi="Times New Roman" w:cs="Times New Roman"/>
          <w:color w:val="000000"/>
          <w:sz w:val="24"/>
          <w:szCs w:val="24"/>
        </w:rPr>
        <w:t>Sensitivity analysis for (A) vascular composite outcome,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major bleeding, and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 all-cause mortality.</w:t>
      </w:r>
    </w:p>
    <w:p w14:paraId="4654B274" w14:textId="77777777" w:rsidR="00EC27A1" w:rsidRDefault="00EC27A1">
      <w:pPr>
        <w:rPr>
          <w:rFonts w:ascii="Times New Roman" w:eastAsia="Times New Roman" w:hAnsi="Times New Roman" w:cs="Times New Roman"/>
          <w:b/>
          <w:bCs/>
          <w:sz w:val="24"/>
          <w:szCs w:val="24"/>
        </w:rPr>
      </w:pPr>
    </w:p>
    <w:p w14:paraId="3A4EF378" w14:textId="77777777" w:rsidR="00EC27A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p>
    <w:p w14:paraId="01DF0895" w14:textId="77777777" w:rsidR="00EC27A1" w:rsidRDefault="00000000">
      <w:pPr>
        <w:rPr>
          <w:rFonts w:ascii="Times New Roman" w:eastAsia="Times New Roman" w:hAnsi="Times New Roman" w:cs="Times New Roman"/>
          <w:b/>
          <w:bCs/>
          <w:sz w:val="24"/>
          <w:szCs w:val="24"/>
        </w:rPr>
      </w:pPr>
      <w:r>
        <w:rPr>
          <w:noProof/>
        </w:rPr>
        <w:drawing>
          <wp:inline distT="0" distB="0" distL="114300" distR="114300" wp14:anchorId="13B08E22" wp14:editId="7749633F">
            <wp:extent cx="5436000" cy="186374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9876" t="35805" r="9876" b="31144"/>
                    <a:stretch>
                      <a:fillRect/>
                    </a:stretch>
                  </pic:blipFill>
                  <pic:spPr>
                    <a:xfrm>
                      <a:off x="0" y="0"/>
                      <a:ext cx="5436000" cy="1863748"/>
                    </a:xfrm>
                    <a:prstGeom prst="rect">
                      <a:avLst/>
                    </a:prstGeom>
                    <a:ln/>
                  </pic:spPr>
                </pic:pic>
              </a:graphicData>
            </a:graphic>
          </wp:inline>
        </w:drawing>
      </w:r>
    </w:p>
    <w:p w14:paraId="6458E244" w14:textId="77777777" w:rsidR="00EC27A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p>
    <w:p w14:paraId="40ED3601" w14:textId="77777777" w:rsidR="00EC27A1" w:rsidRDefault="00000000">
      <w:pPr>
        <w:rPr>
          <w:rFonts w:ascii="Times New Roman" w:eastAsia="Times New Roman" w:hAnsi="Times New Roman" w:cs="Times New Roman"/>
          <w:b/>
          <w:bCs/>
          <w:sz w:val="24"/>
          <w:szCs w:val="24"/>
        </w:rPr>
      </w:pPr>
      <w:r>
        <w:rPr>
          <w:noProof/>
        </w:rPr>
        <w:drawing>
          <wp:inline distT="0" distB="0" distL="114300" distR="114300" wp14:anchorId="5571713B" wp14:editId="7C11BC52">
            <wp:extent cx="5436000" cy="160861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6701" t="37076" r="6878" b="32203"/>
                    <a:stretch>
                      <a:fillRect/>
                    </a:stretch>
                  </pic:blipFill>
                  <pic:spPr>
                    <a:xfrm>
                      <a:off x="0" y="0"/>
                      <a:ext cx="5436000" cy="1608618"/>
                    </a:xfrm>
                    <a:prstGeom prst="rect">
                      <a:avLst/>
                    </a:prstGeom>
                    <a:ln/>
                  </pic:spPr>
                </pic:pic>
              </a:graphicData>
            </a:graphic>
          </wp:inline>
        </w:drawing>
      </w:r>
    </w:p>
    <w:p w14:paraId="673D9309" w14:textId="77777777" w:rsidR="00EC27A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p>
    <w:p w14:paraId="403EB5D5" w14:textId="77777777" w:rsidR="00EC27A1" w:rsidRDefault="00000000">
      <w:pPr>
        <w:rPr>
          <w:rFonts w:ascii="Times New Roman" w:eastAsia="Times New Roman" w:hAnsi="Times New Roman" w:cs="Times New Roman"/>
          <w:b/>
          <w:bCs/>
          <w:sz w:val="24"/>
          <w:szCs w:val="24"/>
        </w:rPr>
      </w:pPr>
      <w:r>
        <w:rPr>
          <w:noProof/>
        </w:rPr>
        <w:drawing>
          <wp:inline distT="0" distB="0" distL="114300" distR="114300" wp14:anchorId="4F729877" wp14:editId="7A4FDEAD">
            <wp:extent cx="5436000" cy="1714952"/>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7231" t="36016" r="7231" b="31567"/>
                    <a:stretch>
                      <a:fillRect/>
                    </a:stretch>
                  </pic:blipFill>
                  <pic:spPr>
                    <a:xfrm>
                      <a:off x="0" y="0"/>
                      <a:ext cx="5436000" cy="1714952"/>
                    </a:xfrm>
                    <a:prstGeom prst="rect">
                      <a:avLst/>
                    </a:prstGeom>
                    <a:ln/>
                  </pic:spPr>
                </pic:pic>
              </a:graphicData>
            </a:graphic>
          </wp:inline>
        </w:drawing>
      </w:r>
    </w:p>
    <w:p w14:paraId="40D285FE" w14:textId="77777777" w:rsidR="00EC27A1" w:rsidRDefault="00EC27A1">
      <w:pPr>
        <w:rPr>
          <w:rFonts w:ascii="Times New Roman" w:eastAsia="Times New Roman" w:hAnsi="Times New Roman" w:cs="Times New Roman"/>
          <w:b/>
          <w:bCs/>
          <w:sz w:val="24"/>
          <w:szCs w:val="24"/>
        </w:rPr>
      </w:pPr>
    </w:p>
    <w:p w14:paraId="676B4467" w14:textId="77777777" w:rsidR="00EC27A1" w:rsidRDefault="00EC27A1">
      <w:pPr>
        <w:rPr>
          <w:rFonts w:ascii="Times New Roman" w:eastAsia="Times New Roman" w:hAnsi="Times New Roman" w:cs="Times New Roman"/>
          <w:b/>
          <w:bCs/>
          <w:sz w:val="24"/>
          <w:szCs w:val="24"/>
        </w:rPr>
      </w:pPr>
    </w:p>
    <w:p w14:paraId="192C092C" w14:textId="77777777" w:rsidR="00EC27A1" w:rsidRDefault="00EC27A1">
      <w:pPr>
        <w:rPr>
          <w:rFonts w:ascii="Times New Roman" w:eastAsia="Times New Roman" w:hAnsi="Times New Roman" w:cs="Times New Roman"/>
          <w:b/>
          <w:bCs/>
          <w:sz w:val="24"/>
          <w:szCs w:val="24"/>
        </w:rPr>
      </w:pPr>
    </w:p>
    <w:p w14:paraId="4968AA16" w14:textId="77777777" w:rsidR="00EC27A1" w:rsidRDefault="00EC27A1">
      <w:pPr>
        <w:rPr>
          <w:rFonts w:ascii="Times New Roman" w:eastAsia="Times New Roman" w:hAnsi="Times New Roman" w:cs="Times New Roman"/>
          <w:b/>
          <w:bCs/>
          <w:sz w:val="24"/>
          <w:szCs w:val="24"/>
        </w:rPr>
      </w:pPr>
    </w:p>
    <w:p w14:paraId="4F51E44F" w14:textId="77777777" w:rsidR="00EC27A1" w:rsidRDefault="00EC27A1">
      <w:pPr>
        <w:rPr>
          <w:rFonts w:ascii="Times New Roman" w:eastAsia="Times New Roman" w:hAnsi="Times New Roman" w:cs="Times New Roman"/>
          <w:b/>
          <w:bCs/>
          <w:sz w:val="24"/>
          <w:szCs w:val="24"/>
        </w:rPr>
      </w:pPr>
    </w:p>
    <w:sectPr w:rsidR="00EC27A1">
      <w:pgSz w:w="11906" w:h="16838"/>
      <w:pgMar w:top="1417" w:right="1701" w:bottom="1417" w:left="1701" w:header="708" w:footer="708" w:gutter="0"/>
      <w:lnNumType w:countBy="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DAD3E" w14:textId="77777777" w:rsidR="001E1B26" w:rsidRDefault="001E1B26">
      <w:pPr>
        <w:spacing w:after="0" w:line="240" w:lineRule="auto"/>
      </w:pPr>
      <w:r>
        <w:separator/>
      </w:r>
    </w:p>
  </w:endnote>
  <w:endnote w:type="continuationSeparator" w:id="0">
    <w:p w14:paraId="2178BE0F" w14:textId="77777777" w:rsidR="001E1B26" w:rsidRDefault="001E1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234D968-425A-7948-9B42-8FB0144DABE9}"/>
    <w:embedBold r:id="rId2" w:fontKey="{E4470F46-7048-854C-99A8-1FF0FEE08B26}"/>
  </w:font>
  <w:font w:name="Times New Roman">
    <w:panose1 w:val="02020603050405020304"/>
    <w:charset w:val="00"/>
    <w:family w:val="roman"/>
    <w:pitch w:val="variable"/>
    <w:sig w:usb0="E0002EFF" w:usb1="C000785B" w:usb2="00000009" w:usb3="00000000" w:csb0="000001FF" w:csb1="00000000"/>
    <w:embedRegular r:id="rId3" w:fontKey="{C45B092D-E370-E046-BA19-B9CAAB63024A}"/>
    <w:embedBold r:id="rId4" w:fontKey="{917B1406-1AED-B047-841C-49A086E869E1}"/>
  </w:font>
  <w:font w:name="Georgia">
    <w:panose1 w:val="02040502050405020303"/>
    <w:charset w:val="00"/>
    <w:family w:val="roman"/>
    <w:pitch w:val="variable"/>
    <w:sig w:usb0="00000287" w:usb1="00000000" w:usb2="00000000" w:usb3="00000000" w:csb0="0000009F" w:csb1="00000000"/>
    <w:embedItalic r:id="rId5" w:fontKey="{99B24CE9-7AD5-A64B-B6C0-AFFF7EDD23DF}"/>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embedRegular r:id="rId6" w:fontKey="{6AE8367A-DF0D-2940-8A46-DF465A6FBD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54B71" w14:textId="77777777" w:rsidR="00EC27A1" w:rsidRDefault="00EC27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9B0AB" w14:textId="77777777" w:rsidR="001E1B26" w:rsidRDefault="001E1B26">
      <w:pPr>
        <w:spacing w:after="0" w:line="240" w:lineRule="auto"/>
      </w:pPr>
      <w:r>
        <w:separator/>
      </w:r>
    </w:p>
  </w:footnote>
  <w:footnote w:type="continuationSeparator" w:id="0">
    <w:p w14:paraId="2F801FBC" w14:textId="77777777" w:rsidR="001E1B26" w:rsidRDefault="001E1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EDFD" w14:textId="77777777" w:rsidR="00EC27A1" w:rsidRDefault="00EC27A1">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7A1"/>
    <w:rsid w:val="001E1B26"/>
    <w:rsid w:val="00227925"/>
    <w:rsid w:val="00644145"/>
    <w:rsid w:val="006E0284"/>
    <w:rsid w:val="00EC27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3AD71E8E"/>
  <w15:docId w15:val="{B570BEC1-E370-CD41-9147-E8AEF4BB1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styleId="Nmerodelinha">
    <w:name w:val="line number"/>
    <w:basedOn w:val="Fontepargpadro"/>
    <w:uiPriority w:val="99"/>
    <w:semiHidden/>
    <w:unhideWhenUsed/>
    <w:rsid w:val="006E0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1436</Words>
  <Characters>7757</Characters>
  <Application>Microsoft Office Word</Application>
  <DocSecurity>0</DocSecurity>
  <Lines>64</Lines>
  <Paragraphs>18</Paragraphs>
  <ScaleCrop>false</ScaleCrop>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Victor Hugo Pinheiro Lopes</cp:lastModifiedBy>
  <cp:revision>3</cp:revision>
  <dcterms:created xsi:type="dcterms:W3CDTF">2026-07-07T21:42:00Z</dcterms:created>
  <dcterms:modified xsi:type="dcterms:W3CDTF">2026-07-07T21:51:00Z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19bf419d-241a-4bee-9bd8-d9ac78d3d528</vt:lpwstr>
  </property>
</Properties>
</file>