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7E2FE" w14:textId="77777777" w:rsidR="00F602CB" w:rsidRDefault="00F602CB" w:rsidP="00F602CB">
      <w:pPr>
        <w:rPr>
          <w:rFonts w:ascii="Times New Roman" w:hAnsi="Times New Roman" w:cs="Times New Roman"/>
        </w:rPr>
      </w:pPr>
      <w:r w:rsidRPr="00246E45">
        <w:rPr>
          <w:rFonts w:ascii="Times New Roman" w:hAnsi="Times New Roman" w:cs="Times New Roman"/>
          <w:noProof/>
        </w:rPr>
        <w:drawing>
          <wp:inline distT="0" distB="0" distL="0" distR="0" wp14:anchorId="40269EC0" wp14:editId="24A4FFBF">
            <wp:extent cx="3101097" cy="4096512"/>
            <wp:effectExtent l="0" t="0" r="4445" b="0"/>
            <wp:docPr id="1365064035" name="Picture 1" descr="A) Box and whisker plot depicting alternating empirical null model and predictive model performance as measured by F1 percentile (y axis). Clinical characteristic null model has a box limited to 0, as does the clinical predictive model. Full panel null model reaches from 0 to around 0.25, while predictive model is a line at 0&#10;&#10;B) Box and whisker plot as previously described, but for Boruta model. The box for Null model reaches from 0 to 0.15, while predictive model is a line at 0&#10;&#10;C) Volcano plot with Effect size on the x axis, showing the association with either therapy complete (further to the right) or toxicity (further to the left) according to logistic regression, and p value as calculated by logistic regression. Dots are more skewed to the right side. Several transcripts have labels indicating if they are used in the Boruta model or in the LogR selected models. Only transcripts used in those two models have labels. LogR transcripts have the highest values, while the Boruta model transcripts are located at the middle of the right arm&#10;&#10;D) Bar graph with &quot;number of mRNAs&quot; on y axis, and &quot;Model performance (Avg F1)&quot; on the x axis. The number of transcripts included increases as the y axis nears the x axis, with 1 transcript model being at the highest point on the axis and the 10 transcript model being at the lowest. The most notable feature is that the 5 transcript model is best performing by a wide margin, and the 4 and 2 transcript models had an F1 score of 0&#10;&#10;E) Box and whisker plot as previously described, but for LogR model. The box for Null model reaches from 0 to 0.2, while predictive model has a small box around 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064035" name="Picture 1" descr="A) Box and whisker plot depicting alternating empirical null model and predictive model performance as measured by F1 percentile (y axis). Clinical characteristic null model has a box limited to 0, as does the clinical predictive model. Full panel null model reaches from 0 to around 0.25, while predictive model is a line at 0&#10;&#10;B) Box and whisker plot as previously described, but for Boruta model. The box for Null model reaches from 0 to 0.15, while predictive model is a line at 0&#10;&#10;C) Volcano plot with Effect size on the x axis, showing the association with either therapy complete (further to the right) or toxicity (further to the left) according to logistic regression, and p value as calculated by logistic regression. Dots are more skewed to the right side. Several transcripts have labels indicating if they are used in the Boruta model or in the LogR selected models. Only transcripts used in those two models have labels. LogR transcripts have the highest values, while the Boruta model transcripts are located at the middle of the right arm&#10;&#10;D) Bar graph with &quot;number of mRNAs&quot; on y axis, and &quot;Model performance (Avg F1)&quot; on the x axis. The number of transcripts included increases as the y axis nears the x axis, with 1 transcript model being at the highest point on the axis and the 10 transcript model being at the lowest. The most notable feature is that the 5 transcript model is best performing by a wide margin, and the 4 and 2 transcript models had an F1 score of 0&#10;&#10;E) Box and whisker plot as previously described, but for LogR model. The box for Null model reaches from 0 to 0.2, while predictive model has a small box around 0.99"/>
                    <pic:cNvPicPr/>
                  </pic:nvPicPr>
                  <pic:blipFill>
                    <a:blip r:embed="rId4"/>
                    <a:stretch>
                      <a:fillRect/>
                    </a:stretch>
                  </pic:blipFill>
                  <pic:spPr>
                    <a:xfrm>
                      <a:off x="0" y="0"/>
                      <a:ext cx="3101097" cy="4096512"/>
                    </a:xfrm>
                    <a:prstGeom prst="rect">
                      <a:avLst/>
                    </a:prstGeom>
                  </pic:spPr>
                </pic:pic>
              </a:graphicData>
            </a:graphic>
          </wp:inline>
        </w:drawing>
      </w:r>
    </w:p>
    <w:p w14:paraId="7F7C19D7" w14:textId="77777777" w:rsidR="00F602CB" w:rsidRDefault="00F602CB" w:rsidP="00F602CB">
      <w:pPr>
        <w:rPr>
          <w:rFonts w:ascii="Times New Roman" w:hAnsi="Times New Roman" w:cs="Times New Roman"/>
        </w:rPr>
      </w:pPr>
    </w:p>
    <w:p w14:paraId="56F838C7" w14:textId="77777777" w:rsidR="00F602CB" w:rsidRPr="00720D5F" w:rsidRDefault="00F602CB" w:rsidP="00F602CB">
      <w:pPr>
        <w:rPr>
          <w:b/>
          <w:bCs/>
          <w:sz w:val="20"/>
          <w:szCs w:val="20"/>
        </w:rPr>
      </w:pPr>
      <w:r w:rsidRPr="00720D5F">
        <w:rPr>
          <w:b/>
          <w:bCs/>
          <w:sz w:val="20"/>
          <w:szCs w:val="20"/>
        </w:rPr>
        <w:t xml:space="preserve">Figure S1: Baseline levels of </w:t>
      </w:r>
      <w:r w:rsidRPr="00720D5F">
        <w:rPr>
          <w:b/>
          <w:bCs/>
          <w:i/>
          <w:iCs/>
          <w:sz w:val="20"/>
          <w:szCs w:val="20"/>
        </w:rPr>
        <w:t xml:space="preserve">CD80, CEACAM1, SPI1, SPN, </w:t>
      </w:r>
      <w:r w:rsidRPr="00720D5F">
        <w:rPr>
          <w:b/>
          <w:bCs/>
          <w:sz w:val="20"/>
          <w:szCs w:val="20"/>
        </w:rPr>
        <w:t>and</w:t>
      </w:r>
      <w:r w:rsidRPr="00720D5F">
        <w:rPr>
          <w:b/>
          <w:bCs/>
          <w:i/>
          <w:iCs/>
          <w:sz w:val="20"/>
          <w:szCs w:val="20"/>
        </w:rPr>
        <w:t xml:space="preserve"> HAVCR2</w:t>
      </w:r>
      <w:r w:rsidRPr="00720D5F">
        <w:rPr>
          <w:b/>
          <w:bCs/>
          <w:sz w:val="20"/>
          <w:szCs w:val="20"/>
        </w:rPr>
        <w:t xml:space="preserve"> identify metastatic patients likely to experience toxicity</w:t>
      </w:r>
    </w:p>
    <w:p w14:paraId="0BA704E3" w14:textId="77777777" w:rsidR="00F602CB" w:rsidRPr="00720D5F" w:rsidRDefault="00F602CB" w:rsidP="00F602CB">
      <w:pPr>
        <w:rPr>
          <w:b/>
          <w:bCs/>
          <w:sz w:val="20"/>
          <w:szCs w:val="20"/>
        </w:rPr>
      </w:pPr>
      <w:r w:rsidRPr="00720D5F">
        <w:rPr>
          <w:b/>
          <w:bCs/>
          <w:sz w:val="20"/>
          <w:szCs w:val="20"/>
        </w:rPr>
        <w:t>(A)</w:t>
      </w:r>
      <w:r w:rsidRPr="00720D5F">
        <w:rPr>
          <w:sz w:val="20"/>
          <w:szCs w:val="20"/>
        </w:rPr>
        <w:t xml:space="preserve"> Percentiles of 25,000 random forest models which used datasets of permuted patient outcomes (blue) and 25 predictive models with unpermuted patient outcomes (red). Models utilize clinical characteristics (left), or all 79 transcripts in the OSU_Senescence </w:t>
      </w:r>
      <w:r>
        <w:rPr>
          <w:sz w:val="20"/>
          <w:szCs w:val="20"/>
        </w:rPr>
        <w:t>panel</w:t>
      </w:r>
      <w:r w:rsidRPr="00720D5F">
        <w:rPr>
          <w:sz w:val="20"/>
          <w:szCs w:val="20"/>
        </w:rPr>
        <w:t xml:space="preserve"> (right). </w:t>
      </w:r>
      <w:r w:rsidRPr="00720D5F">
        <w:rPr>
          <w:b/>
          <w:bCs/>
          <w:sz w:val="20"/>
          <w:szCs w:val="20"/>
        </w:rPr>
        <w:t>(B)</w:t>
      </w:r>
      <w:r w:rsidRPr="00720D5F">
        <w:rPr>
          <w:sz w:val="20"/>
          <w:szCs w:val="20"/>
        </w:rPr>
        <w:t xml:space="preserve"> Models as described in (A) based on the two mRNAs selected by the Boruta algorithm. </w:t>
      </w:r>
      <w:r w:rsidRPr="00720D5F">
        <w:rPr>
          <w:b/>
          <w:bCs/>
          <w:sz w:val="20"/>
          <w:szCs w:val="20"/>
        </w:rPr>
        <w:t>(C)</w:t>
      </w:r>
      <w:r w:rsidRPr="00720D5F">
        <w:rPr>
          <w:sz w:val="20"/>
          <w:szCs w:val="20"/>
        </w:rPr>
        <w:t xml:space="preserve"> Logistic regression of OSU_Senescence transcripts by outcome. Position on x axis indicating higher expression in patients who would complete one year of ICI therapy (right) versus those that would experience a treatment disrupting toxicity (left). </w:t>
      </w:r>
      <w:r w:rsidRPr="00720D5F">
        <w:rPr>
          <w:b/>
          <w:bCs/>
          <w:sz w:val="20"/>
          <w:szCs w:val="20"/>
        </w:rPr>
        <w:t>(D)</w:t>
      </w:r>
      <w:r w:rsidRPr="00720D5F">
        <w:rPr>
          <w:sz w:val="20"/>
          <w:szCs w:val="20"/>
        </w:rPr>
        <w:t xml:space="preserve"> Mean random forest model performance (25 runs) for predicting toxicity, with mRNAs sequentially incorporated according to increasing p-value (C). </w:t>
      </w:r>
      <w:r w:rsidRPr="00720D5F">
        <w:rPr>
          <w:b/>
          <w:bCs/>
          <w:sz w:val="20"/>
          <w:szCs w:val="20"/>
        </w:rPr>
        <w:t>(E)</w:t>
      </w:r>
      <w:r w:rsidRPr="00720D5F">
        <w:rPr>
          <w:sz w:val="20"/>
          <w:szCs w:val="20"/>
        </w:rPr>
        <w:t xml:space="preserve"> Models as described in (A) using the five mRNAs identified in (C) (</w:t>
      </w:r>
      <w:r w:rsidRPr="00720D5F">
        <w:rPr>
          <w:i/>
          <w:iCs/>
          <w:sz w:val="20"/>
          <w:szCs w:val="20"/>
        </w:rPr>
        <w:t xml:space="preserve">CD80, CEACAM1, SPI1, SPN, </w:t>
      </w:r>
      <w:r w:rsidRPr="00720D5F">
        <w:rPr>
          <w:sz w:val="20"/>
          <w:szCs w:val="20"/>
        </w:rPr>
        <w:t>and</w:t>
      </w:r>
      <w:r w:rsidRPr="00720D5F">
        <w:rPr>
          <w:i/>
          <w:iCs/>
          <w:sz w:val="20"/>
          <w:szCs w:val="20"/>
        </w:rPr>
        <w:t xml:space="preserve"> HAVCR2</w:t>
      </w:r>
      <w:r w:rsidRPr="00720D5F">
        <w:rPr>
          <w:sz w:val="20"/>
          <w:szCs w:val="20"/>
        </w:rPr>
        <w:t xml:space="preserve">). </w:t>
      </w:r>
    </w:p>
    <w:p w14:paraId="21731CBB" w14:textId="77777777" w:rsidR="00F602CB" w:rsidRPr="00246E45" w:rsidRDefault="00F602CB" w:rsidP="00F602CB">
      <w:pPr>
        <w:rPr>
          <w:rFonts w:ascii="Times New Roman" w:hAnsi="Times New Roman" w:cs="Times New Roman"/>
        </w:rPr>
      </w:pPr>
    </w:p>
    <w:p w14:paraId="5822087A" w14:textId="77777777" w:rsidR="00F602CB" w:rsidRPr="00246E45" w:rsidRDefault="00F602CB" w:rsidP="00F602CB">
      <w:pPr>
        <w:rPr>
          <w:rFonts w:ascii="Times New Roman" w:hAnsi="Times New Roman" w:cs="Times New Roman"/>
        </w:rPr>
      </w:pPr>
    </w:p>
    <w:p w14:paraId="2CAC024B" w14:textId="77777777" w:rsidR="00F602CB" w:rsidRPr="00246E45" w:rsidRDefault="00F602CB" w:rsidP="00F602CB">
      <w:pPr>
        <w:rPr>
          <w:rFonts w:ascii="Times New Roman" w:hAnsi="Times New Roman" w:cs="Times New Roman"/>
        </w:rPr>
      </w:pPr>
    </w:p>
    <w:p w14:paraId="5DE0C625" w14:textId="77777777" w:rsidR="00F602CB" w:rsidRPr="00246E45" w:rsidRDefault="00F602CB" w:rsidP="00F602CB">
      <w:pPr>
        <w:rPr>
          <w:rFonts w:ascii="Times New Roman" w:hAnsi="Times New Roman" w:cs="Times New Roman"/>
        </w:rPr>
      </w:pPr>
    </w:p>
    <w:p w14:paraId="131E5D8C" w14:textId="77777777" w:rsidR="00F602CB" w:rsidRDefault="00F602CB" w:rsidP="00F602CB">
      <w:pPr>
        <w:rPr>
          <w:rFonts w:ascii="Times New Roman" w:hAnsi="Times New Roman" w:cs="Times New Roman"/>
        </w:rPr>
      </w:pPr>
      <w:r w:rsidRPr="00246E45">
        <w:rPr>
          <w:rFonts w:ascii="Times New Roman" w:hAnsi="Times New Roman" w:cs="Times New Roman"/>
          <w:noProof/>
        </w:rPr>
        <w:lastRenderedPageBreak/>
        <w:drawing>
          <wp:inline distT="0" distB="0" distL="0" distR="0" wp14:anchorId="68F40D9D" wp14:editId="75BB27F5">
            <wp:extent cx="3035440" cy="1645920"/>
            <wp:effectExtent l="0" t="0" r="0" b="0"/>
            <wp:docPr id="1641833066" name="Picture 1" descr="A and B) Box and whisker plot depicting alternating empirical null model and predictive model performance as measured by F1 percentile (y axis). Adjuvant trained null model has a box limited to 0. to 0.25, while adjuvant trained predictive model has a box which is effectively a line around 0.9. Metastatic trained null model reaches from 0 to around 0.45, while metastatic trained predictive model has a small box which is around 0.6 to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33066" name="Picture 1" descr="A and B) Box and whisker plot depicting alternating empirical null model and predictive model performance as measured by F1 percentile (y axis). Adjuvant trained null model has a box limited to 0. to 0.25, while adjuvant trained predictive model has a box which is effectively a line around 0.9. Metastatic trained null model reaches from 0 to around 0.45, while metastatic trained predictive model has a small box which is around 0.6 to 0.7"/>
                    <pic:cNvPicPr/>
                  </pic:nvPicPr>
                  <pic:blipFill>
                    <a:blip r:embed="rId5"/>
                    <a:stretch>
                      <a:fillRect/>
                    </a:stretch>
                  </pic:blipFill>
                  <pic:spPr>
                    <a:xfrm>
                      <a:off x="0" y="0"/>
                      <a:ext cx="3035440" cy="1645920"/>
                    </a:xfrm>
                    <a:prstGeom prst="rect">
                      <a:avLst/>
                    </a:prstGeom>
                  </pic:spPr>
                </pic:pic>
              </a:graphicData>
            </a:graphic>
          </wp:inline>
        </w:drawing>
      </w:r>
    </w:p>
    <w:p w14:paraId="0EF7911D" w14:textId="77777777" w:rsidR="00F602CB" w:rsidRDefault="00F602CB" w:rsidP="00F602CB">
      <w:pPr>
        <w:rPr>
          <w:rFonts w:ascii="Times New Roman" w:hAnsi="Times New Roman" w:cs="Times New Roman"/>
        </w:rPr>
      </w:pPr>
    </w:p>
    <w:p w14:paraId="4A86C36D" w14:textId="77777777" w:rsidR="00F602CB" w:rsidRPr="00720D5F" w:rsidRDefault="00F602CB" w:rsidP="00F602CB">
      <w:pPr>
        <w:rPr>
          <w:b/>
          <w:bCs/>
          <w:sz w:val="20"/>
          <w:szCs w:val="20"/>
        </w:rPr>
      </w:pPr>
      <w:r w:rsidRPr="00720D5F">
        <w:rPr>
          <w:b/>
          <w:bCs/>
          <w:sz w:val="20"/>
          <w:szCs w:val="20"/>
        </w:rPr>
        <w:t>Figure S2: Cross adjuvant-metastatic models predicting toxicity have variable predictive ability.</w:t>
      </w:r>
    </w:p>
    <w:p w14:paraId="2F0407C9" w14:textId="77777777" w:rsidR="00F602CB" w:rsidRPr="00720D5F" w:rsidRDefault="00F602CB" w:rsidP="00F602CB">
      <w:pPr>
        <w:rPr>
          <w:sz w:val="20"/>
          <w:szCs w:val="20"/>
        </w:rPr>
      </w:pPr>
      <w:r w:rsidRPr="00720D5F">
        <w:rPr>
          <w:b/>
          <w:bCs/>
          <w:sz w:val="20"/>
          <w:szCs w:val="20"/>
        </w:rPr>
        <w:t>(A-B)</w:t>
      </w:r>
      <w:r w:rsidRPr="00720D5F">
        <w:rPr>
          <w:sz w:val="20"/>
          <w:szCs w:val="20"/>
        </w:rPr>
        <w:t xml:space="preserve"> Percentiles of 25,000 random forest models which used datasets of permuted patient outcomes (blue) and 25 predictive models with unpermuted patient outcomes (red). Transcripts from patients that completed therapy or discontinued due to toxicities were utilized. (A) Models were trained on adjuvant discovery cohort and tested on metastatic validation cohort, with both limited to transcripts of </w:t>
      </w:r>
      <w:r w:rsidRPr="00720D5F">
        <w:rPr>
          <w:i/>
          <w:iCs/>
          <w:sz w:val="20"/>
          <w:szCs w:val="20"/>
        </w:rPr>
        <w:t xml:space="preserve">TNFRSF18, VTCN1, CCR4, AHR, </w:t>
      </w:r>
      <w:r w:rsidRPr="00720D5F">
        <w:rPr>
          <w:sz w:val="20"/>
          <w:szCs w:val="20"/>
        </w:rPr>
        <w:t>and</w:t>
      </w:r>
      <w:r w:rsidRPr="00720D5F">
        <w:rPr>
          <w:i/>
          <w:iCs/>
          <w:sz w:val="20"/>
          <w:szCs w:val="20"/>
        </w:rPr>
        <w:t xml:space="preserve"> TIGIT</w:t>
      </w:r>
      <w:r w:rsidRPr="00720D5F">
        <w:rPr>
          <w:sz w:val="20"/>
          <w:szCs w:val="20"/>
        </w:rPr>
        <w:t xml:space="preserve"> (B) trained on metastatic discovery cohort and tested on adjuvant validation cohort, with both limited to transcripts of </w:t>
      </w:r>
      <w:r w:rsidRPr="00720D5F">
        <w:rPr>
          <w:i/>
          <w:iCs/>
          <w:sz w:val="20"/>
          <w:szCs w:val="20"/>
        </w:rPr>
        <w:t>CD80, CEACAM1, SPI1, SPN, and HAVCR2</w:t>
      </w:r>
      <w:r w:rsidRPr="00720D5F">
        <w:rPr>
          <w:sz w:val="20"/>
          <w:szCs w:val="20"/>
        </w:rPr>
        <w:t xml:space="preserve">. </w:t>
      </w:r>
    </w:p>
    <w:p w14:paraId="48AB8608" w14:textId="77777777" w:rsidR="00F602CB" w:rsidRPr="00246E45" w:rsidRDefault="00F602CB" w:rsidP="00F602CB">
      <w:pPr>
        <w:rPr>
          <w:rFonts w:ascii="Times New Roman" w:hAnsi="Times New Roman" w:cs="Times New Roman"/>
        </w:rPr>
      </w:pPr>
    </w:p>
    <w:p w14:paraId="7741BCD7" w14:textId="77777777" w:rsidR="00F602CB" w:rsidRPr="00246E45" w:rsidRDefault="00F602CB" w:rsidP="00F602CB">
      <w:pPr>
        <w:rPr>
          <w:rFonts w:ascii="Times New Roman" w:hAnsi="Times New Roman" w:cs="Times New Roman"/>
        </w:rPr>
      </w:pPr>
    </w:p>
    <w:p w14:paraId="2FF67F70" w14:textId="77777777" w:rsidR="00F602CB" w:rsidRPr="00246E45" w:rsidRDefault="00F602CB" w:rsidP="00F602CB">
      <w:pPr>
        <w:rPr>
          <w:rFonts w:ascii="Times New Roman" w:hAnsi="Times New Roman" w:cs="Times New Roman"/>
        </w:rPr>
      </w:pPr>
    </w:p>
    <w:p w14:paraId="59120747" w14:textId="1E83C4EE" w:rsidR="00F553FF" w:rsidRDefault="00F602CB" w:rsidP="00F602CB">
      <w:r>
        <w:rPr>
          <w:rFonts w:ascii="Times New Roman" w:hAnsi="Times New Roman" w:cs="Times New Roman"/>
        </w:rPr>
        <w:br w:type="page"/>
      </w:r>
    </w:p>
    <w:sectPr w:rsidR="00F553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2CB"/>
    <w:rsid w:val="000732E4"/>
    <w:rsid w:val="003C2EF4"/>
    <w:rsid w:val="00446799"/>
    <w:rsid w:val="00471820"/>
    <w:rsid w:val="006A7E07"/>
    <w:rsid w:val="00701021"/>
    <w:rsid w:val="00866E40"/>
    <w:rsid w:val="00B74216"/>
    <w:rsid w:val="00CF0FCC"/>
    <w:rsid w:val="00D62F8C"/>
    <w:rsid w:val="00DE06E6"/>
    <w:rsid w:val="00E97CD6"/>
    <w:rsid w:val="00F553FF"/>
    <w:rsid w:val="00F60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423DE"/>
  <w15:chartTrackingRefBased/>
  <w15:docId w15:val="{9BE25CC2-56E0-47D3-85B9-A7E7DF555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2CB"/>
  </w:style>
  <w:style w:type="paragraph" w:styleId="Heading1">
    <w:name w:val="heading 1"/>
    <w:basedOn w:val="Normal"/>
    <w:next w:val="Normal"/>
    <w:link w:val="Heading1Char"/>
    <w:uiPriority w:val="9"/>
    <w:qFormat/>
    <w:rsid w:val="00F602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02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02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02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02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02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02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02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02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2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02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02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02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02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02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02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02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02CB"/>
    <w:rPr>
      <w:rFonts w:eastAsiaTheme="majorEastAsia" w:cstheme="majorBidi"/>
      <w:color w:val="272727" w:themeColor="text1" w:themeTint="D8"/>
    </w:rPr>
  </w:style>
  <w:style w:type="paragraph" w:styleId="Title">
    <w:name w:val="Title"/>
    <w:basedOn w:val="Normal"/>
    <w:next w:val="Normal"/>
    <w:link w:val="TitleChar"/>
    <w:uiPriority w:val="10"/>
    <w:qFormat/>
    <w:rsid w:val="00F602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02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02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02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02CB"/>
    <w:pPr>
      <w:spacing w:before="160"/>
      <w:jc w:val="center"/>
    </w:pPr>
    <w:rPr>
      <w:i/>
      <w:iCs/>
      <w:color w:val="404040" w:themeColor="text1" w:themeTint="BF"/>
    </w:rPr>
  </w:style>
  <w:style w:type="character" w:customStyle="1" w:styleId="QuoteChar">
    <w:name w:val="Quote Char"/>
    <w:basedOn w:val="DefaultParagraphFont"/>
    <w:link w:val="Quote"/>
    <w:uiPriority w:val="29"/>
    <w:rsid w:val="00F602CB"/>
    <w:rPr>
      <w:i/>
      <w:iCs/>
      <w:color w:val="404040" w:themeColor="text1" w:themeTint="BF"/>
    </w:rPr>
  </w:style>
  <w:style w:type="paragraph" w:styleId="ListParagraph">
    <w:name w:val="List Paragraph"/>
    <w:basedOn w:val="Normal"/>
    <w:uiPriority w:val="34"/>
    <w:qFormat/>
    <w:rsid w:val="00F602CB"/>
    <w:pPr>
      <w:ind w:left="720"/>
      <w:contextualSpacing/>
    </w:pPr>
  </w:style>
  <w:style w:type="character" w:styleId="IntenseEmphasis">
    <w:name w:val="Intense Emphasis"/>
    <w:basedOn w:val="DefaultParagraphFont"/>
    <w:uiPriority w:val="21"/>
    <w:qFormat/>
    <w:rsid w:val="00F602CB"/>
    <w:rPr>
      <w:i/>
      <w:iCs/>
      <w:color w:val="0F4761" w:themeColor="accent1" w:themeShade="BF"/>
    </w:rPr>
  </w:style>
  <w:style w:type="paragraph" w:styleId="IntenseQuote">
    <w:name w:val="Intense Quote"/>
    <w:basedOn w:val="Normal"/>
    <w:next w:val="Normal"/>
    <w:link w:val="IntenseQuoteChar"/>
    <w:uiPriority w:val="30"/>
    <w:qFormat/>
    <w:rsid w:val="00F602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02CB"/>
    <w:rPr>
      <w:i/>
      <w:iCs/>
      <w:color w:val="0F4761" w:themeColor="accent1" w:themeShade="BF"/>
    </w:rPr>
  </w:style>
  <w:style w:type="character" w:styleId="IntenseReference">
    <w:name w:val="Intense Reference"/>
    <w:basedOn w:val="DefaultParagraphFont"/>
    <w:uiPriority w:val="32"/>
    <w:qFormat/>
    <w:rsid w:val="00F602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255</Words>
  <Characters>1459</Characters>
  <Application>Microsoft Office Word</Application>
  <DocSecurity>0</DocSecurity>
  <Lines>12</Lines>
  <Paragraphs>3</Paragraphs>
  <ScaleCrop>false</ScaleCrop>
  <Company>Springer Nature</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2026-08-25T09:04:00Z</dcterms:created>
  <dcterms:modified xsi:type="dcterms:W3CDTF">2026-08-25T09:04:00Z</dcterms:modified>
</cp:coreProperties>
</file>