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BB3FE1" w14:textId="77777777" w:rsidR="00D12C78" w:rsidRPr="00B6242F" w:rsidRDefault="00000000">
      <w:pPr>
        <w:jc w:val="center"/>
        <w:rPr>
          <w:rFonts w:ascii="Arial" w:hAnsi="Arial" w:cs="Arial"/>
        </w:rPr>
      </w:pPr>
      <w:r w:rsidRPr="00B6242F">
        <w:rPr>
          <w:rFonts w:ascii="Arial" w:hAnsi="Arial" w:cs="Arial"/>
          <w:b/>
        </w:rPr>
        <w:t>Supplementary Materials for</w:t>
      </w:r>
    </w:p>
    <w:p w14:paraId="41CC6745" w14:textId="77777777" w:rsidR="00B6242F" w:rsidRPr="00B6242F" w:rsidRDefault="00B6242F">
      <w:pPr>
        <w:spacing w:after="360"/>
        <w:jc w:val="center"/>
        <w:rPr>
          <w:rFonts w:ascii="Arial" w:hAnsi="Arial" w:cs="Arial"/>
          <w:i/>
          <w:iCs/>
        </w:rPr>
      </w:pPr>
      <w:r w:rsidRPr="00B6242F">
        <w:rPr>
          <w:rFonts w:ascii="Arial" w:hAnsi="Arial" w:cs="Arial"/>
          <w:b/>
          <w:i/>
          <w:iCs/>
        </w:rPr>
        <w:t>A continental-scale synthesis of phospholipid fatty acid data from the National Ecological Observatory Network</w:t>
      </w:r>
      <w:r w:rsidRPr="00B6242F">
        <w:rPr>
          <w:rFonts w:ascii="Arial" w:hAnsi="Arial" w:cs="Arial"/>
          <w:i/>
          <w:iCs/>
        </w:rPr>
        <w:t xml:space="preserve"> </w:t>
      </w:r>
    </w:p>
    <w:p w14:paraId="3C3D7660" w14:textId="0E759C40" w:rsidR="00D12C78" w:rsidRPr="00B6242F" w:rsidRDefault="00000000">
      <w:pPr>
        <w:spacing w:after="360"/>
        <w:jc w:val="center"/>
        <w:rPr>
          <w:rFonts w:ascii="Arial" w:hAnsi="Arial" w:cs="Arial"/>
        </w:rPr>
      </w:pPr>
      <w:r w:rsidRPr="00B6242F">
        <w:rPr>
          <w:rFonts w:ascii="Arial" w:hAnsi="Arial" w:cs="Arial"/>
        </w:rPr>
        <w:t>Cedric J. Hagen</w:t>
      </w:r>
      <w:r w:rsidR="002004D9">
        <w:rPr>
          <w:rFonts w:ascii="Arial" w:hAnsi="Arial" w:cs="Arial"/>
        </w:rPr>
        <w:t xml:space="preserve">, </w:t>
      </w:r>
      <w:r w:rsidRPr="00B6242F">
        <w:rPr>
          <w:rFonts w:ascii="Arial" w:hAnsi="Arial" w:cs="Arial"/>
        </w:rPr>
        <w:t xml:space="preserve">Michael D. </w:t>
      </w:r>
      <w:proofErr w:type="spellStart"/>
      <w:r w:rsidRPr="00B6242F">
        <w:rPr>
          <w:rFonts w:ascii="Arial" w:hAnsi="Arial" w:cs="Arial"/>
        </w:rPr>
        <w:t>SanClements</w:t>
      </w:r>
      <w:proofErr w:type="spellEnd"/>
      <w:r w:rsidR="002004D9">
        <w:rPr>
          <w:rFonts w:ascii="Arial" w:hAnsi="Arial" w:cs="Arial"/>
        </w:rPr>
        <w:t>, Hugh B. Cross, Samantha Weintraub-Leff, Ed</w:t>
      </w:r>
      <w:r w:rsidR="000E61E8">
        <w:rPr>
          <w:rFonts w:ascii="Arial" w:hAnsi="Arial" w:cs="Arial"/>
        </w:rPr>
        <w:t>ward</w:t>
      </w:r>
      <w:r w:rsidR="002004D9">
        <w:rPr>
          <w:rFonts w:ascii="Arial" w:hAnsi="Arial" w:cs="Arial"/>
        </w:rPr>
        <w:t xml:space="preserve"> Ayres</w:t>
      </w:r>
    </w:p>
    <w:p w14:paraId="1CF3201C" w14:textId="77777777" w:rsidR="00D12C78" w:rsidRPr="00B6242F" w:rsidRDefault="00000000">
      <w:pPr>
        <w:spacing w:before="240" w:after="120"/>
        <w:rPr>
          <w:rFonts w:ascii="Arial" w:hAnsi="Arial" w:cs="Arial"/>
        </w:rPr>
      </w:pPr>
      <w:r w:rsidRPr="00B6242F">
        <w:rPr>
          <w:rFonts w:ascii="Arial" w:hAnsi="Arial" w:cs="Arial"/>
          <w:b/>
        </w:rPr>
        <w:t>Contents</w:t>
      </w:r>
    </w:p>
    <w:p w14:paraId="3623A6D7" w14:textId="77777777" w:rsidR="00D12C78" w:rsidRPr="00B6242F" w:rsidRDefault="00000000">
      <w:pPr>
        <w:spacing w:after="120"/>
        <w:jc w:val="both"/>
        <w:rPr>
          <w:rFonts w:ascii="Arial" w:hAnsi="Arial" w:cs="Arial"/>
        </w:rPr>
      </w:pPr>
      <w:r w:rsidRPr="00B6242F">
        <w:rPr>
          <w:rFonts w:ascii="Arial" w:hAnsi="Arial" w:cs="Arial"/>
        </w:rPr>
        <w:t>This document provides expanded captions, methodological notes, and column-by-column descriptions for the eight supplementary tables (S1–S8) that accompany the main manuscript. Supplementary tables are provided as separate comma-separated value (CSV) files; this document describes their contents and intended use. All tables are derived from the harmonized NEON PLFA synthesis dataset (n = 11,399 soil samples from 47 terrestrial sites, collected 2017–2024) and are versioned together with the main data release on Zenodo.</w:t>
      </w:r>
    </w:p>
    <w:p w14:paraId="10C469B0" w14:textId="77777777" w:rsidR="00D12C78" w:rsidRPr="00B6242F" w:rsidRDefault="00D12C78">
      <w:pPr>
        <w:spacing w:after="120"/>
        <w:jc w:val="both"/>
        <w:rPr>
          <w:rFonts w:ascii="Arial" w:hAnsi="Arial" w:cs="Arial"/>
        </w:rPr>
      </w:pPr>
    </w:p>
    <w:p w14:paraId="5A1747C6" w14:textId="77777777" w:rsidR="00D12C78" w:rsidRPr="00B6242F" w:rsidRDefault="00000000">
      <w:pPr>
        <w:rPr>
          <w:rFonts w:ascii="Arial" w:hAnsi="Arial" w:cs="Arial"/>
        </w:rPr>
      </w:pPr>
      <w:r w:rsidRPr="00B6242F">
        <w:rPr>
          <w:rFonts w:ascii="Arial" w:hAnsi="Arial" w:cs="Arial"/>
          <w:b/>
        </w:rPr>
        <w:t>Table S1.</w:t>
      </w:r>
      <w:r w:rsidRPr="00B6242F">
        <w:rPr>
          <w:rFonts w:ascii="Arial" w:hAnsi="Arial" w:cs="Arial"/>
        </w:rPr>
        <w:t xml:space="preserve"> Statistical validation of spatial and temporal patterns</w:t>
      </w:r>
    </w:p>
    <w:p w14:paraId="4A2951AB" w14:textId="77777777" w:rsidR="00D12C78" w:rsidRPr="00B6242F" w:rsidRDefault="00000000">
      <w:pPr>
        <w:rPr>
          <w:rFonts w:ascii="Arial" w:hAnsi="Arial" w:cs="Arial"/>
        </w:rPr>
      </w:pPr>
      <w:r w:rsidRPr="00B6242F">
        <w:rPr>
          <w:rFonts w:ascii="Arial" w:hAnsi="Arial" w:cs="Arial"/>
          <w:b/>
        </w:rPr>
        <w:t>Table S2.</w:t>
      </w:r>
      <w:r w:rsidRPr="00B6242F">
        <w:rPr>
          <w:rFonts w:ascii="Arial" w:hAnsi="Arial" w:cs="Arial"/>
        </w:rPr>
        <w:t xml:space="preserve"> Data dictionary for all 127 variables in the synthesis dataset</w:t>
      </w:r>
    </w:p>
    <w:p w14:paraId="2E2EE5B0" w14:textId="77777777" w:rsidR="00D12C78" w:rsidRPr="00B6242F" w:rsidRDefault="00000000">
      <w:pPr>
        <w:rPr>
          <w:rFonts w:ascii="Arial" w:hAnsi="Arial" w:cs="Arial"/>
        </w:rPr>
      </w:pPr>
      <w:r w:rsidRPr="00B6242F">
        <w:rPr>
          <w:rFonts w:ascii="Arial" w:hAnsi="Arial" w:cs="Arial"/>
          <w:b/>
        </w:rPr>
        <w:t>Table S3.</w:t>
      </w:r>
      <w:r w:rsidRPr="00B6242F">
        <w:rPr>
          <w:rFonts w:ascii="Arial" w:hAnsi="Arial" w:cs="Arial"/>
        </w:rPr>
        <w:t xml:space="preserve"> Domain-level summary statistics for microbial community metrics</w:t>
      </w:r>
    </w:p>
    <w:p w14:paraId="582E5F3D" w14:textId="77777777" w:rsidR="00D12C78" w:rsidRPr="00B6242F" w:rsidRDefault="00000000">
      <w:pPr>
        <w:rPr>
          <w:rFonts w:ascii="Arial" w:hAnsi="Arial" w:cs="Arial"/>
        </w:rPr>
      </w:pPr>
      <w:r w:rsidRPr="00B6242F">
        <w:rPr>
          <w:rFonts w:ascii="Arial" w:hAnsi="Arial" w:cs="Arial"/>
          <w:b/>
        </w:rPr>
        <w:t>Table S4.</w:t>
      </w:r>
      <w:r w:rsidRPr="00B6242F">
        <w:rPr>
          <w:rFonts w:ascii="Arial" w:hAnsi="Arial" w:cs="Arial"/>
        </w:rPr>
        <w:t xml:space="preserve"> Data completeness by site</w:t>
      </w:r>
    </w:p>
    <w:p w14:paraId="060879E3" w14:textId="77777777" w:rsidR="00D12C78" w:rsidRPr="00B6242F" w:rsidRDefault="00000000">
      <w:pPr>
        <w:rPr>
          <w:rFonts w:ascii="Arial" w:hAnsi="Arial" w:cs="Arial"/>
        </w:rPr>
      </w:pPr>
      <w:r w:rsidRPr="00B6242F">
        <w:rPr>
          <w:rFonts w:ascii="Arial" w:hAnsi="Arial" w:cs="Arial"/>
          <w:b/>
        </w:rPr>
        <w:t>Table S5.</w:t>
      </w:r>
      <w:r w:rsidRPr="00B6242F">
        <w:rPr>
          <w:rFonts w:ascii="Arial" w:hAnsi="Arial" w:cs="Arial"/>
        </w:rPr>
        <w:t xml:space="preserve"> C18:0 (stearic acid) contamination correction summary by site and year</w:t>
      </w:r>
    </w:p>
    <w:p w14:paraId="0E389AF6" w14:textId="77777777" w:rsidR="00D12C78" w:rsidRPr="00B6242F" w:rsidRDefault="00000000">
      <w:pPr>
        <w:rPr>
          <w:rFonts w:ascii="Arial" w:hAnsi="Arial" w:cs="Arial"/>
        </w:rPr>
      </w:pPr>
      <w:r w:rsidRPr="00B6242F">
        <w:rPr>
          <w:rFonts w:ascii="Arial" w:hAnsi="Arial" w:cs="Arial"/>
          <w:b/>
        </w:rPr>
        <w:t>Table S6.</w:t>
      </w:r>
      <w:r w:rsidRPr="00B6242F">
        <w:rPr>
          <w:rFonts w:ascii="Arial" w:hAnsi="Arial" w:cs="Arial"/>
        </w:rPr>
        <w:t xml:space="preserve"> Site-level temporal stability metrics (coefficient of variation)</w:t>
      </w:r>
    </w:p>
    <w:p w14:paraId="2C9D8A43" w14:textId="77777777" w:rsidR="00D12C78" w:rsidRPr="00B6242F" w:rsidRDefault="00000000">
      <w:pPr>
        <w:rPr>
          <w:rFonts w:ascii="Arial" w:hAnsi="Arial" w:cs="Arial"/>
        </w:rPr>
      </w:pPr>
      <w:r w:rsidRPr="00B6242F">
        <w:rPr>
          <w:rFonts w:ascii="Arial" w:hAnsi="Arial" w:cs="Arial"/>
          <w:b/>
        </w:rPr>
        <w:t>Table S7.</w:t>
      </w:r>
      <w:r w:rsidRPr="00B6242F">
        <w:rPr>
          <w:rFonts w:ascii="Arial" w:hAnsi="Arial" w:cs="Arial"/>
        </w:rPr>
        <w:t xml:space="preserve"> Temporal coverage matrix showing sampling years and sample sizes</w:t>
      </w:r>
    </w:p>
    <w:p w14:paraId="32CDFD57" w14:textId="77777777" w:rsidR="00D12C78" w:rsidRPr="00B6242F" w:rsidRDefault="00000000">
      <w:pPr>
        <w:rPr>
          <w:rFonts w:ascii="Arial" w:hAnsi="Arial" w:cs="Arial"/>
        </w:rPr>
      </w:pPr>
      <w:r w:rsidRPr="00B6242F">
        <w:rPr>
          <w:rFonts w:ascii="Arial" w:hAnsi="Arial" w:cs="Arial"/>
          <w:b/>
        </w:rPr>
        <w:t>Table S8.</w:t>
      </w:r>
      <w:r w:rsidRPr="00B6242F">
        <w:rPr>
          <w:rFonts w:ascii="Arial" w:hAnsi="Arial" w:cs="Arial"/>
        </w:rPr>
        <w:t xml:space="preserve"> Biomarker detection frequencies by site</w:t>
      </w:r>
    </w:p>
    <w:p w14:paraId="237CB3A5" w14:textId="77777777" w:rsidR="00D12C78" w:rsidRPr="00B6242F" w:rsidRDefault="00000000">
      <w:pPr>
        <w:rPr>
          <w:rFonts w:ascii="Arial" w:hAnsi="Arial" w:cs="Arial"/>
        </w:rPr>
      </w:pPr>
      <w:r w:rsidRPr="00B6242F">
        <w:rPr>
          <w:rFonts w:ascii="Arial" w:hAnsi="Arial" w:cs="Arial"/>
        </w:rPr>
        <w:br w:type="page"/>
      </w:r>
    </w:p>
    <w:p w14:paraId="2C113818" w14:textId="130A011E" w:rsidR="00D12C78" w:rsidRPr="00B6242F" w:rsidRDefault="00000000" w:rsidP="00B6242F">
      <w:pPr>
        <w:spacing w:before="240" w:after="120"/>
        <w:jc w:val="both"/>
        <w:rPr>
          <w:rFonts w:ascii="Arial" w:hAnsi="Arial" w:cs="Arial"/>
        </w:rPr>
      </w:pPr>
      <w:r w:rsidRPr="00B6242F">
        <w:rPr>
          <w:rFonts w:ascii="Arial" w:hAnsi="Arial" w:cs="Arial"/>
          <w:b/>
        </w:rPr>
        <w:lastRenderedPageBreak/>
        <w:t>Table S1. Statistical validation of spatial and temporal patterns in NEON PLFA data</w:t>
      </w:r>
      <w:r w:rsidR="00B6242F">
        <w:rPr>
          <w:rFonts w:ascii="Arial" w:hAnsi="Arial" w:cs="Arial"/>
          <w:b/>
        </w:rPr>
        <w:t xml:space="preserve">. </w:t>
      </w:r>
      <w:r w:rsidRPr="00B6242F">
        <w:rPr>
          <w:rFonts w:ascii="Arial" w:hAnsi="Arial" w:cs="Arial"/>
        </w:rPr>
        <w:t>Summary statistics supporting the spatial gradients, horizon contrasts, temporal stability analyses, and internal-consistency relationships reported in the main Technical Validation section. Values support claims made in main-text Figures 2–6 and the narrative discussion of latitudinal gradients, horizon-level differences, and interannual variability.</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r w:rsidRPr="00B6242F">
        <w:rPr>
          <w:rFonts w:ascii="Arial" w:hAnsi="Arial" w:cs="Arial"/>
          <w:bCs/>
        </w:rPr>
        <w:t>Section</w:t>
      </w:r>
      <w:r w:rsidR="00B6242F" w:rsidRPr="00B6242F">
        <w:rPr>
          <w:rFonts w:ascii="Arial" w:hAnsi="Arial" w:cs="Arial"/>
          <w:bCs/>
        </w:rPr>
        <w:t xml:space="preserve">: </w:t>
      </w:r>
      <w:r w:rsidRPr="00B6242F">
        <w:rPr>
          <w:rFonts w:ascii="Arial" w:hAnsi="Arial" w:cs="Arial"/>
          <w:bCs/>
        </w:rPr>
        <w:t>analysis grouping (Latitudinal gradients, Horizon comparisons, Temporal stability, Temporal variability, Internal consistency). Analysis</w:t>
      </w:r>
      <w:r w:rsidR="00B6242F" w:rsidRPr="00B6242F">
        <w:rPr>
          <w:rFonts w:ascii="Arial" w:hAnsi="Arial" w:cs="Arial"/>
          <w:bCs/>
        </w:rPr>
        <w:t xml:space="preserve">: </w:t>
      </w:r>
      <w:r w:rsidRPr="00B6242F">
        <w:rPr>
          <w:rFonts w:ascii="Arial" w:hAnsi="Arial" w:cs="Arial"/>
          <w:bCs/>
        </w:rPr>
        <w:t>the specific statistical test or comparison performed. Metric</w:t>
      </w:r>
      <w:r w:rsidR="00B6242F" w:rsidRPr="00B6242F">
        <w:rPr>
          <w:rFonts w:ascii="Arial" w:hAnsi="Arial" w:cs="Arial"/>
          <w:bCs/>
        </w:rPr>
        <w:t xml:space="preserve">: </w:t>
      </w:r>
      <w:r w:rsidRPr="00B6242F">
        <w:rPr>
          <w:rFonts w:ascii="Arial" w:hAnsi="Arial" w:cs="Arial"/>
          <w:bCs/>
        </w:rPr>
        <w:t>the response variable (microbial biomass, F:B ratio, GP:GN ratio, or cyclopropyl:precursor stress index). n</w:t>
      </w:r>
      <w:r w:rsidR="00B6242F" w:rsidRPr="00B6242F">
        <w:rPr>
          <w:rFonts w:ascii="Arial" w:hAnsi="Arial" w:cs="Arial"/>
          <w:bCs/>
        </w:rPr>
        <w:t xml:space="preserve">: </w:t>
      </w:r>
      <w:r w:rsidRPr="00B6242F">
        <w:rPr>
          <w:rFonts w:ascii="Arial" w:hAnsi="Arial" w:cs="Arial"/>
          <w:bCs/>
        </w:rPr>
        <w:t>sample size used in the statistic; for horizon comparisons, n is reported separately for organic (O) and mineral (M) horizons. Statistic</w:t>
      </w:r>
      <w:r w:rsidR="00B6242F" w:rsidRPr="00B6242F">
        <w:rPr>
          <w:rFonts w:ascii="Arial" w:hAnsi="Arial" w:cs="Arial"/>
          <w:bCs/>
        </w:rPr>
        <w:t xml:space="preserve">: </w:t>
      </w:r>
      <w:r w:rsidRPr="00B6242F">
        <w:rPr>
          <w:rFonts w:ascii="Arial" w:hAnsi="Arial" w:cs="Arial"/>
          <w:bCs/>
        </w:rPr>
        <w:t>statistic type (R², ICC, fold-difference, percent difference, or CV). Value</w:t>
      </w:r>
      <w:r w:rsidR="00B6242F" w:rsidRPr="00B6242F">
        <w:rPr>
          <w:rFonts w:ascii="Arial" w:hAnsi="Arial" w:cs="Arial"/>
          <w:bCs/>
        </w:rPr>
        <w:t xml:space="preserve">: </w:t>
      </w:r>
      <w:r w:rsidRPr="00B6242F">
        <w:rPr>
          <w:rFonts w:ascii="Arial" w:hAnsi="Arial" w:cs="Arial"/>
          <w:bCs/>
        </w:rPr>
        <w:t>the numerical result. P-value</w:t>
      </w:r>
      <w:r w:rsidR="00B6242F" w:rsidRPr="00B6242F">
        <w:rPr>
          <w:rFonts w:ascii="Arial" w:hAnsi="Arial" w:cs="Arial"/>
          <w:bCs/>
        </w:rPr>
        <w:t xml:space="preserve">: </w:t>
      </w:r>
      <w:r w:rsidRPr="00B6242F">
        <w:rPr>
          <w:rFonts w:ascii="Arial" w:hAnsi="Arial" w:cs="Arial"/>
          <w:bCs/>
        </w:rPr>
        <w:t>two-sided significance, reported where applicable.</w:t>
      </w:r>
      <w:r w:rsidR="00B6242F">
        <w:rPr>
          <w:rFonts w:ascii="Arial" w:hAnsi="Arial" w:cs="Arial"/>
        </w:rPr>
        <w:t xml:space="preserve"> </w:t>
      </w:r>
      <w:r w:rsidRPr="00B6242F">
        <w:rPr>
          <w:rFonts w:ascii="Arial" w:hAnsi="Arial" w:cs="Arial"/>
        </w:rPr>
        <w:t>Latitudinal R² values (n = 47 sites) were computed on site-level means of log</w:t>
      </w:r>
      <w:r w:rsidRPr="00B6242F">
        <w:rPr>
          <w:rFonts w:ascii="Arial" w:hAnsi="Arial" w:cs="Arial"/>
          <w:vertAlign w:val="subscript"/>
        </w:rPr>
        <w:t>10</w:t>
      </w:r>
      <w:r w:rsidRPr="00B6242F">
        <w:rPr>
          <w:rFonts w:ascii="Arial" w:hAnsi="Arial" w:cs="Arial"/>
        </w:rPr>
        <w:t>-transformed biomass, F:B ratio, and the cyclopropyl:precursor stress index against absolute latitude. Intraclass correlation coefficients (ICCs) partition variance between sites and within-site (temporal) sources following Nakagawa &amp; Schielzeth (2010); ICC values closer to 1 indicate that variation is dominated by among-site rather than within-site differences. Coefficient of variation (CV) summaries are restricted to the 20 sites with ≥5 years of repeated sampling (see Table S6 for per-site CVs). The internal consistency block reports bivariate R² for the relationships shown in main-text Figure 6.</w:t>
      </w:r>
      <w:r w:rsidR="00B6242F">
        <w:rPr>
          <w:rFonts w:ascii="Arial" w:hAnsi="Arial" w:cs="Arial"/>
        </w:rPr>
        <w:t xml:space="preserve"> </w:t>
      </w:r>
    </w:p>
    <w:p w14:paraId="71F6BCD5" w14:textId="14CDEB7C" w:rsidR="00D12C78" w:rsidRPr="00B6242F" w:rsidRDefault="00000000" w:rsidP="00B6242F">
      <w:pPr>
        <w:spacing w:before="240" w:after="120"/>
        <w:jc w:val="both"/>
        <w:rPr>
          <w:rFonts w:ascii="Arial" w:hAnsi="Arial" w:cs="Arial"/>
        </w:rPr>
      </w:pPr>
      <w:r w:rsidRPr="00B6242F">
        <w:rPr>
          <w:rFonts w:ascii="Arial" w:hAnsi="Arial" w:cs="Arial"/>
          <w:b/>
        </w:rPr>
        <w:t>Table S2. Data dictionary for the NEON PLFA synthesis dataset (127 variables)</w:t>
      </w:r>
      <w:r w:rsidR="00B6242F">
        <w:rPr>
          <w:rFonts w:ascii="Arial" w:hAnsi="Arial" w:cs="Arial"/>
          <w:b/>
        </w:rPr>
        <w:t>.</w:t>
      </w:r>
      <w:r w:rsidR="00B6242F">
        <w:rPr>
          <w:rFonts w:ascii="Arial" w:hAnsi="Arial" w:cs="Arial"/>
        </w:rPr>
        <w:t xml:space="preserve"> </w:t>
      </w:r>
      <w:r w:rsidRPr="00B6242F">
        <w:rPr>
          <w:rFonts w:ascii="Arial" w:hAnsi="Arial" w:cs="Arial"/>
        </w:rPr>
        <w:t>Complete variable-level documentation for the harmonized synthesis dataset. Every column in the public data file is listed, with its data type, plain-English description, and reporting units. This is the authoritative reference for users programmatically loading or filtering the dataset.</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proofErr w:type="spellStart"/>
      <w:r w:rsidRPr="00B6242F">
        <w:rPr>
          <w:rFonts w:ascii="Arial" w:hAnsi="Arial" w:cs="Arial"/>
          <w:bCs/>
        </w:rPr>
        <w:t>column_name</w:t>
      </w:r>
      <w:proofErr w:type="spellEnd"/>
      <w:r w:rsidR="00B6242F" w:rsidRPr="00B6242F">
        <w:rPr>
          <w:rFonts w:ascii="Arial" w:hAnsi="Arial" w:cs="Arial"/>
          <w:bCs/>
        </w:rPr>
        <w:t xml:space="preserve">: </w:t>
      </w:r>
      <w:r w:rsidRPr="00B6242F">
        <w:rPr>
          <w:rFonts w:ascii="Arial" w:hAnsi="Arial" w:cs="Arial"/>
          <w:bCs/>
        </w:rPr>
        <w:t xml:space="preserve">exact column name as it appears in the data file. </w:t>
      </w:r>
      <w:proofErr w:type="spellStart"/>
      <w:r w:rsidRPr="00B6242F">
        <w:rPr>
          <w:rFonts w:ascii="Arial" w:hAnsi="Arial" w:cs="Arial"/>
          <w:bCs/>
        </w:rPr>
        <w:t>data_type</w:t>
      </w:r>
      <w:proofErr w:type="spellEnd"/>
      <w:r w:rsidR="00B6242F" w:rsidRPr="00B6242F">
        <w:rPr>
          <w:rFonts w:ascii="Arial" w:hAnsi="Arial" w:cs="Arial"/>
          <w:bCs/>
        </w:rPr>
        <w:t xml:space="preserve">: </w:t>
      </w:r>
      <w:r w:rsidRPr="00B6242F">
        <w:rPr>
          <w:rFonts w:ascii="Arial" w:hAnsi="Arial" w:cs="Arial"/>
          <w:bCs/>
        </w:rPr>
        <w:t>variable class (character, numeric, integer, Date). description</w:t>
      </w:r>
      <w:r w:rsidR="00B6242F" w:rsidRPr="00B6242F">
        <w:rPr>
          <w:rFonts w:ascii="Arial" w:hAnsi="Arial" w:cs="Arial"/>
          <w:bCs/>
        </w:rPr>
        <w:t xml:space="preserve">: </w:t>
      </w:r>
      <w:r w:rsidRPr="00B6242F">
        <w:rPr>
          <w:rFonts w:ascii="Arial" w:hAnsi="Arial" w:cs="Arial"/>
          <w:bCs/>
        </w:rPr>
        <w:t>meaning of the variable; for columns inherited directly from NEON without modification, the description points to the NEON data product documentation for DP1.10104.001 (Soil microbe biomass). units</w:t>
      </w:r>
      <w:r w:rsidR="00B6242F" w:rsidRPr="00B6242F">
        <w:rPr>
          <w:rFonts w:ascii="Arial" w:hAnsi="Arial" w:cs="Arial"/>
          <w:bCs/>
        </w:rPr>
        <w:t xml:space="preserve">: </w:t>
      </w:r>
      <w:r w:rsidRPr="00B6242F">
        <w:rPr>
          <w:rFonts w:ascii="Arial" w:hAnsi="Arial" w:cs="Arial"/>
          <w:bCs/>
        </w:rPr>
        <w:t xml:space="preserve">reporting units (nmol/g, °C, %, decimal degrees, etc.) or 'See NEON data product documentation' for columns whose units are defined by the source </w:t>
      </w:r>
      <w:proofErr w:type="spellStart"/>
      <w:r w:rsidRPr="00B6242F">
        <w:rPr>
          <w:rFonts w:ascii="Arial" w:hAnsi="Arial" w:cs="Arial"/>
          <w:bCs/>
        </w:rPr>
        <w:t>product.</w:t>
      </w:r>
      <w:r w:rsidRPr="00B6242F">
        <w:rPr>
          <w:rFonts w:ascii="Arial" w:hAnsi="Arial" w:cs="Arial"/>
        </w:rPr>
        <w:t>Variable</w:t>
      </w:r>
      <w:proofErr w:type="spellEnd"/>
      <w:r w:rsidRPr="00B6242F">
        <w:rPr>
          <w:rFonts w:ascii="Arial" w:hAnsi="Arial" w:cs="Arial"/>
        </w:rPr>
        <w:t xml:space="preserve"> groups (in column order): (i) sample identifiers and provenance (uid, namedLocation, sampleID, batchID, laboratoryName), (ii) site metadata and georeferencing (domainID, siteID, decimalLatitude/Longitude, elevation, plotID), (iii) collection timing (collectDate, year, month, collectDateTime), (iv) 60 individual PLFA biomarker scaled concentrations (e.g., c16To0ScaledConcentration through c24To0ScaledConcentration), each in nmol per gram dry soil, (v) internal standard and QA/QC fields, (vi) co-located ancillary soil measurements joined from NEON soil core (.core) and soil moisture (.moist) data products</w:t>
      </w:r>
      <w:r w:rsidR="00B6242F">
        <w:rPr>
          <w:rFonts w:ascii="Arial" w:hAnsi="Arial" w:cs="Arial"/>
        </w:rPr>
        <w:t>:</w:t>
      </w:r>
      <w:r w:rsidRPr="00B6242F">
        <w:rPr>
          <w:rFonts w:ascii="Arial" w:hAnsi="Arial" w:cs="Arial"/>
        </w:rPr>
        <w:t xml:space="preserve"> soilTemp, soilMoisture, and Megapit-derived soil taxonomy (soilOrder, soilSuborder, soilGreatGroup, soilSubgroup), and (vii) derived community metrics</w:t>
      </w:r>
      <w:r w:rsidR="00B6242F">
        <w:rPr>
          <w:rFonts w:ascii="Arial" w:hAnsi="Arial" w:cs="Arial"/>
        </w:rPr>
        <w:t xml:space="preserve"> including </w:t>
      </w:r>
      <w:proofErr w:type="spellStart"/>
      <w:r w:rsidRPr="00B6242F">
        <w:rPr>
          <w:rFonts w:ascii="Arial" w:hAnsi="Arial" w:cs="Arial"/>
          <w:iCs/>
        </w:rPr>
        <w:t>microbial_biomass_nmol_g</w:t>
      </w:r>
      <w:proofErr w:type="spellEnd"/>
      <w:r w:rsidRPr="00B6242F">
        <w:rPr>
          <w:rFonts w:ascii="Arial" w:hAnsi="Arial" w:cs="Arial"/>
          <w:iCs/>
        </w:rPr>
        <w:t xml:space="preserve"> (total biomass, C18:0-corrected), fungal_plfa_nmol_g, bacterial_plfa_nmol_g, FB_ratio, gram_positive, gram_negative, GP_GN_ratio (Gram-positive:Gram-negative bacterial ratio, dimensionless), and three cyclopropyl:precursor stress indices (stress_index_cy19 = cy19:0/18:1ω7c, available for the full record; stress_index_cy17 = cy17:0/16:1ω7c and stress_index_combined = (cy17:0 + cy19:0)/(16:1ω7c + 18:1ω7c), both available from 2021 onward).</w:t>
      </w:r>
    </w:p>
    <w:p w14:paraId="4F401B7A" w14:textId="77777777" w:rsidR="00B6242F" w:rsidRDefault="00B6242F">
      <w:pPr>
        <w:spacing w:before="240" w:after="120"/>
        <w:rPr>
          <w:rFonts w:ascii="Arial" w:hAnsi="Arial" w:cs="Arial"/>
          <w:b/>
        </w:rPr>
      </w:pPr>
    </w:p>
    <w:p w14:paraId="496FE403" w14:textId="77777777" w:rsidR="00B6242F" w:rsidRDefault="00B6242F">
      <w:pPr>
        <w:spacing w:before="240" w:after="120"/>
        <w:rPr>
          <w:rFonts w:ascii="Arial" w:hAnsi="Arial" w:cs="Arial"/>
          <w:b/>
        </w:rPr>
      </w:pPr>
    </w:p>
    <w:p w14:paraId="459127B1" w14:textId="2ACEE32C" w:rsidR="00D12C78" w:rsidRPr="00B6242F" w:rsidRDefault="00000000" w:rsidP="00B6242F">
      <w:pPr>
        <w:spacing w:before="240" w:after="120"/>
        <w:jc w:val="both"/>
        <w:rPr>
          <w:rFonts w:ascii="Arial" w:hAnsi="Arial" w:cs="Arial"/>
        </w:rPr>
      </w:pPr>
      <w:r w:rsidRPr="00B6242F">
        <w:rPr>
          <w:rFonts w:ascii="Arial" w:hAnsi="Arial" w:cs="Arial"/>
          <w:b/>
        </w:rPr>
        <w:t>Table S3. Domain-level summary statistics for microbial community metrics across 20 NEON ecological domains</w:t>
      </w:r>
      <w:r w:rsidR="00B6242F">
        <w:rPr>
          <w:rFonts w:ascii="Arial" w:hAnsi="Arial" w:cs="Arial"/>
          <w:b/>
        </w:rPr>
        <w:t>.</w:t>
      </w:r>
      <w:r w:rsidR="00B6242F">
        <w:rPr>
          <w:rFonts w:ascii="Arial" w:hAnsi="Arial" w:cs="Arial"/>
        </w:rPr>
        <w:t xml:space="preserve"> </w:t>
      </w:r>
      <w:r w:rsidRPr="00B6242F">
        <w:rPr>
          <w:rFonts w:ascii="Arial" w:hAnsi="Arial" w:cs="Arial"/>
        </w:rPr>
        <w:t>Mean and standard deviation for the three derived community metrics, aggregated to the NEON ecological domain (D01–D20). NEON domains partition the contiguous U.S., Alaska, Hawai'i, and Puerto Rico into 20 ecoclimatic regions intended to capture representative ecosystem variation. Domain-level summaries provide a coarse-grained view of biogeographic patterns and are useful for regional comparisons that do not require site-specific resolution.</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proofErr w:type="spellStart"/>
      <w:r w:rsidRPr="00B6242F">
        <w:rPr>
          <w:rFonts w:ascii="Arial" w:hAnsi="Arial" w:cs="Arial"/>
          <w:bCs/>
        </w:rPr>
        <w:t>domainID</w:t>
      </w:r>
      <w:proofErr w:type="spellEnd"/>
      <w:r w:rsidR="00B6242F" w:rsidRPr="00B6242F">
        <w:rPr>
          <w:rFonts w:ascii="Arial" w:hAnsi="Arial" w:cs="Arial"/>
          <w:bCs/>
        </w:rPr>
        <w:t xml:space="preserve">: </w:t>
      </w:r>
      <w:r w:rsidRPr="00B6242F">
        <w:rPr>
          <w:rFonts w:ascii="Arial" w:hAnsi="Arial" w:cs="Arial"/>
          <w:bCs/>
        </w:rPr>
        <w:t xml:space="preserve">NEON domain code. </w:t>
      </w:r>
      <w:proofErr w:type="spellStart"/>
      <w:r w:rsidRPr="00B6242F">
        <w:rPr>
          <w:rFonts w:ascii="Arial" w:hAnsi="Arial" w:cs="Arial"/>
          <w:bCs/>
        </w:rPr>
        <w:t>n_samples</w:t>
      </w:r>
      <w:proofErr w:type="spellEnd"/>
      <w:r w:rsidR="00B6242F" w:rsidRPr="00B6242F">
        <w:rPr>
          <w:rFonts w:ascii="Arial" w:hAnsi="Arial" w:cs="Arial"/>
          <w:bCs/>
        </w:rPr>
        <w:t xml:space="preserve">: </w:t>
      </w:r>
      <w:r w:rsidRPr="00B6242F">
        <w:rPr>
          <w:rFonts w:ascii="Arial" w:hAnsi="Arial" w:cs="Arial"/>
          <w:bCs/>
        </w:rPr>
        <w:t xml:space="preserve">number of soil samples contributing to the domain summary. </w:t>
      </w:r>
      <w:proofErr w:type="spellStart"/>
      <w:r w:rsidRPr="00B6242F">
        <w:rPr>
          <w:rFonts w:ascii="Arial" w:hAnsi="Arial" w:cs="Arial"/>
          <w:bCs/>
        </w:rPr>
        <w:t>n_sites</w:t>
      </w:r>
      <w:proofErr w:type="spellEnd"/>
      <w:r w:rsidR="00B6242F" w:rsidRPr="00B6242F">
        <w:rPr>
          <w:rFonts w:ascii="Arial" w:hAnsi="Arial" w:cs="Arial"/>
          <w:bCs/>
        </w:rPr>
        <w:t xml:space="preserve">: </w:t>
      </w:r>
      <w:r w:rsidRPr="00B6242F">
        <w:rPr>
          <w:rFonts w:ascii="Arial" w:hAnsi="Arial" w:cs="Arial"/>
          <w:bCs/>
        </w:rPr>
        <w:t xml:space="preserve">number of distinct NEON terrestrial sites within the domain. </w:t>
      </w:r>
      <w:proofErr w:type="spellStart"/>
      <w:r w:rsidRPr="00B6242F">
        <w:rPr>
          <w:rFonts w:ascii="Arial" w:hAnsi="Arial" w:cs="Arial"/>
          <w:bCs/>
        </w:rPr>
        <w:t>mean_biomass</w:t>
      </w:r>
      <w:proofErr w:type="spellEnd"/>
      <w:r w:rsidRPr="00B6242F">
        <w:rPr>
          <w:rFonts w:ascii="Arial" w:hAnsi="Arial" w:cs="Arial"/>
          <w:bCs/>
        </w:rPr>
        <w:t xml:space="preserve"> / </w:t>
      </w:r>
      <w:proofErr w:type="spellStart"/>
      <w:r w:rsidRPr="00B6242F">
        <w:rPr>
          <w:rFonts w:ascii="Arial" w:hAnsi="Arial" w:cs="Arial"/>
          <w:bCs/>
        </w:rPr>
        <w:t>sd_biomass</w:t>
      </w:r>
      <w:proofErr w:type="spellEnd"/>
      <w:r w:rsidR="00B6242F" w:rsidRPr="00B6242F">
        <w:rPr>
          <w:rFonts w:ascii="Arial" w:hAnsi="Arial" w:cs="Arial"/>
          <w:bCs/>
        </w:rPr>
        <w:t xml:space="preserve">: </w:t>
      </w:r>
      <w:r w:rsidRPr="00B6242F">
        <w:rPr>
          <w:rFonts w:ascii="Arial" w:hAnsi="Arial" w:cs="Arial"/>
          <w:bCs/>
        </w:rPr>
        <w:t xml:space="preserve">mean and standard deviation of total microbial biomass (nmol/g). </w:t>
      </w:r>
      <w:proofErr w:type="spellStart"/>
      <w:r w:rsidRPr="00B6242F">
        <w:rPr>
          <w:rFonts w:ascii="Arial" w:hAnsi="Arial" w:cs="Arial"/>
          <w:bCs/>
        </w:rPr>
        <w:t>mean_FB</w:t>
      </w:r>
      <w:proofErr w:type="spellEnd"/>
      <w:r w:rsidRPr="00B6242F">
        <w:rPr>
          <w:rFonts w:ascii="Arial" w:hAnsi="Arial" w:cs="Arial"/>
          <w:bCs/>
        </w:rPr>
        <w:t xml:space="preserve"> / </w:t>
      </w:r>
      <w:proofErr w:type="spellStart"/>
      <w:r w:rsidRPr="00B6242F">
        <w:rPr>
          <w:rFonts w:ascii="Arial" w:hAnsi="Arial" w:cs="Arial"/>
          <w:bCs/>
        </w:rPr>
        <w:t>sd_FB</w:t>
      </w:r>
      <w:proofErr w:type="spellEnd"/>
      <w:r w:rsidR="00B6242F" w:rsidRPr="00B6242F">
        <w:rPr>
          <w:rFonts w:ascii="Arial" w:hAnsi="Arial" w:cs="Arial"/>
          <w:bCs/>
        </w:rPr>
        <w:t xml:space="preserve">: </w:t>
      </w:r>
      <w:r w:rsidRPr="00B6242F">
        <w:rPr>
          <w:rFonts w:ascii="Arial" w:hAnsi="Arial" w:cs="Arial"/>
          <w:bCs/>
        </w:rPr>
        <w:t xml:space="preserve">mean and standard deviation of the fungal-to-bacterial ratio (dimensionless). </w:t>
      </w:r>
      <w:proofErr w:type="spellStart"/>
      <w:r w:rsidRPr="00B6242F">
        <w:rPr>
          <w:rFonts w:ascii="Arial" w:hAnsi="Arial" w:cs="Arial"/>
          <w:bCs/>
        </w:rPr>
        <w:t>mean_GPGN</w:t>
      </w:r>
      <w:proofErr w:type="spellEnd"/>
      <w:r w:rsidRPr="00B6242F">
        <w:rPr>
          <w:rFonts w:ascii="Arial" w:hAnsi="Arial" w:cs="Arial"/>
          <w:bCs/>
        </w:rPr>
        <w:t xml:space="preserve"> / </w:t>
      </w:r>
      <w:proofErr w:type="spellStart"/>
      <w:r w:rsidRPr="00B6242F">
        <w:rPr>
          <w:rFonts w:ascii="Arial" w:hAnsi="Arial" w:cs="Arial"/>
          <w:bCs/>
        </w:rPr>
        <w:t>sd_GPGN</w:t>
      </w:r>
      <w:proofErr w:type="spellEnd"/>
      <w:r w:rsidR="00B6242F" w:rsidRPr="00B6242F">
        <w:rPr>
          <w:rFonts w:ascii="Arial" w:hAnsi="Arial" w:cs="Arial"/>
          <w:bCs/>
        </w:rPr>
        <w:t xml:space="preserve">: </w:t>
      </w:r>
      <w:r w:rsidRPr="00B6242F">
        <w:rPr>
          <w:rFonts w:ascii="Arial" w:hAnsi="Arial" w:cs="Arial"/>
          <w:bCs/>
        </w:rPr>
        <w:t xml:space="preserve">mean and standard deviation of the </w:t>
      </w:r>
      <w:proofErr w:type="spellStart"/>
      <w:r w:rsidRPr="00B6242F">
        <w:rPr>
          <w:rFonts w:ascii="Arial" w:hAnsi="Arial" w:cs="Arial"/>
          <w:bCs/>
        </w:rPr>
        <w:t>Gram-</w:t>
      </w:r>
      <w:proofErr w:type="gramStart"/>
      <w:r w:rsidRPr="00B6242F">
        <w:rPr>
          <w:rFonts w:ascii="Arial" w:hAnsi="Arial" w:cs="Arial"/>
          <w:bCs/>
        </w:rPr>
        <w:t>positive:Gram</w:t>
      </w:r>
      <w:proofErr w:type="gramEnd"/>
      <w:r w:rsidRPr="00B6242F">
        <w:rPr>
          <w:rFonts w:ascii="Arial" w:hAnsi="Arial" w:cs="Arial"/>
          <w:bCs/>
        </w:rPr>
        <w:t>-negative</w:t>
      </w:r>
      <w:proofErr w:type="spellEnd"/>
      <w:r w:rsidRPr="00B6242F">
        <w:rPr>
          <w:rFonts w:ascii="Arial" w:hAnsi="Arial" w:cs="Arial"/>
          <w:bCs/>
        </w:rPr>
        <w:t xml:space="preserve"> bacterial ratio (dimensionless</w:t>
      </w:r>
      <w:r w:rsidRPr="00B6242F">
        <w:rPr>
          <w:rFonts w:ascii="Arial" w:hAnsi="Arial" w:cs="Arial"/>
        </w:rPr>
        <w:t>).</w:t>
      </w:r>
      <w:r w:rsidR="00B6242F">
        <w:rPr>
          <w:rFonts w:ascii="Arial" w:hAnsi="Arial" w:cs="Arial"/>
        </w:rPr>
        <w:t xml:space="preserve"> </w:t>
      </w:r>
      <w:r w:rsidRPr="00B6242F">
        <w:rPr>
          <w:rFonts w:ascii="Arial" w:hAnsi="Arial" w:cs="Arial"/>
        </w:rPr>
        <w:t>All 20 NEON domains are represented. Sample sizes range from n = 186 (D18, Tundra) to n = 782 (D08, Ozarks Complex). Domain-level means highlight the order-of-magnitude variation in biomass across biomes, ranging from ~24 nmol/g in D14 (Desert Southwest) to &gt;1,000 nmol/g in D20 (Pacific Tropical).</w:t>
      </w:r>
    </w:p>
    <w:p w14:paraId="25A9065D" w14:textId="7C8DFFB8" w:rsidR="00D12C78" w:rsidRPr="00B6242F" w:rsidRDefault="00000000" w:rsidP="00B6242F">
      <w:pPr>
        <w:spacing w:before="240" w:after="120"/>
        <w:jc w:val="both"/>
        <w:rPr>
          <w:rFonts w:ascii="Arial" w:hAnsi="Arial" w:cs="Arial"/>
        </w:rPr>
      </w:pPr>
      <w:r w:rsidRPr="00B6242F">
        <w:rPr>
          <w:rFonts w:ascii="Arial" w:hAnsi="Arial" w:cs="Arial"/>
          <w:b/>
        </w:rPr>
        <w:t>Table S4. Data completeness by site showing percentage of samples with complete metric calculations for 47 NEON sites</w:t>
      </w:r>
      <w:r w:rsidR="00B6242F">
        <w:rPr>
          <w:rFonts w:ascii="Arial" w:hAnsi="Arial" w:cs="Arial"/>
          <w:b/>
        </w:rPr>
        <w:t>.</w:t>
      </w:r>
      <w:r w:rsidR="00B6242F">
        <w:rPr>
          <w:rFonts w:ascii="Arial" w:hAnsi="Arial" w:cs="Arial"/>
        </w:rPr>
        <w:t xml:space="preserve"> </w:t>
      </w:r>
      <w:r w:rsidRPr="00B6242F">
        <w:rPr>
          <w:rFonts w:ascii="Arial" w:hAnsi="Arial" w:cs="Arial"/>
        </w:rPr>
        <w:t>Per-site data completeness audit for the five core variables analyzed in the main manuscript. Confirms that derived metrics could be computed for nearly all samples; the few sites with &lt;100% completeness reflect missing values in specific biomarker panels (primarily affecting the cyclopropyl precursors required for the GP:GN ratio).</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proofErr w:type="spellStart"/>
      <w:r w:rsidRPr="00B6242F">
        <w:rPr>
          <w:rFonts w:ascii="Arial" w:hAnsi="Arial" w:cs="Arial"/>
          <w:bCs/>
        </w:rPr>
        <w:t>siteID</w:t>
      </w:r>
      <w:proofErr w:type="spellEnd"/>
      <w:r w:rsidR="00B6242F" w:rsidRPr="00B6242F">
        <w:rPr>
          <w:rFonts w:ascii="Arial" w:hAnsi="Arial" w:cs="Arial"/>
          <w:bCs/>
        </w:rPr>
        <w:t xml:space="preserve">: </w:t>
      </w:r>
      <w:r w:rsidRPr="00B6242F">
        <w:rPr>
          <w:rFonts w:ascii="Arial" w:hAnsi="Arial" w:cs="Arial"/>
          <w:bCs/>
        </w:rPr>
        <w:t xml:space="preserve">NEON 4-letter site code. </w:t>
      </w:r>
      <w:proofErr w:type="spellStart"/>
      <w:r w:rsidRPr="00B6242F">
        <w:rPr>
          <w:rFonts w:ascii="Arial" w:hAnsi="Arial" w:cs="Arial"/>
          <w:bCs/>
        </w:rPr>
        <w:t>domainID</w:t>
      </w:r>
      <w:proofErr w:type="spellEnd"/>
      <w:r w:rsidR="00B6242F" w:rsidRPr="00B6242F">
        <w:rPr>
          <w:rFonts w:ascii="Arial" w:hAnsi="Arial" w:cs="Arial"/>
          <w:bCs/>
        </w:rPr>
        <w:t xml:space="preserve">: </w:t>
      </w:r>
      <w:r w:rsidRPr="00B6242F">
        <w:rPr>
          <w:rFonts w:ascii="Arial" w:hAnsi="Arial" w:cs="Arial"/>
          <w:bCs/>
        </w:rPr>
        <w:t xml:space="preserve">NEON domain. </w:t>
      </w:r>
      <w:proofErr w:type="spellStart"/>
      <w:r w:rsidRPr="00B6242F">
        <w:rPr>
          <w:rFonts w:ascii="Arial" w:hAnsi="Arial" w:cs="Arial"/>
          <w:bCs/>
        </w:rPr>
        <w:t>n_total</w:t>
      </w:r>
      <w:proofErr w:type="spellEnd"/>
      <w:r w:rsidR="00B6242F" w:rsidRPr="00B6242F">
        <w:rPr>
          <w:rFonts w:ascii="Arial" w:hAnsi="Arial" w:cs="Arial"/>
          <w:bCs/>
        </w:rPr>
        <w:t xml:space="preserve">: </w:t>
      </w:r>
      <w:r w:rsidRPr="00B6242F">
        <w:rPr>
          <w:rFonts w:ascii="Arial" w:hAnsi="Arial" w:cs="Arial"/>
          <w:bCs/>
        </w:rPr>
        <w:t xml:space="preserve">total samples from the site in the synthesis dataset. </w:t>
      </w:r>
      <w:proofErr w:type="spellStart"/>
      <w:r w:rsidRPr="00B6242F">
        <w:rPr>
          <w:rFonts w:ascii="Arial" w:hAnsi="Arial" w:cs="Arial"/>
          <w:bCs/>
        </w:rPr>
        <w:t>pct_biomass</w:t>
      </w:r>
      <w:proofErr w:type="spellEnd"/>
      <w:r w:rsidRPr="00B6242F">
        <w:rPr>
          <w:rFonts w:ascii="Arial" w:hAnsi="Arial" w:cs="Arial"/>
          <w:bCs/>
        </w:rPr>
        <w:t xml:space="preserve">, </w:t>
      </w:r>
      <w:proofErr w:type="spellStart"/>
      <w:r w:rsidRPr="00B6242F">
        <w:rPr>
          <w:rFonts w:ascii="Arial" w:hAnsi="Arial" w:cs="Arial"/>
          <w:bCs/>
        </w:rPr>
        <w:t>pct_fungal</w:t>
      </w:r>
      <w:proofErr w:type="spellEnd"/>
      <w:r w:rsidRPr="00B6242F">
        <w:rPr>
          <w:rFonts w:ascii="Arial" w:hAnsi="Arial" w:cs="Arial"/>
          <w:bCs/>
        </w:rPr>
        <w:t xml:space="preserve">, </w:t>
      </w:r>
      <w:proofErr w:type="spellStart"/>
      <w:r w:rsidRPr="00B6242F">
        <w:rPr>
          <w:rFonts w:ascii="Arial" w:hAnsi="Arial" w:cs="Arial"/>
          <w:bCs/>
        </w:rPr>
        <w:t>pct_bacterial</w:t>
      </w:r>
      <w:proofErr w:type="spellEnd"/>
      <w:r w:rsidRPr="00B6242F">
        <w:rPr>
          <w:rFonts w:ascii="Arial" w:hAnsi="Arial" w:cs="Arial"/>
          <w:bCs/>
        </w:rPr>
        <w:t xml:space="preserve">, </w:t>
      </w:r>
      <w:proofErr w:type="spellStart"/>
      <w:r w:rsidRPr="00B6242F">
        <w:rPr>
          <w:rFonts w:ascii="Arial" w:hAnsi="Arial" w:cs="Arial"/>
          <w:bCs/>
        </w:rPr>
        <w:t>pct_FB</w:t>
      </w:r>
      <w:proofErr w:type="spellEnd"/>
      <w:r w:rsidR="00B6242F" w:rsidRPr="00B6242F">
        <w:rPr>
          <w:rFonts w:ascii="Arial" w:hAnsi="Arial" w:cs="Arial"/>
          <w:bCs/>
        </w:rPr>
        <w:t xml:space="preserve">: </w:t>
      </w:r>
      <w:r w:rsidRPr="00B6242F">
        <w:rPr>
          <w:rFonts w:ascii="Arial" w:hAnsi="Arial" w:cs="Arial"/>
          <w:bCs/>
        </w:rPr>
        <w:t xml:space="preserve">percent of samples with a calculable value for total microbial biomass, fungal PLFA, bacterial PLFA, and the F:B ratio, respectively (all 100% for every site). </w:t>
      </w:r>
      <w:proofErr w:type="spellStart"/>
      <w:r w:rsidRPr="00B6242F">
        <w:rPr>
          <w:rFonts w:ascii="Arial" w:hAnsi="Arial" w:cs="Arial"/>
          <w:bCs/>
        </w:rPr>
        <w:t>pct_GPGN</w:t>
      </w:r>
      <w:proofErr w:type="spellEnd"/>
      <w:r w:rsidR="00B6242F" w:rsidRPr="00B6242F">
        <w:rPr>
          <w:rFonts w:ascii="Arial" w:hAnsi="Arial" w:cs="Arial"/>
          <w:bCs/>
        </w:rPr>
        <w:t xml:space="preserve">: </w:t>
      </w:r>
      <w:r w:rsidRPr="00B6242F">
        <w:rPr>
          <w:rFonts w:ascii="Arial" w:hAnsi="Arial" w:cs="Arial"/>
          <w:bCs/>
        </w:rPr>
        <w:t>percent of samples with a calculable value for the GP:GN ratio. Completeness for this metric drops below 100% only when one or more required cyclopropyl biomarkers (cy17:0, cy19:0) or their straight-chain precursors (16:1ω7c, 18:1ω7c) are reported</w:t>
      </w:r>
      <w:r w:rsidRPr="00B6242F">
        <w:rPr>
          <w:rFonts w:ascii="Arial" w:hAnsi="Arial" w:cs="Arial"/>
        </w:rPr>
        <w:t xml:space="preserve"> as zero or missing</w:t>
      </w:r>
      <w:r w:rsidR="00B6242F">
        <w:rPr>
          <w:rFonts w:ascii="Arial" w:hAnsi="Arial" w:cs="Arial"/>
        </w:rPr>
        <w:t xml:space="preserve">. </w:t>
      </w:r>
      <w:r w:rsidRPr="00B6242F">
        <w:rPr>
          <w:rFonts w:ascii="Arial" w:hAnsi="Arial" w:cs="Arial"/>
        </w:rPr>
        <w:t>Overall completeness exceeds 95% at 41 of 47 sites; the lowest GP:GN values are at CPER (82.2%), SRER (87.9%), and ONAQ (88.2%). All three sites are arid or semi-arid systems where low biomass increases the frequency of biomarkers falling below detection.</w:t>
      </w:r>
    </w:p>
    <w:p w14:paraId="5F2AA9DE" w14:textId="77777777" w:rsidR="00B6242F" w:rsidRDefault="00B6242F">
      <w:pPr>
        <w:spacing w:before="240" w:after="120"/>
        <w:rPr>
          <w:rFonts w:ascii="Arial" w:hAnsi="Arial" w:cs="Arial"/>
          <w:b/>
        </w:rPr>
      </w:pPr>
    </w:p>
    <w:p w14:paraId="24610403" w14:textId="77777777" w:rsidR="00B6242F" w:rsidRDefault="00B6242F">
      <w:pPr>
        <w:spacing w:before="240" w:after="120"/>
        <w:rPr>
          <w:rFonts w:ascii="Arial" w:hAnsi="Arial" w:cs="Arial"/>
          <w:b/>
        </w:rPr>
      </w:pPr>
    </w:p>
    <w:p w14:paraId="10AD3E55" w14:textId="77777777" w:rsidR="00B6242F" w:rsidRDefault="00B6242F">
      <w:pPr>
        <w:spacing w:before="240" w:after="120"/>
        <w:rPr>
          <w:rFonts w:ascii="Arial" w:hAnsi="Arial" w:cs="Arial"/>
          <w:b/>
        </w:rPr>
      </w:pPr>
    </w:p>
    <w:p w14:paraId="7E6448F4" w14:textId="77777777" w:rsidR="00B6242F" w:rsidRDefault="00B6242F">
      <w:pPr>
        <w:spacing w:before="240" w:after="120"/>
        <w:rPr>
          <w:rFonts w:ascii="Arial" w:hAnsi="Arial" w:cs="Arial"/>
          <w:b/>
        </w:rPr>
      </w:pPr>
    </w:p>
    <w:p w14:paraId="571F54DF" w14:textId="77777777" w:rsidR="00B6242F" w:rsidRDefault="00B6242F">
      <w:pPr>
        <w:spacing w:before="240" w:after="120"/>
        <w:rPr>
          <w:rFonts w:ascii="Arial" w:hAnsi="Arial" w:cs="Arial"/>
          <w:b/>
        </w:rPr>
      </w:pPr>
    </w:p>
    <w:p w14:paraId="5B8F2E64" w14:textId="3C3B9194" w:rsidR="00D12C78" w:rsidRPr="00B6242F" w:rsidRDefault="00000000" w:rsidP="00B6242F">
      <w:pPr>
        <w:spacing w:before="240" w:after="120"/>
        <w:jc w:val="both"/>
        <w:rPr>
          <w:rFonts w:ascii="Arial" w:hAnsi="Arial" w:cs="Arial"/>
        </w:rPr>
      </w:pPr>
      <w:r w:rsidRPr="00B6242F">
        <w:rPr>
          <w:rFonts w:ascii="Arial" w:hAnsi="Arial" w:cs="Arial"/>
          <w:b/>
        </w:rPr>
        <w:lastRenderedPageBreak/>
        <w:t>Table S5. C18:0 (stearic acid) contamination correction summary by site and year</w:t>
      </w:r>
      <w:r w:rsidR="00B6242F">
        <w:rPr>
          <w:rFonts w:ascii="Arial" w:hAnsi="Arial" w:cs="Arial"/>
          <w:b/>
        </w:rPr>
        <w:t>.</w:t>
      </w:r>
      <w:r w:rsidR="00B6242F">
        <w:rPr>
          <w:rFonts w:ascii="Arial" w:hAnsi="Arial" w:cs="Arial"/>
        </w:rPr>
        <w:t xml:space="preserve"> </w:t>
      </w:r>
      <w:r w:rsidRPr="00B6242F">
        <w:rPr>
          <w:rFonts w:ascii="Arial" w:hAnsi="Arial" w:cs="Arial"/>
        </w:rPr>
        <w:t>Documentation of the C18:0 (stearic acid) subtraction applied to total microbial biomass to account for stearic-acid contamination introduced during sample handling and lipid extraction. NEON reports a C18:0 scaled concentration for a subset of samples; for every sample in which this value is reported, the C18:0 concentration was subtracted from the total scaled lipid concentration, following NEON's recommended data handling. This table reports, for each site × year combination, the number of samples for which NEON reported a C18:0 value and the number for which a non-zero C18:0 concentration was subtracted.</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proofErr w:type="spellStart"/>
      <w:r w:rsidRPr="00B6242F">
        <w:rPr>
          <w:rFonts w:ascii="Arial" w:hAnsi="Arial" w:cs="Arial"/>
          <w:bCs/>
        </w:rPr>
        <w:t>siteID</w:t>
      </w:r>
      <w:proofErr w:type="spellEnd"/>
      <w:r w:rsidR="00B6242F" w:rsidRPr="00B6242F">
        <w:rPr>
          <w:rFonts w:ascii="Arial" w:hAnsi="Arial" w:cs="Arial"/>
          <w:bCs/>
        </w:rPr>
        <w:t xml:space="preserve">: </w:t>
      </w:r>
      <w:r w:rsidRPr="00B6242F">
        <w:rPr>
          <w:rFonts w:ascii="Arial" w:hAnsi="Arial" w:cs="Arial"/>
          <w:bCs/>
        </w:rPr>
        <w:t>NEON 4-letter site code. year</w:t>
      </w:r>
      <w:r w:rsidR="00B6242F" w:rsidRPr="00B6242F">
        <w:rPr>
          <w:rFonts w:ascii="Arial" w:hAnsi="Arial" w:cs="Arial"/>
          <w:bCs/>
        </w:rPr>
        <w:t xml:space="preserve">: </w:t>
      </w:r>
      <w:r w:rsidRPr="00B6242F">
        <w:rPr>
          <w:rFonts w:ascii="Arial" w:hAnsi="Arial" w:cs="Arial"/>
          <w:bCs/>
        </w:rPr>
        <w:t xml:space="preserve">sampling year. </w:t>
      </w:r>
      <w:proofErr w:type="spellStart"/>
      <w:r w:rsidRPr="00B6242F">
        <w:rPr>
          <w:rFonts w:ascii="Arial" w:hAnsi="Arial" w:cs="Arial"/>
          <w:bCs/>
        </w:rPr>
        <w:t>n_samples</w:t>
      </w:r>
      <w:proofErr w:type="spellEnd"/>
      <w:r w:rsidR="00B6242F" w:rsidRPr="00B6242F">
        <w:rPr>
          <w:rFonts w:ascii="Arial" w:hAnsi="Arial" w:cs="Arial"/>
          <w:bCs/>
        </w:rPr>
        <w:t xml:space="preserve">: </w:t>
      </w:r>
      <w:r w:rsidRPr="00B6242F">
        <w:rPr>
          <w:rFonts w:ascii="Arial" w:hAnsi="Arial" w:cs="Arial"/>
          <w:bCs/>
        </w:rPr>
        <w:t>samples from the site × year cell. n_c18_data_available</w:t>
      </w:r>
      <w:r w:rsidR="00B6242F" w:rsidRPr="00B6242F">
        <w:rPr>
          <w:rFonts w:ascii="Arial" w:hAnsi="Arial" w:cs="Arial"/>
          <w:bCs/>
        </w:rPr>
        <w:t xml:space="preserve">: </w:t>
      </w:r>
      <w:r w:rsidRPr="00B6242F">
        <w:rPr>
          <w:rFonts w:ascii="Arial" w:hAnsi="Arial" w:cs="Arial"/>
          <w:bCs/>
        </w:rPr>
        <w:t>samples for which NEON reports a C18:0 scaled concentration. n_c18_corrected</w:t>
      </w:r>
      <w:r w:rsidR="00B6242F" w:rsidRPr="00B6242F">
        <w:rPr>
          <w:rFonts w:ascii="Arial" w:hAnsi="Arial" w:cs="Arial"/>
          <w:bCs/>
        </w:rPr>
        <w:t xml:space="preserve">: </w:t>
      </w:r>
      <w:r w:rsidRPr="00B6242F">
        <w:rPr>
          <w:rFonts w:ascii="Arial" w:hAnsi="Arial" w:cs="Arial"/>
          <w:bCs/>
        </w:rPr>
        <w:t>samples for which a non-zero C18:0 value was subtracted from total biomass; 22 samples across the dataset had C18:0 reported as exactly zero, so the subtraction had no numerical effect. pct_c18_available, pct_c18_corrected</w:t>
      </w:r>
      <w:r w:rsidR="00B6242F" w:rsidRPr="00B6242F">
        <w:rPr>
          <w:rFonts w:ascii="Arial" w:hAnsi="Arial" w:cs="Arial"/>
          <w:bCs/>
        </w:rPr>
        <w:t xml:space="preserve">: </w:t>
      </w:r>
      <w:r w:rsidRPr="00B6242F">
        <w:rPr>
          <w:rFonts w:ascii="Arial" w:hAnsi="Arial" w:cs="Arial"/>
          <w:bCs/>
        </w:rPr>
        <w:t>corresponding percentages</w:t>
      </w:r>
      <w:r w:rsidRPr="00B6242F">
        <w:rPr>
          <w:rFonts w:ascii="Arial" w:hAnsi="Arial" w:cs="Arial"/>
        </w:rPr>
        <w:t>.</w:t>
      </w:r>
      <w:r w:rsidR="00B6242F">
        <w:rPr>
          <w:rFonts w:ascii="Arial" w:hAnsi="Arial" w:cs="Arial"/>
        </w:rPr>
        <w:t xml:space="preserve"> </w:t>
      </w:r>
      <w:r w:rsidRPr="00B6242F">
        <w:rPr>
          <w:rFonts w:ascii="Arial" w:hAnsi="Arial" w:cs="Arial"/>
        </w:rPr>
        <w:t xml:space="preserve">Coverage pattern: </w:t>
      </w:r>
      <w:r w:rsidR="00B6242F">
        <w:rPr>
          <w:rFonts w:ascii="Arial" w:hAnsi="Arial" w:cs="Arial"/>
        </w:rPr>
        <w:t>f</w:t>
      </w:r>
      <w:r w:rsidRPr="00B6242F">
        <w:rPr>
          <w:rFonts w:ascii="Arial" w:hAnsi="Arial" w:cs="Arial"/>
        </w:rPr>
        <w:t>or samples collected in 2017 (96.2%) and from 2022 onward, C18:0 is reported for essentially all samples (≈100% at most site × year cells). For 2018–2021 samples, NEON's C18:0 values are largely absent, so no subtraction is applied and these samples retain the full total scaled lipid concentration; sporadic partial coverage occurs (e.g., CLBJ-2021 at 35.7%). Across the full dataset, C18:0 was reported for 7,136 samples (62.6%) and subtracted with non-zero effect for 7,114 (62.4%). Users combining data across years should be aware that samples without a reported C18:0 value are not reduced and may therefore be modestly higher than samples in which C18:0 was subtracted; the magnitude is discussed in the main-text Technical Validation section.</w:t>
      </w:r>
    </w:p>
    <w:p w14:paraId="522A934B" w14:textId="1D0CC275" w:rsidR="00D12C78" w:rsidRPr="00B6242F" w:rsidRDefault="00000000" w:rsidP="00B6242F">
      <w:pPr>
        <w:spacing w:before="240" w:after="120"/>
        <w:jc w:val="both"/>
        <w:rPr>
          <w:rFonts w:ascii="Arial" w:hAnsi="Arial" w:cs="Arial"/>
        </w:rPr>
      </w:pPr>
      <w:r w:rsidRPr="00B6242F">
        <w:rPr>
          <w:rFonts w:ascii="Arial" w:hAnsi="Arial" w:cs="Arial"/>
          <w:b/>
        </w:rPr>
        <w:t>Table S6. Site-level temporal stability metrics (coefficient of variation) for 20 NEON sites with 5+ years of data</w:t>
      </w:r>
      <w:r w:rsidR="00B6242F">
        <w:rPr>
          <w:rFonts w:ascii="Arial" w:hAnsi="Arial" w:cs="Arial"/>
          <w:b/>
        </w:rPr>
        <w:t>.</w:t>
      </w:r>
      <w:r w:rsidR="00B6242F">
        <w:rPr>
          <w:rFonts w:ascii="Arial" w:hAnsi="Arial" w:cs="Arial"/>
        </w:rPr>
        <w:t xml:space="preserve"> </w:t>
      </w:r>
      <w:r w:rsidRPr="00B6242F">
        <w:rPr>
          <w:rFonts w:ascii="Arial" w:hAnsi="Arial" w:cs="Arial"/>
        </w:rPr>
        <w:t xml:space="preserve">Interannual variability of the </w:t>
      </w:r>
      <w:proofErr w:type="gramStart"/>
      <w:r w:rsidRPr="00B6242F">
        <w:rPr>
          <w:rFonts w:ascii="Arial" w:hAnsi="Arial" w:cs="Arial"/>
        </w:rPr>
        <w:t>four community</w:t>
      </w:r>
      <w:proofErr w:type="gramEnd"/>
      <w:r w:rsidRPr="00B6242F">
        <w:rPr>
          <w:rFonts w:ascii="Arial" w:hAnsi="Arial" w:cs="Arial"/>
        </w:rPr>
        <w:t xml:space="preserve"> metrics, computed as the coefficient of variation (CV; standard deviation divided by mean, expressed as a percentage) of site-year means at the 20 NEON sites with at least five years of repeated PLFA sampling. This is the per-site decomposition that underlies the median/mean CV summaries in Table S1.</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proofErr w:type="spellStart"/>
      <w:r w:rsidRPr="00B6242F">
        <w:rPr>
          <w:rFonts w:ascii="Arial" w:hAnsi="Arial" w:cs="Arial"/>
          <w:bCs/>
        </w:rPr>
        <w:t>siteID</w:t>
      </w:r>
      <w:proofErr w:type="spellEnd"/>
      <w:r w:rsidR="00B6242F" w:rsidRPr="00B6242F">
        <w:rPr>
          <w:rFonts w:ascii="Arial" w:hAnsi="Arial" w:cs="Arial"/>
          <w:bCs/>
        </w:rPr>
        <w:t xml:space="preserve">: </w:t>
      </w:r>
      <w:r w:rsidRPr="00B6242F">
        <w:rPr>
          <w:rFonts w:ascii="Arial" w:hAnsi="Arial" w:cs="Arial"/>
          <w:bCs/>
        </w:rPr>
        <w:t xml:space="preserve">NEON 4-letter site code. </w:t>
      </w:r>
      <w:proofErr w:type="spellStart"/>
      <w:r w:rsidRPr="00B6242F">
        <w:rPr>
          <w:rFonts w:ascii="Arial" w:hAnsi="Arial" w:cs="Arial"/>
          <w:bCs/>
        </w:rPr>
        <w:t>n_years</w:t>
      </w:r>
      <w:proofErr w:type="spellEnd"/>
      <w:r w:rsidR="00B6242F" w:rsidRPr="00B6242F">
        <w:rPr>
          <w:rFonts w:ascii="Arial" w:hAnsi="Arial" w:cs="Arial"/>
          <w:bCs/>
        </w:rPr>
        <w:t xml:space="preserve">: </w:t>
      </w:r>
      <w:r w:rsidRPr="00B6242F">
        <w:rPr>
          <w:rFonts w:ascii="Arial" w:hAnsi="Arial" w:cs="Arial"/>
          <w:bCs/>
        </w:rPr>
        <w:t xml:space="preserve">number of years contributing site-mean values to the CV (5–7 years per site). </w:t>
      </w:r>
      <w:proofErr w:type="spellStart"/>
      <w:r w:rsidRPr="00B6242F">
        <w:rPr>
          <w:rFonts w:ascii="Arial" w:hAnsi="Arial" w:cs="Arial"/>
          <w:bCs/>
        </w:rPr>
        <w:t>cv_biomass</w:t>
      </w:r>
      <w:proofErr w:type="spellEnd"/>
      <w:r w:rsidRPr="00B6242F">
        <w:rPr>
          <w:rFonts w:ascii="Arial" w:hAnsi="Arial" w:cs="Arial"/>
          <w:bCs/>
        </w:rPr>
        <w:t xml:space="preserve">, </w:t>
      </w:r>
      <w:proofErr w:type="spellStart"/>
      <w:r w:rsidRPr="00B6242F">
        <w:rPr>
          <w:rFonts w:ascii="Arial" w:hAnsi="Arial" w:cs="Arial"/>
          <w:bCs/>
        </w:rPr>
        <w:t>cv_FB</w:t>
      </w:r>
      <w:proofErr w:type="spellEnd"/>
      <w:r w:rsidRPr="00B6242F">
        <w:rPr>
          <w:rFonts w:ascii="Arial" w:hAnsi="Arial" w:cs="Arial"/>
          <w:bCs/>
        </w:rPr>
        <w:t xml:space="preserve">, </w:t>
      </w:r>
      <w:proofErr w:type="spellStart"/>
      <w:r w:rsidRPr="00B6242F">
        <w:rPr>
          <w:rFonts w:ascii="Arial" w:hAnsi="Arial" w:cs="Arial"/>
          <w:bCs/>
        </w:rPr>
        <w:t>cv_stress</w:t>
      </w:r>
      <w:proofErr w:type="spellEnd"/>
      <w:r w:rsidRPr="00B6242F">
        <w:rPr>
          <w:rFonts w:ascii="Arial" w:hAnsi="Arial" w:cs="Arial"/>
          <w:bCs/>
        </w:rPr>
        <w:t xml:space="preserve">, </w:t>
      </w:r>
      <w:proofErr w:type="spellStart"/>
      <w:r w:rsidRPr="00B6242F">
        <w:rPr>
          <w:rFonts w:ascii="Arial" w:hAnsi="Arial" w:cs="Arial"/>
          <w:bCs/>
        </w:rPr>
        <w:t>cv_GPGN</w:t>
      </w:r>
      <w:proofErr w:type="spellEnd"/>
      <w:r w:rsidR="00B6242F" w:rsidRPr="00B6242F">
        <w:rPr>
          <w:rFonts w:ascii="Arial" w:hAnsi="Arial" w:cs="Arial"/>
          <w:bCs/>
        </w:rPr>
        <w:t xml:space="preserve">: </w:t>
      </w:r>
      <w:r w:rsidRPr="00B6242F">
        <w:rPr>
          <w:rFonts w:ascii="Arial" w:hAnsi="Arial" w:cs="Arial"/>
          <w:bCs/>
        </w:rPr>
        <w:t>CV (%) for total microbial biomass, F:B ratio, the cyclopropyl:precursor stress index, and GP:GN ratio, respectively. Lower values indicate greater interannual stability.</w:t>
      </w:r>
      <w:r w:rsidR="00B6242F" w:rsidRPr="00B6242F">
        <w:rPr>
          <w:rFonts w:ascii="Arial" w:hAnsi="Arial" w:cs="Arial"/>
          <w:bCs/>
        </w:rPr>
        <w:t xml:space="preserve"> </w:t>
      </w:r>
      <w:r w:rsidRPr="00B6242F">
        <w:rPr>
          <w:rFonts w:ascii="Arial" w:hAnsi="Arial" w:cs="Arial"/>
          <w:bCs/>
        </w:rPr>
        <w:t xml:space="preserve">Pattern: </w:t>
      </w:r>
      <w:r w:rsidR="00B6242F" w:rsidRPr="00B6242F">
        <w:rPr>
          <w:rFonts w:ascii="Arial" w:hAnsi="Arial" w:cs="Arial"/>
          <w:bCs/>
        </w:rPr>
        <w:t>b</w:t>
      </w:r>
      <w:r w:rsidRPr="00B6242F">
        <w:rPr>
          <w:rFonts w:ascii="Arial" w:hAnsi="Arial" w:cs="Arial"/>
          <w:bCs/>
        </w:rPr>
        <w:t>iomass is the most temporally</w:t>
      </w:r>
      <w:r w:rsidRPr="00B6242F">
        <w:rPr>
          <w:rFonts w:ascii="Arial" w:hAnsi="Arial" w:cs="Arial"/>
        </w:rPr>
        <w:t xml:space="preserve"> stable metric (median CV ~23%), followed by the F:B ratio (~34%), the cyclopropyl:precursor stress index (~38%), and GP:GN ratio (~40%). The most biomass-stable sites are tropical and high-latitude (PUUM, BONA, GUAN), consistent with their muted seasonal swings in temperature and moisture. The most variable sites are temperate forests with strong seasonal phenology (ORNL, TALL, KONZ).</w:t>
      </w:r>
    </w:p>
    <w:p w14:paraId="7AC24C87" w14:textId="77777777" w:rsidR="00B6242F" w:rsidRDefault="00B6242F" w:rsidP="00B6242F">
      <w:pPr>
        <w:spacing w:before="240" w:after="120"/>
        <w:jc w:val="both"/>
        <w:rPr>
          <w:rFonts w:ascii="Arial" w:hAnsi="Arial" w:cs="Arial"/>
          <w:b/>
        </w:rPr>
      </w:pPr>
    </w:p>
    <w:p w14:paraId="6A5E429E" w14:textId="77777777" w:rsidR="00B6242F" w:rsidRDefault="00B6242F" w:rsidP="00B6242F">
      <w:pPr>
        <w:spacing w:before="240" w:after="120"/>
        <w:jc w:val="both"/>
        <w:rPr>
          <w:rFonts w:ascii="Arial" w:hAnsi="Arial" w:cs="Arial"/>
          <w:b/>
        </w:rPr>
      </w:pPr>
    </w:p>
    <w:p w14:paraId="414277BB" w14:textId="77777777" w:rsidR="00B6242F" w:rsidRDefault="00B6242F" w:rsidP="00B6242F">
      <w:pPr>
        <w:spacing w:before="240" w:after="120"/>
        <w:jc w:val="both"/>
        <w:rPr>
          <w:rFonts w:ascii="Arial" w:hAnsi="Arial" w:cs="Arial"/>
          <w:b/>
        </w:rPr>
      </w:pPr>
    </w:p>
    <w:p w14:paraId="218F9675" w14:textId="77777777" w:rsidR="00B6242F" w:rsidRDefault="00B6242F" w:rsidP="00B6242F">
      <w:pPr>
        <w:spacing w:before="240" w:after="120"/>
        <w:jc w:val="both"/>
        <w:rPr>
          <w:rFonts w:ascii="Arial" w:hAnsi="Arial" w:cs="Arial"/>
          <w:b/>
        </w:rPr>
      </w:pPr>
    </w:p>
    <w:p w14:paraId="3B55D6B9" w14:textId="77777777" w:rsidR="00B6242F" w:rsidRDefault="00B6242F" w:rsidP="00B6242F">
      <w:pPr>
        <w:spacing w:before="240" w:after="120"/>
        <w:jc w:val="both"/>
        <w:rPr>
          <w:rFonts w:ascii="Arial" w:hAnsi="Arial" w:cs="Arial"/>
          <w:b/>
        </w:rPr>
      </w:pPr>
    </w:p>
    <w:p w14:paraId="2197BA6D" w14:textId="1C8BD422" w:rsidR="00D12C78" w:rsidRPr="00B6242F" w:rsidRDefault="00000000" w:rsidP="00B6242F">
      <w:pPr>
        <w:spacing w:before="240" w:after="120"/>
        <w:jc w:val="both"/>
        <w:rPr>
          <w:rFonts w:ascii="Arial" w:hAnsi="Arial" w:cs="Arial"/>
        </w:rPr>
      </w:pPr>
      <w:r w:rsidRPr="00B6242F">
        <w:rPr>
          <w:rFonts w:ascii="Arial" w:hAnsi="Arial" w:cs="Arial"/>
          <w:b/>
        </w:rPr>
        <w:t>Table S7. Temporal coverage matrix showing sampling years and sample sizes for 47 NEON sites (2017–2024)</w:t>
      </w:r>
      <w:r w:rsidR="00B6242F">
        <w:rPr>
          <w:rFonts w:ascii="Arial" w:hAnsi="Arial" w:cs="Arial"/>
          <w:b/>
        </w:rPr>
        <w:t>.</w:t>
      </w:r>
      <w:r w:rsidR="00B6242F">
        <w:rPr>
          <w:rFonts w:ascii="Arial" w:hAnsi="Arial" w:cs="Arial"/>
        </w:rPr>
        <w:t xml:space="preserve"> </w:t>
      </w:r>
      <w:r w:rsidRPr="00B6242F">
        <w:rPr>
          <w:rFonts w:ascii="Arial" w:hAnsi="Arial" w:cs="Arial"/>
        </w:rPr>
        <w:t>A wide-format matrix of sample counts by site (rows) and sampling year (columns). Zero indicates the site was not sampled (or not yet onboarded) in that year. Useful for designing reanalyses that require balanced temporal panels or for restricting to a temporally consistent subset of sites.</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proofErr w:type="spellStart"/>
      <w:r w:rsidRPr="00B6242F">
        <w:rPr>
          <w:rFonts w:ascii="Arial" w:hAnsi="Arial" w:cs="Arial"/>
          <w:bCs/>
        </w:rPr>
        <w:t>siteID</w:t>
      </w:r>
      <w:proofErr w:type="spellEnd"/>
      <w:r w:rsidR="00B6242F" w:rsidRPr="00B6242F">
        <w:rPr>
          <w:rFonts w:ascii="Arial" w:hAnsi="Arial" w:cs="Arial"/>
          <w:bCs/>
        </w:rPr>
        <w:t xml:space="preserve">: </w:t>
      </w:r>
      <w:r w:rsidRPr="00B6242F">
        <w:rPr>
          <w:rFonts w:ascii="Arial" w:hAnsi="Arial" w:cs="Arial"/>
          <w:bCs/>
        </w:rPr>
        <w:t>NEON 4-letter site code (47 rows). 2017–2024</w:t>
      </w:r>
      <w:r w:rsidR="00B6242F" w:rsidRPr="00B6242F">
        <w:rPr>
          <w:rFonts w:ascii="Arial" w:hAnsi="Arial" w:cs="Arial"/>
          <w:bCs/>
        </w:rPr>
        <w:t xml:space="preserve">: </w:t>
      </w:r>
      <w:proofErr w:type="gramStart"/>
      <w:r w:rsidRPr="00B6242F">
        <w:rPr>
          <w:rFonts w:ascii="Arial" w:hAnsi="Arial" w:cs="Arial"/>
          <w:bCs/>
        </w:rPr>
        <w:t>eight year</w:t>
      </w:r>
      <w:proofErr w:type="gramEnd"/>
      <w:r w:rsidRPr="00B6242F">
        <w:rPr>
          <w:rFonts w:ascii="Arial" w:hAnsi="Arial" w:cs="Arial"/>
          <w:bCs/>
        </w:rPr>
        <w:t xml:space="preserve"> columns reporting the number of samples collected at that site in that year. Column order in the CSV reflects the order produced by the summary</w:t>
      </w:r>
      <w:r w:rsidRPr="00B6242F">
        <w:rPr>
          <w:rFonts w:ascii="Arial" w:hAnsi="Arial" w:cs="Arial"/>
        </w:rPr>
        <w:t xml:space="preserve"> pipeline (2022 first) rather than chronological order; users should reorder for plotting if needed.</w:t>
      </w:r>
      <w:r w:rsidR="00B6242F">
        <w:rPr>
          <w:rFonts w:ascii="Arial" w:hAnsi="Arial" w:cs="Arial"/>
        </w:rPr>
        <w:t xml:space="preserve"> </w:t>
      </w:r>
      <w:r w:rsidRPr="00B6242F">
        <w:rPr>
          <w:rFonts w:ascii="Arial" w:hAnsi="Arial" w:cs="Arial"/>
        </w:rPr>
        <w:t xml:space="preserve">Coverage notes: </w:t>
      </w:r>
      <w:r w:rsidR="00B6242F">
        <w:rPr>
          <w:rFonts w:ascii="Arial" w:hAnsi="Arial" w:cs="Arial"/>
        </w:rPr>
        <w:t>s</w:t>
      </w:r>
      <w:r w:rsidRPr="00B6242F">
        <w:rPr>
          <w:rFonts w:ascii="Arial" w:hAnsi="Arial" w:cs="Arial"/>
        </w:rPr>
        <w:t>ix sites were sampled in 2017 (KONZ, MOAB, ORNL, SCBI, STEI, STER) as part of NEON's initial PLFA rollout, with progressive site onboarding through 2022. The 2020 sampling year was reduced at many sites due to COVID-19 field-campaign restrictions. From 2022 onward, the network operated at near-full capacity (~80–100 samples per site-year at most sites).</w:t>
      </w:r>
    </w:p>
    <w:p w14:paraId="06089A19" w14:textId="0C7DD150" w:rsidR="00D12C78" w:rsidRPr="00B6242F" w:rsidRDefault="00000000" w:rsidP="00B6242F">
      <w:pPr>
        <w:spacing w:before="240" w:after="120"/>
        <w:jc w:val="both"/>
        <w:rPr>
          <w:rFonts w:ascii="Arial" w:hAnsi="Arial" w:cs="Arial"/>
        </w:rPr>
      </w:pPr>
      <w:r w:rsidRPr="00B6242F">
        <w:rPr>
          <w:rFonts w:ascii="Arial" w:hAnsi="Arial" w:cs="Arial"/>
          <w:b/>
        </w:rPr>
        <w:t>Table S8. Biomarker detection frequencies by site showing percentage of samples with detected concentrations for 60 PLFA biomarkers across 47 NEON sites</w:t>
      </w:r>
      <w:r w:rsidR="00B6242F">
        <w:rPr>
          <w:rFonts w:ascii="Arial" w:hAnsi="Arial" w:cs="Arial"/>
          <w:b/>
        </w:rPr>
        <w:t>.</w:t>
      </w:r>
      <w:r w:rsidR="00B6242F">
        <w:rPr>
          <w:rFonts w:ascii="Arial" w:hAnsi="Arial" w:cs="Arial"/>
        </w:rPr>
        <w:t xml:space="preserve"> </w:t>
      </w:r>
      <w:r w:rsidRPr="00B6242F">
        <w:rPr>
          <w:rFonts w:ascii="Arial" w:hAnsi="Arial" w:cs="Arial"/>
        </w:rPr>
        <w:t>Per-site, per-biomarker detection frequency expressed as the percentage of samples from a site for which a given biomarker was reported at a concentration greater than zero. Provides users with the information needed to decide which biomarkers are reliably present at each site and which are at or near detection limits</w:t>
      </w:r>
      <w:r w:rsidR="00B6242F">
        <w:rPr>
          <w:rFonts w:ascii="Arial" w:hAnsi="Arial" w:cs="Arial"/>
        </w:rPr>
        <w:t xml:space="preserve">, </w:t>
      </w:r>
      <w:r w:rsidRPr="00B6242F">
        <w:rPr>
          <w:rFonts w:ascii="Arial" w:hAnsi="Arial" w:cs="Arial"/>
        </w:rPr>
        <w:t>important context for any downstream analysis that depends on rare biomarkers (e.g., very-long-chain fatty acids or hydroxy lipids).</w:t>
      </w:r>
      <w:r w:rsidR="00B6242F">
        <w:rPr>
          <w:rFonts w:ascii="Arial" w:hAnsi="Arial" w:cs="Arial"/>
        </w:rPr>
        <w:t xml:space="preserve"> </w:t>
      </w:r>
      <w:r w:rsidRPr="00B6242F">
        <w:rPr>
          <w:rFonts w:ascii="Arial" w:hAnsi="Arial" w:cs="Arial"/>
        </w:rPr>
        <w:t>Column</w:t>
      </w:r>
      <w:r w:rsidR="00B6242F">
        <w:rPr>
          <w:rFonts w:ascii="Arial" w:hAnsi="Arial" w:cs="Arial"/>
        </w:rPr>
        <w:t xml:space="preserve"> descriptions–</w:t>
      </w:r>
      <w:proofErr w:type="spellStart"/>
      <w:r w:rsidRPr="00B6242F">
        <w:rPr>
          <w:rFonts w:ascii="Arial" w:hAnsi="Arial" w:cs="Arial"/>
          <w:bCs/>
        </w:rPr>
        <w:t>siteID</w:t>
      </w:r>
      <w:proofErr w:type="spellEnd"/>
      <w:r w:rsidR="00B6242F" w:rsidRPr="00B6242F">
        <w:rPr>
          <w:rFonts w:ascii="Arial" w:hAnsi="Arial" w:cs="Arial"/>
          <w:bCs/>
        </w:rPr>
        <w:t xml:space="preserve">: </w:t>
      </w:r>
      <w:r w:rsidRPr="00B6242F">
        <w:rPr>
          <w:rFonts w:ascii="Arial" w:hAnsi="Arial" w:cs="Arial"/>
          <w:bCs/>
        </w:rPr>
        <w:t>NEON 4-letter site code (47 rows, one per site). [biomarker]</w:t>
      </w:r>
      <w:proofErr w:type="spellStart"/>
      <w:r w:rsidRPr="00B6242F">
        <w:rPr>
          <w:rFonts w:ascii="Arial" w:hAnsi="Arial" w:cs="Arial"/>
          <w:bCs/>
        </w:rPr>
        <w:t>ScaledConcentration</w:t>
      </w:r>
      <w:proofErr w:type="spellEnd"/>
      <w:r w:rsidR="00B6242F" w:rsidRPr="00B6242F">
        <w:rPr>
          <w:rFonts w:ascii="Arial" w:hAnsi="Arial" w:cs="Arial"/>
          <w:bCs/>
        </w:rPr>
        <w:t xml:space="preserve">: </w:t>
      </w:r>
      <w:r w:rsidRPr="00B6242F">
        <w:rPr>
          <w:rFonts w:ascii="Arial" w:hAnsi="Arial" w:cs="Arial"/>
          <w:bCs/>
        </w:rPr>
        <w:t xml:space="preserve"> one column per individual PLFA biomarker reported by NEON, ranging from very short-chain (C8:0) through long-chain (C24:0) saturated, monounsaturated, polyunsaturated, branched (iso/anteiso), cyclopropyl, methyl-branched, and hydroxy</w:t>
      </w:r>
      <w:r w:rsidRPr="00B6242F">
        <w:rPr>
          <w:rFonts w:ascii="Arial" w:hAnsi="Arial" w:cs="Arial"/>
        </w:rPr>
        <w:t xml:space="preserve"> fatty acids. Values are the percentage of that site's samples with a non-zero, non-missing reported concentration; biomarker names match the column names in Table S2 and the public data file.</w:t>
      </w:r>
      <w:r w:rsidR="00B6242F">
        <w:rPr>
          <w:rFonts w:ascii="Arial" w:hAnsi="Arial" w:cs="Arial"/>
        </w:rPr>
        <w:t xml:space="preserve"> </w:t>
      </w:r>
      <w:r w:rsidRPr="00B6242F">
        <w:rPr>
          <w:rFonts w:ascii="Arial" w:hAnsi="Arial" w:cs="Arial"/>
        </w:rPr>
        <w:t>Interpretation: Biomarkers in the C14–C18 range (e.g., c14:0, i15:0, c16:0, c18:0, cis-18:1n9, cyclo-19:0) are detected in essentially 100% of samples at most sites and form the core of the derived community metrics. Hydroxy lipids (lipid2OH/lipid3OH series) and very-long-chain (&gt;C22) biomarkers show much lower and site-dependent detection, reflecting taxonomic specificity and proximity to instrument detection limits. Users intending to use specific rare biomarkers should consult this table to confirm detection at their sites of interest before reanalysis</w:t>
      </w:r>
      <w:r w:rsidR="00B6242F">
        <w:rPr>
          <w:rFonts w:ascii="Arial" w:hAnsi="Arial" w:cs="Arial"/>
        </w:rPr>
        <w:t>.</w:t>
      </w:r>
    </w:p>
    <w:sectPr w:rsidR="00D12C78" w:rsidRPr="00B6242F"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5143241">
    <w:abstractNumId w:val="8"/>
  </w:num>
  <w:num w:numId="2" w16cid:durableId="34474826">
    <w:abstractNumId w:val="6"/>
  </w:num>
  <w:num w:numId="3" w16cid:durableId="1075932204">
    <w:abstractNumId w:val="5"/>
  </w:num>
  <w:num w:numId="4" w16cid:durableId="1428379640">
    <w:abstractNumId w:val="4"/>
  </w:num>
  <w:num w:numId="5" w16cid:durableId="489097055">
    <w:abstractNumId w:val="7"/>
  </w:num>
  <w:num w:numId="6" w16cid:durableId="1366056846">
    <w:abstractNumId w:val="3"/>
  </w:num>
  <w:num w:numId="7" w16cid:durableId="1552351647">
    <w:abstractNumId w:val="2"/>
  </w:num>
  <w:num w:numId="8" w16cid:durableId="292828753">
    <w:abstractNumId w:val="1"/>
  </w:num>
  <w:num w:numId="9" w16cid:durableId="209454764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26E3"/>
    <w:rsid w:val="000E61E8"/>
    <w:rsid w:val="0015074B"/>
    <w:rsid w:val="002004D9"/>
    <w:rsid w:val="0029639D"/>
    <w:rsid w:val="00316B6C"/>
    <w:rsid w:val="00326F90"/>
    <w:rsid w:val="00650C72"/>
    <w:rsid w:val="00AA1D8D"/>
    <w:rsid w:val="00B47730"/>
    <w:rsid w:val="00B6242F"/>
    <w:rsid w:val="00CB0664"/>
    <w:rsid w:val="00D12C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615BCC"/>
  <w14:defaultImageDpi w14:val="300"/>
  <w15:docId w15:val="{C256E040-C78E-6645-A444-171DBAB6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1919</Words>
  <Characters>11954</Characters>
  <Application>Microsoft Office Word</Application>
  <DocSecurity>0</DocSecurity>
  <Lines>176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Cedric Hagen (US)</cp:lastModifiedBy>
  <cp:revision>4</cp:revision>
  <dcterms:created xsi:type="dcterms:W3CDTF">2013-12-23T23:15:00Z</dcterms:created>
  <dcterms:modified xsi:type="dcterms:W3CDTF">2026-08-06T21:12:00Z</dcterms:modified>
  <cp:category/>
</cp:coreProperties>
</file>