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120"/>
      </w:pPr>
      <w:r>
        <w:t>Table 2. Study-specific strict revision/reoperation and expanded repeat/touch-up outcomes after primary aesthetic gluteal fat grafting.</w:t>
      </w:r>
    </w:p>
    <w:p>
      <w:pPr>
        <w:keepNext/>
        <w:spacing w:after="120"/>
      </w:pPr>
      <w:r>
        <w:rPr>
          <w:rFonts w:ascii="Times New Roman" w:hAnsi="Times New Roman" w:eastAsia="Times New Roman"/>
          <w:i/>
          <w:color w:val="66717D"/>
          <w:sz w:val="18"/>
        </w:rPr>
        <w:t>Percentages are study-specific proportions; 95% confidence intervals use the Wilson method. No pooled estimate was calculated.</w:t>
      </w:r>
    </w:p>
    <w:tbl>
      <w:tblPr>
        <w:tblW w:type="auto" w:w="0"/>
        <w:jc w:val="center"/>
        <w:tblLayout w:type="fixed"/>
        <w:tblLook w:firstColumn="1" w:firstRow="1" w:lastColumn="0" w:lastRow="0" w:noHBand="0" w:noVBand="1" w:val="04A0"/>
      </w:tblPr>
      <w:tblGrid>
        <w:gridCol w:w="2400"/>
        <w:gridCol w:w="2400"/>
        <w:gridCol w:w="2400"/>
        <w:gridCol w:w="2400"/>
        <w:gridCol w:w="2400"/>
        <w:gridCol w:w="2400"/>
      </w:tblGrid>
      <w:tr>
        <w:trPr>
          <w:trHeight w:hRule="atLeast"/>
          <w:tblHeader w:val="true"/>
          <w:tblHeader w:val="true"/>
          <w:cantSplit/>
        </w:trPr>
        <w:tc>
          <w:tcPr>
            <w:tcW w:type="dxa" w:w="1440"/>
            <w:vAlign w:val="top"/>
            <w:tcBorders>
              <w:top w:val="single" w:sz="4" w:color="B7C2CC"/>
              <w:left w:val="single" w:sz="4" w:color="B7C2CC"/>
              <w:bottom w:val="single" w:sz="4" w:color="B7C2CC"/>
              <w:right w:val="single" w:sz="4" w:color="B7C2CC"/>
            </w:tcBorders>
            <w:shd w:fill="17365D"/>
            <w:shd w:fill="D9EAF7"/>
          </w:tcPr>
          <w:p>
            <w:pPr>
              <w:spacing w:line="240" w:lineRule="auto" w:after="0"/>
            </w:pPr>
            <w:r>
              <w:rPr>
                <w:rFonts w:ascii="Times New Roman" w:hAnsi="Times New Roman"/>
                <w:b/>
                <w:sz w:val="16"/>
              </w:rPr>
              <w:t>Study</w:t>
            </w:r>
          </w:p>
        </w:tc>
        <w:tc>
          <w:tcPr>
            <w:tcW w:type="dxa" w:w="1512"/>
            <w:vAlign w:val="top"/>
            <w:tcBorders>
              <w:top w:val="single" w:sz="4" w:color="B7C2CC"/>
              <w:left w:val="single" w:sz="4" w:color="B7C2CC"/>
              <w:bottom w:val="single" w:sz="4" w:color="B7C2CC"/>
              <w:right w:val="single" w:sz="4" w:color="B7C2CC"/>
            </w:tcBorders>
            <w:shd w:fill="17365D"/>
            <w:shd w:fill="D9EAF7"/>
          </w:tcPr>
          <w:p>
            <w:pPr>
              <w:spacing w:line="240" w:lineRule="auto" w:after="0"/>
            </w:pPr>
            <w:r>
              <w:rPr>
                <w:rFonts w:ascii="Times New Roman" w:hAnsi="Times New Roman"/>
                <w:b/>
                <w:sz w:val="16"/>
              </w:rPr>
              <w:t>Strict events/total</w:t>
            </w:r>
          </w:p>
        </w:tc>
        <w:tc>
          <w:tcPr>
            <w:tcW w:type="dxa" w:w="1800"/>
            <w:vAlign w:val="top"/>
            <w:tcBorders>
              <w:top w:val="single" w:sz="4" w:color="B7C2CC"/>
              <w:left w:val="single" w:sz="4" w:color="B7C2CC"/>
              <w:bottom w:val="single" w:sz="4" w:color="B7C2CC"/>
              <w:right w:val="single" w:sz="4" w:color="B7C2CC"/>
            </w:tcBorders>
            <w:shd w:fill="17365D"/>
            <w:shd w:fill="D9EAF7"/>
          </w:tcPr>
          <w:p>
            <w:pPr>
              <w:spacing w:line="240" w:lineRule="auto" w:after="0"/>
            </w:pPr>
            <w:r>
              <w:rPr>
                <w:rFonts w:ascii="Times New Roman" w:hAnsi="Times New Roman"/>
                <w:b/>
                <w:sz w:val="16"/>
              </w:rPr>
              <w:t>Strict proportion (95% CI)</w:t>
            </w:r>
          </w:p>
        </w:tc>
        <w:tc>
          <w:tcPr>
            <w:tcW w:type="dxa" w:w="1584"/>
            <w:vAlign w:val="top"/>
            <w:tcBorders>
              <w:top w:val="single" w:sz="4" w:color="B7C2CC"/>
              <w:left w:val="single" w:sz="4" w:color="B7C2CC"/>
              <w:bottom w:val="single" w:sz="4" w:color="B7C2CC"/>
              <w:right w:val="single" w:sz="4" w:color="B7C2CC"/>
            </w:tcBorders>
            <w:shd w:fill="17365D"/>
            <w:shd w:fill="D9EAF7"/>
          </w:tcPr>
          <w:p>
            <w:pPr>
              <w:spacing w:line="240" w:lineRule="auto" w:after="0"/>
            </w:pPr>
            <w:r>
              <w:rPr>
                <w:rFonts w:ascii="Times New Roman" w:hAnsi="Times New Roman"/>
                <w:b/>
                <w:sz w:val="16"/>
              </w:rPr>
              <w:t>Expanded events/total</w:t>
            </w:r>
          </w:p>
        </w:tc>
        <w:tc>
          <w:tcPr>
            <w:tcW w:type="dxa" w:w="1944"/>
            <w:vAlign w:val="top"/>
            <w:tcBorders>
              <w:top w:val="single" w:sz="4" w:color="B7C2CC"/>
              <w:left w:val="single" w:sz="4" w:color="B7C2CC"/>
              <w:bottom w:val="single" w:sz="4" w:color="B7C2CC"/>
              <w:right w:val="single" w:sz="4" w:color="B7C2CC"/>
            </w:tcBorders>
            <w:shd w:fill="17365D"/>
            <w:shd w:fill="D9EAF7"/>
          </w:tcPr>
          <w:p>
            <w:pPr>
              <w:spacing w:line="240" w:lineRule="auto" w:after="0"/>
            </w:pPr>
            <w:r>
              <w:rPr>
                <w:rFonts w:ascii="Times New Roman" w:hAnsi="Times New Roman"/>
                <w:b/>
                <w:sz w:val="16"/>
              </w:rPr>
              <w:t>Expanded proportion (95% CI)</w:t>
            </w:r>
          </w:p>
        </w:tc>
        <w:tc>
          <w:tcPr>
            <w:tcW w:type="dxa" w:w="6120"/>
            <w:vAlign w:val="top"/>
            <w:tcBorders>
              <w:top w:val="single" w:sz="4" w:color="B7C2CC"/>
              <w:left w:val="single" w:sz="4" w:color="B7C2CC"/>
              <w:bottom w:val="single" w:sz="4" w:color="B7C2CC"/>
              <w:right w:val="single" w:sz="4" w:color="B7C2CC"/>
            </w:tcBorders>
            <w:shd w:fill="17365D"/>
            <w:shd w:fill="D9EAF7"/>
          </w:tcPr>
          <w:p>
            <w:pPr>
              <w:spacing w:line="240" w:lineRule="auto" w:after="0"/>
            </w:pPr>
            <w:r>
              <w:rPr>
                <w:rFonts w:ascii="Times New Roman" w:hAnsi="Times New Roman"/>
                <w:b/>
                <w:sz w:val="16"/>
              </w:rPr>
              <w:t>Classification/indication note</w:t>
            </w:r>
          </w:p>
        </w:tc>
      </w:tr>
      <w:tr>
        <w:trPr>
          <w:trHeight w:hRule="atLeast"/>
          <w:cantSplit/>
        </w:trPr>
        <w:tc>
          <w:tcPr>
            <w:tcW w:type="dxa" w:w="1440"/>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Gupta et al, 2025</w:t>
            </w:r>
          </w:p>
        </w:tc>
        <w:tc>
          <w:tcPr>
            <w:tcW w:type="dxa" w:w="1512"/>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1/293</w:t>
            </w:r>
          </w:p>
        </w:tc>
        <w:tc>
          <w:tcPr>
            <w:tcW w:type="dxa" w:w="1800"/>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0.3% (0.1–1.9)</w:t>
            </w:r>
          </w:p>
        </w:tc>
        <w:tc>
          <w:tcPr>
            <w:tcW w:type="dxa" w:w="1584"/>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2/293</w:t>
            </w:r>
          </w:p>
        </w:tc>
        <w:tc>
          <w:tcPr>
            <w:tcW w:type="dxa" w:w="1944"/>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0.7% (0.2–2.5)</w:t>
            </w:r>
          </w:p>
        </w:tc>
        <w:tc>
          <w:tcPr>
            <w:tcW w:type="dxa" w:w="6120"/>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One revision for marked resorption; expanded outcome also includes one elective enhancement.</w:t>
            </w:r>
          </w:p>
        </w:tc>
      </w:tr>
      <w:tr>
        <w:trPr>
          <w:trHeight w:hRule="atLeast"/>
          <w:cantSplit/>
        </w:trPr>
        <w:tc>
          <w:tcPr>
            <w:tcW w:type="dxa" w:w="1440"/>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Chia et al, 2018</w:t>
            </w:r>
          </w:p>
        </w:tc>
        <w:tc>
          <w:tcPr>
            <w:tcW w:type="dxa" w:w="1512"/>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Not reported</w:t>
            </w:r>
          </w:p>
        </w:tc>
        <w:tc>
          <w:tcPr>
            <w:tcW w:type="dxa" w:w="1800"/>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Not reported</w:t>
            </w:r>
          </w:p>
        </w:tc>
        <w:tc>
          <w:tcPr>
            <w:tcW w:type="dxa" w:w="1584"/>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11/34</w:t>
            </w:r>
          </w:p>
        </w:tc>
        <w:tc>
          <w:tcPr>
            <w:tcW w:type="dxa" w:w="1944"/>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32.4% (19.1–49.2)</w:t>
            </w:r>
          </w:p>
        </w:tc>
        <w:tc>
          <w:tcPr>
            <w:tcW w:type="dxa" w:w="6120"/>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Four repeats were planned or staged; remaining indications were incompletely described; not a strict revision rate.</w:t>
            </w:r>
          </w:p>
        </w:tc>
      </w:tr>
      <w:tr>
        <w:trPr>
          <w:trHeight w:hRule="atLeast"/>
          <w:cantSplit/>
        </w:trPr>
        <w:tc>
          <w:tcPr>
            <w:tcW w:type="dxa" w:w="1440"/>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Pane, 2019</w:t>
            </w:r>
          </w:p>
        </w:tc>
        <w:tc>
          <w:tcPr>
            <w:tcW w:type="dxa" w:w="1512"/>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Not reported</w:t>
            </w:r>
          </w:p>
        </w:tc>
        <w:tc>
          <w:tcPr>
            <w:tcW w:type="dxa" w:w="1800"/>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Not reported</w:t>
            </w:r>
          </w:p>
        </w:tc>
        <w:tc>
          <w:tcPr>
            <w:tcW w:type="dxa" w:w="1584"/>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8/137</w:t>
            </w:r>
          </w:p>
        </w:tc>
        <w:tc>
          <w:tcPr>
            <w:tcW w:type="dxa" w:w="1944"/>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5.8% (3.0–11.1)</w:t>
            </w:r>
          </w:p>
        </w:tc>
        <w:tc>
          <w:tcPr>
            <w:tcW w:type="dxa" w:w="6120"/>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Additional-volume procedures were not explicitly labeled corrective revisions.</w:t>
            </w:r>
          </w:p>
        </w:tc>
      </w:tr>
      <w:tr>
        <w:trPr>
          <w:trHeight w:hRule="atLeast"/>
          <w:cantSplit/>
        </w:trPr>
        <w:tc>
          <w:tcPr>
            <w:tcW w:type="dxa" w:w="1440"/>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Kalaaji et al, 2019</w:t>
            </w:r>
          </w:p>
        </w:tc>
        <w:tc>
          <w:tcPr>
            <w:tcW w:type="dxa" w:w="1512"/>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18/44</w:t>
            </w:r>
          </w:p>
        </w:tc>
        <w:tc>
          <w:tcPr>
            <w:tcW w:type="dxa" w:w="1800"/>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40.9% (27.7–55.6)</w:t>
            </w:r>
          </w:p>
        </w:tc>
        <w:tc>
          <w:tcPr>
            <w:tcW w:type="dxa" w:w="1584"/>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18/44</w:t>
            </w:r>
          </w:p>
        </w:tc>
        <w:tc>
          <w:tcPr>
            <w:tcW w:type="dxa" w:w="1944"/>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40.9% (27.7–55.6)</w:t>
            </w:r>
          </w:p>
        </w:tc>
        <w:tc>
          <w:tcPr>
            <w:tcW w:type="dxa" w:w="6120"/>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Repeat procedures addressed greater volume or asymmetry; these categories remain clinically heterogeneous.</w:t>
            </w:r>
          </w:p>
        </w:tc>
      </w:tr>
      <w:tr>
        <w:trPr>
          <w:trHeight w:hRule="atLeast"/>
          <w:cantSplit/>
        </w:trPr>
        <w:tc>
          <w:tcPr>
            <w:tcW w:type="dxa" w:w="1440"/>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Everett et al, 2018</w:t>
            </w:r>
          </w:p>
        </w:tc>
        <w:tc>
          <w:tcPr>
            <w:tcW w:type="dxa" w:w="1512"/>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18/916</w:t>
            </w:r>
          </w:p>
        </w:tc>
        <w:tc>
          <w:tcPr>
            <w:tcW w:type="dxa" w:w="1800"/>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2.0% (1.2–3.1)</w:t>
            </w:r>
          </w:p>
        </w:tc>
        <w:tc>
          <w:tcPr>
            <w:tcW w:type="dxa" w:w="1584"/>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18/916</w:t>
            </w:r>
          </w:p>
        </w:tc>
        <w:tc>
          <w:tcPr>
            <w:tcW w:type="dxa" w:w="1944"/>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2.0% (1.2–3.1)</w:t>
            </w:r>
          </w:p>
        </w:tc>
        <w:tc>
          <w:tcPr>
            <w:tcW w:type="dxa" w:w="6120"/>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Potential under-ascertainment after 6 months; greater-volume requests and contour correction were combined.</w:t>
            </w:r>
          </w:p>
        </w:tc>
      </w:tr>
      <w:tr>
        <w:trPr>
          <w:trHeight w:hRule="atLeast"/>
          <w:cantSplit/>
        </w:trPr>
        <w:tc>
          <w:tcPr>
            <w:tcW w:type="dxa" w:w="1440"/>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Swanson, 2016</w:t>
            </w:r>
          </w:p>
        </w:tc>
        <w:tc>
          <w:tcPr>
            <w:tcW w:type="dxa" w:w="1512"/>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0/25</w:t>
            </w:r>
          </w:p>
        </w:tc>
        <w:tc>
          <w:tcPr>
            <w:tcW w:type="dxa" w:w="1800"/>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0.0% (0.0–13.3)</w:t>
            </w:r>
          </w:p>
        </w:tc>
        <w:tc>
          <w:tcPr>
            <w:tcW w:type="dxa" w:w="1584"/>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0/25</w:t>
            </w:r>
          </w:p>
        </w:tc>
        <w:tc>
          <w:tcPr>
            <w:tcW w:type="dxa" w:w="1944"/>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0.0% (0.0–13.3)</w:t>
            </w:r>
          </w:p>
        </w:tc>
        <w:tc>
          <w:tcPr>
            <w:tcW w:type="dxa" w:w="6120"/>
            <w:vAlign w:val="top"/>
            <w:tcBorders>
              <w:top w:val="single" w:sz="4" w:color="B7C2CC"/>
              <w:left w:val="single" w:sz="4" w:color="B7C2CC"/>
              <w:bottom w:val="single" w:sz="4" w:color="B7C2CC"/>
              <w:right w:val="single" w:sz="4" w:color="B7C2CC"/>
            </w:tcBorders>
            <w:shd w:fill="F3F5F7"/>
          </w:tcPr>
          <w:p>
            <w:pPr>
              <w:spacing w:line="240" w:lineRule="auto" w:after="0"/>
            </w:pPr>
            <w:r>
              <w:rPr>
                <w:rFonts w:ascii="Times New Roman" w:hAnsi="Times New Roman"/>
                <w:b w:val="0"/>
                <w:sz w:val="16"/>
              </w:rPr>
              <w:t>No reoperation was reported; 4 treated patients lacked ≥3-month measurements.</w:t>
            </w:r>
          </w:p>
        </w:tc>
      </w:tr>
      <w:tr>
        <w:trPr>
          <w:trHeight w:hRule="atLeast"/>
          <w:cantSplit/>
        </w:trPr>
        <w:tc>
          <w:tcPr>
            <w:tcW w:type="dxa" w:w="1440"/>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Rosique et al, 2015</w:t>
            </w:r>
          </w:p>
        </w:tc>
        <w:tc>
          <w:tcPr>
            <w:tcW w:type="dxa" w:w="1512"/>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2/106</w:t>
            </w:r>
          </w:p>
        </w:tc>
        <w:tc>
          <w:tcPr>
            <w:tcW w:type="dxa" w:w="1800"/>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1.9% (0.5–6.6)</w:t>
            </w:r>
          </w:p>
        </w:tc>
        <w:tc>
          <w:tcPr>
            <w:tcW w:type="dxa" w:w="1584"/>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2/106</w:t>
            </w:r>
          </w:p>
        </w:tc>
        <w:tc>
          <w:tcPr>
            <w:tcW w:type="dxa" w:w="1944"/>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1.9% (0.5–6.6)</w:t>
            </w:r>
          </w:p>
        </w:tc>
        <w:tc>
          <w:tcPr>
            <w:tcW w:type="dxa" w:w="6120"/>
            <w:vAlign w:val="top"/>
            <w:tcBorders>
              <w:top w:val="single" w:sz="4" w:color="B7C2CC"/>
              <w:left w:val="single" w:sz="4" w:color="B7C2CC"/>
              <w:bottom w:val="single" w:sz="4" w:color="B7C2CC"/>
              <w:right w:val="single" w:sz="4" w:color="B7C2CC"/>
            </w:tcBorders>
          </w:tcPr>
          <w:p>
            <w:pPr>
              <w:spacing w:line="240" w:lineRule="auto" w:after="0"/>
            </w:pPr>
            <w:r>
              <w:rPr>
                <w:rFonts w:ascii="Times New Roman" w:hAnsi="Times New Roman"/>
                <w:b w:val="0"/>
                <w:sz w:val="16"/>
              </w:rPr>
              <w:t>Two reductions for excess lateral volume; one additional patient reported resorption but did not undergo revision.</w:t>
            </w:r>
          </w:p>
        </w:tc>
      </w:tr>
    </w:tbl>
    <w:p>
      <w:pPr>
        <w:spacing w:before="120"/>
      </w:pPr>
      <w:r>
        <w:t>Strict outcomes were limited to procedures classified in the completed extraction as revision or corrective reoperation. Expanded outcomes also include elective enhancement, planned staging, or incompletely classified repeat treatment. CI, confidence interval.</w:t>
      </w:r>
    </w:p>
    <w:sectPr>
      <w:footerReference w:type="default" r:id="rId9"/>
      <w:pgSz w:w="15840" w:h="12240" w:orient="landscape"/>
      <w:pgMar w:top="792" w:right="792" w:bottom="792" w:left="792" w:header="504"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480" w:lineRule="auto"/>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0" w:line="480" w:lineRule="auto"/>
      <w:outlineLvl w:val="0"/>
    </w:pPr>
    <w:rPr>
      <w:rFonts w:asciiTheme="majorHAnsi" w:eastAsiaTheme="majorEastAsia" w:hAnsiTheme="majorHAnsi" w:cstheme="majorBidi" w:ascii="Times New Roman" w:hAnsi="Times New Roman" w:eastAsia="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240" w:after="0" w:line="480" w:lineRule="auto"/>
      <w:outlineLvl w:val="1"/>
    </w:pPr>
    <w:rPr>
      <w:rFonts w:asciiTheme="majorHAnsi" w:eastAsiaTheme="majorEastAsia" w:hAnsiTheme="majorHAnsi" w:cstheme="majorBidi" w:ascii="Times New Roman" w:hAnsi="Times New Roman" w:eastAsia="Times New Roman"/>
      <w:b/>
      <w:bCs/>
      <w:i/>
      <w:color w:val="000000"/>
      <w:sz w:val="24"/>
      <w:szCs w:val="26"/>
    </w:rPr>
  </w:style>
  <w:style w:type="paragraph" w:styleId="Heading3">
    <w:name w:val="heading 3"/>
    <w:basedOn w:val="Normal"/>
    <w:next w:val="Normal"/>
    <w:link w:val="Heading3Char"/>
    <w:uiPriority w:val="9"/>
    <w:unhideWhenUsed/>
    <w:qFormat/>
    <w:rsid w:val="00FC693F"/>
    <w:pPr>
      <w:keepNext/>
      <w:keepLines/>
      <w:spacing w:before="240" w:after="0" w:line="480" w:lineRule="auto"/>
      <w:outlineLvl w:val="2"/>
    </w:pPr>
    <w:rPr>
      <w:rFonts w:asciiTheme="majorHAnsi" w:eastAsiaTheme="majorEastAsia" w:hAnsiTheme="majorHAnsi" w:cstheme="majorBidi" w:ascii="Times New Roman" w:hAnsi="Times New Roman" w:eastAsia="Times New Roman"/>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0" w:line="480" w:lineRule="auto" w:before="240"/>
      <w:contextualSpacing/>
    </w:pPr>
    <w:rPr>
      <w:rFonts w:asciiTheme="majorHAnsi" w:eastAsiaTheme="majorEastAsia" w:hAnsiTheme="majorHAnsi" w:cstheme="majorBidi" w:ascii="Times New Roman" w:hAnsi="Times New Roman" w:eastAsia="Times New Roman"/>
      <w:b/>
      <w:color w:val="000000"/>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480" w:lineRule="auto"/>
      <w:contextualSpacing/>
    </w:pPr>
    <w:rPr>
      <w:rFonts w:ascii="Times New Roman" w:hAnsi="Times New Roman"/>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2. Study-specific strict revision/reoperation and expanded repeat/touch-up outcomes after primary aesthetic gluteal fat grafting.</dc:title>
  <dc:subject>Review Article</dc:subject>
  <dc:creator/>
  <cp:keywords>Adipose Tissue Transplantation, Buttocks, Plastic Surgery, Reoperation, Systematic Review</cp:keywords>
  <dc:description/>
  <cp:lastModifiedBy/>
  <cp:revision>1</cp:revision>
  <dcterms:created xsi:type="dcterms:W3CDTF">2013-12-23T23:15:00Z</dcterms:created>
  <dcterms:modified xsi:type="dcterms:W3CDTF">2013-12-23T23:15:00Z</dcterms:modified>
  <cp:category>Aesthetic Plastic Surgery submission</cp:category>
</cp:coreProperties>
</file>