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120"/>
      </w:pPr>
      <w:r>
        <w:t>Table 1. Characteristics of included studies evaluating subsequent procedures after primary aesthetic gluteal fat grafting.</w:t>
      </w:r>
    </w:p>
    <w:p>
      <w:pPr>
        <w:keepNext/>
        <w:spacing w:after="120"/>
      </w:pPr>
      <w:r>
        <w:rPr>
          <w:rFonts w:ascii="Times New Roman" w:hAnsi="Times New Roman" w:eastAsia="Times New Roman"/>
          <w:i/>
          <w:color w:val="66717D"/>
          <w:sz w:val="18"/>
        </w:rPr>
        <w:t>All studies were nonrandomized Level IV evidence. Follow-up text reproduces the completed extraction workbook.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rHeight w:hRule="atLeast"/>
          <w:tblHeader w:val="true"/>
          <w:tblHeader w:val="true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Study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Design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Cohort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Demographics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Technique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17365D"/>
            <w:shd w:fill="D9EA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color w:val="FFFFFF"/>
                <w:sz w:val="16"/>
              </w:rPr>
              <w:t>Follow-up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Gupta et al, 2025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Retrospective single-center cohort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293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287 women and 6 men; mean age 30.76 years (women) and 28.3 years (men); BMI not reported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Subcutaneous-only grafting; mean 557 mL/side in women and 341.6 mL/side in men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Minimum 6 months; maximum 1 year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Chia et al, 2018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Retrospective consecutive case series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34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Women; mean age 38.6 years; mean BMI 24.8 kg/m²; abstract reports 32 patients, full text reports 34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Awake/local anesthesia; subcutaneous-only; mean 359 mL/buttock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Not systematic; repeat interval mean 222 days (range, 1–575 days)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Pane, 2019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Retrospective case series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137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Mean age 35.3 years (range, 19–56 years); sex and BMI not reported in accessible abstract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High-volume transfer; mean 1,331 mL/buttock; injection plane not reported in accessible abstract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Not reported in accessible abstract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Kalaaji et al, 2019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Retrospective consecutive case series with literature review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44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Women; mean age 32 years (range, 19–53 years); 38 had normal BMI and 6 had above-normal BMI &lt;30 kg/m²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Subcutaneous/suprafascial; mean approximately 420 mL/side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Primary operation mean 8 months (range, 3–18 months); second operation mean 5 months (range, 3–11 months)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Everett et al, 2018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Retrospective single-center chart review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916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Age, sex distribution, and BMI not reported in accessible abstract/article text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Roller-pump injection; mean 1,807 mL total; current practice described grafting superficial to muscle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Routine first 6 months; many did not return thereafter; selected observations extended to 7 years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Swanson, 2016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Prospective controlled cohort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25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24 women and 1 man; age and mean BMI not reported in accessible text table; 21 returned for ≥3-month measurements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Subcutaneous injection; mean 287 mL/buttock (range, 70–550 mL)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  <w:shd w:fill="F3F5F7"/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Mean 5.8 months (range, 3–15.5 months) among 21 measured patients</w:t>
            </w:r>
          </w:p>
        </w:tc>
      </w:tr>
      <w:tr>
        <w:trPr>
          <w:trHeight w:hRule="atLeast"/>
          <w:cantSplit/>
        </w:trPr>
        <w:tc>
          <w:tcPr>
            <w:tcW w:type="dxa" w:w="1655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Rosique et al, 2015</w:t>
            </w:r>
          </w:p>
        </w:tc>
        <w:tc>
          <w:tcPr>
            <w:tcW w:type="dxa" w:w="237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Prospective consecutive case series (Level IV)</w:t>
            </w:r>
          </w:p>
        </w:tc>
        <w:tc>
          <w:tcPr>
            <w:tcW w:type="dxa" w:w="936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n = 106</w:t>
            </w:r>
          </w:p>
        </w:tc>
        <w:tc>
          <w:tcPr>
            <w:tcW w:type="dxa" w:w="3384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Women; mean age 33 years (range, 18–62 years); mean BMI 24.8 kg/m² (range, 19–31.6 kg/m²)</w:t>
            </w:r>
          </w:p>
        </w:tc>
        <w:tc>
          <w:tcPr>
            <w:tcW w:type="dxa" w:w="3600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Multiplanar grafting; mean 505 mL/buttock (range, 180–840 mL)</w:t>
            </w:r>
          </w:p>
        </w:tc>
        <w:tc>
          <w:tcPr>
            <w:tcW w:type="dxa" w:w="2448"/>
            <w:vAlign w:val="top"/>
            <w:tcBorders>
              <w:top w:val="single" w:sz="4" w:color="B7C2CC"/>
              <w:left w:val="single" w:sz="4" w:color="B7C2CC"/>
              <w:bottom w:val="single" w:sz="4" w:color="B7C2CC"/>
              <w:right w:val="single" w:sz="4" w:color="B7C2CC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color w:val="111111"/>
                <w:sz w:val="16"/>
              </w:rPr>
              <w:t>Overall duration not reported in abstract; revisions occurred at 6 months</w:t>
            </w:r>
          </w:p>
        </w:tc>
      </w:tr>
    </w:tbl>
    <w:p>
      <w:pPr>
        <w:spacing w:before="120"/>
      </w:pPr>
      <w:r>
        <w:rPr>
          <w:rFonts w:ascii="Times New Roman" w:hAnsi="Times New Roman" w:eastAsia="Times New Roman"/>
          <w:i/>
          <w:sz w:val="16"/>
        </w:rPr>
        <w:t>Abbreviations: BMI, body mass index; BBL, Brazilian butt lift.</w:t>
      </w:r>
    </w:p>
    <w:sectPr>
      <w:footerReference w:type="default" r:id="rId9"/>
      <w:pgSz w:w="15840" w:h="12240" w:orient="landscape"/>
      <w:pgMar w:top="792" w:right="792" w:bottom="792" w:left="792" w:header="504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 w:line="480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0" w:line="480" w:lineRule="auto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i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0" w:line="480" w:lineRule="auto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0" w:line="480" w:lineRule="auto" w:before="24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line="480" w:lineRule="auto"/>
      <w:contextualSpacing/>
    </w:pPr>
    <w:rPr>
      <w:rFonts w:ascii="Times New Roman" w:hAnsi="Times New Roman"/>
      <w:sz w:val="24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1. Characteristics of included studies evaluating subsequent procedures after primary aesthetic gluteal fat grafting.</dc:title>
  <dc:subject>Review Article</dc:subject>
  <dc:creator/>
  <cp:keywords>Adipose Tissue Transplantation, Buttocks, Plastic Surgery, Reoperation, Systematic Review</cp:keywords>
  <dc:description/>
  <cp:lastModifiedBy/>
  <cp:revision>1</cp:revision>
  <dcterms:created xsi:type="dcterms:W3CDTF">2013-12-23T23:15:00Z</dcterms:created>
  <dcterms:modified xsi:type="dcterms:W3CDTF">2013-12-23T23:15:00Z</dcterms:modified>
  <cp:category>Aesthetic Plastic Surgery submission</cp:category>
</cp:coreProperties>
</file>