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t>Supplementary Material 1: Appendices</w:t>
      </w:r>
    </w:p>
    <w:p>
      <w:pPr>
        <w:jc w:val="center"/>
      </w:pPr>
      <w:r>
        <w:rPr>
          <w:rFonts w:ascii="Times New Roman" w:hAnsi="Times New Roman" w:eastAsia="Times New Roman"/>
          <w:i/>
          <w:sz w:val="24"/>
        </w:rPr>
        <w:t>Revision and Repeat Procedures After Primary Aesthetic Gluteal Fat Grafting: A Systematic Review</w:t>
      </w:r>
    </w:p>
    <w:p>
      <w:pPr>
        <w:pStyle w:val="Heading1"/>
      </w:pPr>
      <w:r>
        <w:t>Appendix 1. Database-Specific Search Strategies</w:t>
      </w:r>
    </w:p>
    <w:p>
      <w:pPr>
        <w:pStyle w:val="Heading2"/>
      </w:pPr>
      <w:r>
        <w:t>Documented Search Record</w:t>
      </w:r>
    </w:p>
    <w:p>
      <w:pPr>
        <w:spacing w:line="480" w:lineRule="auto" w:after="0"/>
      </w:pPr>
      <w:r>
        <w:t>Databases/sources: PubMed, CINAHL, and Google Scholar</w:t>
      </w:r>
    </w:p>
    <w:p>
      <w:pPr>
        <w:spacing w:line="480" w:lineRule="auto" w:after="0"/>
      </w:pPr>
      <w:r>
        <w:rPr>
          <w:rFonts w:ascii="Times New Roman" w:hAnsi="Times New Roman" w:eastAsia="Times New Roman"/>
          <w:b/>
          <w:sz w:val="24"/>
        </w:rPr>
        <w:t xml:space="preserve">Search date: </w:t>
      </w:r>
      <w:r>
        <w:rPr>
          <w:rFonts w:ascii="Times New Roman" w:hAnsi="Times New Roman" w:eastAsia="Times New Roman"/>
          <w:sz w:val="24"/>
        </w:rPr>
        <w:t>March 28, 2026, 6:54 PM (recorded in the supplied search recipe)</w:t>
      </w:r>
    </w:p>
    <w:p>
      <w:pPr>
        <w:spacing w:line="480" w:lineRule="auto" w:after="0"/>
      </w:pPr>
      <w:r>
        <w:rPr>
          <w:rFonts w:ascii="Times New Roman" w:hAnsi="Times New Roman" w:eastAsia="Times New Roman"/>
          <w:b/>
          <w:sz w:val="24"/>
        </w:rPr>
        <w:t xml:space="preserve">Date limits: </w:t>
      </w:r>
      <w:r>
        <w:rPr>
          <w:rFonts w:ascii="Times New Roman" w:hAnsi="Times New Roman" w:eastAsia="Times New Roman"/>
          <w:sz w:val="24"/>
        </w:rPr>
        <w:t>No date limit was recorded in the query</w:t>
      </w:r>
    </w:p>
    <w:p>
      <w:pPr>
        <w:spacing w:line="480" w:lineRule="auto" w:after="0"/>
      </w:pPr>
      <w:r>
        <w:rPr>
          <w:rFonts w:ascii="Times New Roman" w:hAnsi="Times New Roman" w:eastAsia="Times New Roman"/>
          <w:b/>
          <w:sz w:val="24"/>
        </w:rPr>
        <w:t xml:space="preserve">Language: </w:t>
      </w:r>
      <w:r>
        <w:rPr>
          <w:rFonts w:ascii="Times New Roman" w:hAnsi="Times New Roman" w:eastAsia="Times New Roman"/>
          <w:sz w:val="24"/>
        </w:rPr>
        <w:t>No language limit in the query; English language was applied as an eligibility criterion</w:t>
      </w:r>
    </w:p>
    <w:p>
      <w:pPr>
        <w:spacing w:line="480" w:lineRule="auto" w:after="0"/>
      </w:pPr>
      <w:r>
        <w:t>Records retrieved: 159 in aggregate across the three documented sources; source-specific yields were not preserved in the supplied records.</w:t>
      </w:r>
    </w:p>
    <w:p>
      <w:pPr>
        <w:spacing w:line="480" w:lineRule="auto" w:after="0"/>
      </w:pPr>
      <w:r>
        <w:t>Documented query: (("buttock augmentation"[Title/Abstract] OR "gluteal augmentation"[Title/Abstract] OR "gluteal fat grafting"[Title/Abstract] OR "fat transfer buttock"[Title/Abstract] OR "fat grafting buttock"[Title/Abstract] OR "Brazilian butt lift"[Title/Abstract])) AND (complication*[Title/Abstract] OR follow-up[Title/Abstract] OR outcomes[Title/Abstract] OR results[Title/Abstract] OR reoperation*[Title/Abstract] OR revision[Title/Abstract]) NOT (implants[Title/Abstract]) NOT (animals[Mesh] NOT humans[Mesh]) NOT (case reports[Publication Type])</w:t>
      </w:r>
    </w:p>
    <w:p>
      <w:pPr>
        <w:pStyle w:val="Heading2"/>
      </w:pPr>
      <w:r>
        <w:t>Source-Specific Reproducibility Gaps</w:t>
      </w:r>
    </w:p>
    <w:p>
      <w:pPr>
        <w:keepLines w:val="0"/>
        <w:spacing w:line="480" w:lineRule="auto" w:after="0"/>
      </w:pPr>
      <w:r>
        <w:t>[AUTHOR TO CONFIRM: Provide the exact CINAHL platform-specific translation of the documented query and the CINAHL-specific yield.]</w:t>
      </w:r>
    </w:p>
    <w:p>
      <w:pPr>
        <w:keepLines w:val="0"/>
        <w:spacing w:line="480" w:lineRule="auto" w:after="0"/>
      </w:pPr>
      <w:r>
        <w:t>[AUTHOR TO CONFIRM: Provide the exact Google Scholar query or queries, ordering used, number of results screened, stopping rule, and source-specific yield.]</w:t>
      </w:r>
    </w:p>
    <w:p>
      <w:pPr>
        <w:keepLines w:val="0"/>
        <w:spacing w:line="480" w:lineRule="auto" w:after="0"/>
      </w:pPr>
      <w:r>
        <w:t>[AUTHOR TO CONFIRM: The registered record names MEDLINE, PubMed, CINAHL, and Google Scholar, while the uploaded full protocol also names Cochrane CENTRAL and Scopus. The prior completed-review supplement documents only PubMed, CINAHL, and Google Scholar. Reconcile which sources were actually searched and provide source-specific strategies and yields.]</w:t>
      </w:r>
    </w:p>
    <w:p>
      <w:pPr>
        <w:keepLines w:val="0"/>
        <w:spacing w:line="480" w:lineRule="auto" w:after="0"/>
      </w:pPr>
      <w:r>
        <w:rPr>
          <w:rFonts w:ascii="Times New Roman" w:hAnsi="Times New Roman" w:eastAsia="Times New Roman"/>
          <w:b/>
          <w:color w:val="9C0006"/>
          <w:sz w:val="24"/>
          <w:highlight w:val="yellow"/>
        </w:rPr>
        <w:t>[AUTHOR TO CONFIRM: Backward reference-list searching, forward citation searching, websites, organizations, or author contacts performed and their yields.]</w:t>
      </w:r>
    </w:p>
    <w:p>
      <w:pPr>
        <w:keepLines w:val="0"/>
        <w:spacing w:line="480" w:lineRule="auto" w:after="0"/>
      </w:pPr>
      <w:r>
        <w:rPr>
          <w:rFonts w:ascii="Times New Roman" w:hAnsi="Times New Roman" w:eastAsia="Times New Roman"/>
          <w:sz w:val="24"/>
        </w:rPr>
        <w:t>Editorial note: No retrospective search improvements have been substituted for missing logs. Any new or rerun search must be labeled with its actual date and reported as an update.</w:t>
      </w:r>
    </w:p>
    <w:p>
      <w:r>
        <w:br w:type="page"/>
      </w:r>
    </w:p>
    <w:p>
      <w:pPr>
        <w:pStyle w:val="Heading1"/>
      </w:pPr>
      <w:r>
        <w:t>Appendix 2. Reports Excluded After Full-Text or Eligible-Abstract Assessment</w:t>
      </w:r>
    </w:p>
    <w:p>
      <w:r>
        <w:rPr>
          <w:rFonts w:ascii="Times New Roman" w:hAnsi="Times New Roman" w:eastAsia="Times New Roman"/>
          <w:sz w:val="24"/>
        </w:rPr>
        <w:t>One primary reason is shown for each of the seven reports excluded after full-text or eligible-abstract assessment.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11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PMID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Report</w:t>
            </w:r>
          </w:p>
        </w:tc>
        <w:tc>
          <w:tcPr>
            <w:tcW w:type="dxa" w:w="504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Title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Primary reason</w:t>
            </w:r>
          </w:p>
        </w:tc>
      </w:tr>
      <w:tr>
        <w:trPr>
          <w:trHeight w:hRule="atLeast"/>
          <w:cantSplit/>
        </w:trPr>
        <w:tc>
          <w:tcPr>
            <w:tcW w:type="dxa" w:w="11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40642262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Reyes et al, 2025</w:t>
            </w:r>
          </w:p>
        </w:tc>
        <w:tc>
          <w:tcPr>
            <w:tcW w:type="dxa" w:w="504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Buttock Augmentation Using Doppler Ultrasound-guided Cannulation for Patient Safety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 derivable revision/repeat-procedure outcome</w:t>
            </w:r>
          </w:p>
        </w:tc>
      </w:tr>
      <w:tr>
        <w:trPr>
          <w:trHeight w:hRule="atLeast"/>
          <w:cantSplit/>
        </w:trPr>
        <w:tc>
          <w:tcPr>
            <w:tcW w:type="dxa" w:w="11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38623442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Roblero Rivera et al, 2024</w:t>
            </w:r>
          </w:p>
        </w:tc>
        <w:tc>
          <w:tcPr>
            <w:tcW w:type="dxa" w:w="504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Superficial Intramuscular Gluteal Lipograft by Doppler Ultrasound: A Report of 24 Patients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 derivable revision/repeat-procedure outcome</w:t>
            </w:r>
          </w:p>
        </w:tc>
      </w:tr>
      <w:tr>
        <w:trPr>
          <w:trHeight w:hRule="atLeast"/>
          <w:cantSplit/>
        </w:trPr>
        <w:tc>
          <w:tcPr>
            <w:tcW w:type="dxa" w:w="11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38541752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Elsaftawy et al, 2024</w:t>
            </w:r>
          </w:p>
        </w:tc>
        <w:tc>
          <w:tcPr>
            <w:tcW w:type="dxa" w:w="504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Buttock Augmentation with Ultrasonic Liposuction and Ultrasound-Guided Fat Grafting: A Retrospective Analysis Based on 185 Patients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 derivable revision/repeat-procedure outcome</w:t>
            </w:r>
          </w:p>
        </w:tc>
      </w:tr>
      <w:tr>
        <w:trPr>
          <w:trHeight w:hRule="atLeast"/>
          <w:cantSplit/>
        </w:trPr>
        <w:tc>
          <w:tcPr>
            <w:tcW w:type="dxa" w:w="11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38302712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Jorge et al, 2024</w:t>
            </w:r>
          </w:p>
        </w:tc>
        <w:tc>
          <w:tcPr>
            <w:tcW w:type="dxa" w:w="504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Danger Zones of the Gluteal Anatomy: Improving the Safety Profile of the Gluteal Fat Grafting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 derivable revision/repeat-procedure outcome</w:t>
            </w:r>
          </w:p>
        </w:tc>
      </w:tr>
      <w:tr>
        <w:trPr>
          <w:trHeight w:hRule="atLeast"/>
          <w:cantSplit/>
        </w:trPr>
        <w:tc>
          <w:tcPr>
            <w:tcW w:type="dxa" w:w="11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37996070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Weidman et al, 2024</w:t>
            </w:r>
          </w:p>
        </w:tc>
        <w:tc>
          <w:tcPr>
            <w:tcW w:type="dxa" w:w="504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Complications From Fat Grafting and Gluteal Augmentation in Outpatient Plastic Surgery: An Analysis of AAAASF (QUAD A) Data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 eligible primary-BBL cohort denominator</w:t>
            </w:r>
          </w:p>
        </w:tc>
      </w:tr>
      <w:tr>
        <w:trPr>
          <w:trHeight w:hRule="atLeast"/>
          <w:cantSplit/>
        </w:trPr>
        <w:tc>
          <w:tcPr>
            <w:tcW w:type="dxa" w:w="11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37700791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Ghavami et al, 2023</w:t>
            </w:r>
          </w:p>
        </w:tc>
        <w:tc>
          <w:tcPr>
            <w:tcW w:type="dxa" w:w="504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The Hybrid Technique for Autologous Gluteal Augmentation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 derivable revision/repeat-procedure outcome</w:t>
            </w:r>
          </w:p>
        </w:tc>
      </w:tr>
      <w:tr>
        <w:trPr>
          <w:trHeight w:hRule="atLeast"/>
          <w:cantSplit/>
        </w:trPr>
        <w:tc>
          <w:tcPr>
            <w:tcW w:type="dxa" w:w="11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35959568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Pazmiño and Garcia, 2023</w:t>
            </w:r>
          </w:p>
        </w:tc>
        <w:tc>
          <w:tcPr>
            <w:tcW w:type="dxa" w:w="504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Brazilian Butt Lift-Associated Mortality: The South Florida Experience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 derivable revision/repeat-procedure outcome</w:t>
            </w:r>
          </w:p>
        </w:tc>
      </w:tr>
    </w:tbl>
    <w:p>
      <w:r>
        <w:br w:type="page"/>
      </w:r>
    </w:p>
    <w:p>
      <w:pPr>
        <w:pStyle w:val="Heading1"/>
      </w:pPr>
      <w:r>
        <w:t>Appendix 3. Risk-of-Bias Criteria and Study-Level Judgments</w:t>
      </w:r>
    </w:p>
    <w:p>
      <w:pPr>
        <w:keepLines w:val="0"/>
        <w:spacing w:line="480" w:lineRule="auto" w:after="0"/>
      </w:pPr>
      <w:r>
        <w:t>The completed workbook used a review-specific domain-based assessment rather than a documented validated instrument. The operational descriptions below reproduce the recorded domains, judgments, extraction notes, and follow-up caveats. Source evidence was independently assessed and verified during adjudication; the number of assessors and disagreement-resolution mechanism were not documented in the supplied files. The PROSPERO protocol had planned design-specific RoB 2, ROBINS-I, or JBI appraisal; use of the review-specific assessment is a disclosed protocol deviation.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22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Domain</w:t>
            </w:r>
          </w:p>
        </w:tc>
        <w:tc>
          <w:tcPr>
            <w:tcW w:type="dxa" w:w="83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Operational description</w:t>
            </w:r>
          </w:p>
        </w:tc>
      </w:tr>
      <w:tr>
        <w:trPr>
          <w:trHeight w:hRule="atLeast"/>
          <w:cantSplit/>
        </w:trPr>
        <w:tc>
          <w:tcPr>
            <w:tcW w:type="dxa" w:w="22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Selection bias</w:t>
            </w:r>
          </w:p>
        </w:tc>
        <w:tc>
          <w:tcPr>
            <w:tcW w:type="dxa" w:w="83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Low: consecutive or representative cohort with clear eligibility and recruitment. Some concerns: partially described sampling with limited evidence of outcome-related selection. High: retrospective, convenience, highly selected, or insufficiently described sampling with plausible outcome-related selection.</w:t>
            </w:r>
          </w:p>
        </w:tc>
      </w:tr>
      <w:tr>
        <w:trPr>
          <w:trHeight w:hRule="atLeast"/>
          <w:cantSplit/>
        </w:trPr>
        <w:tc>
          <w:tcPr>
            <w:tcW w:type="dxa" w:w="22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Outcome ascertainment</w:t>
            </w:r>
          </w:p>
        </w:tc>
        <w:tc>
          <w:tcPr>
            <w:tcW w:type="dxa" w:w="83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Low: standardized, active ascertainment of subsequent procedures for the full cohort. Some concerns: event counts and indications reported, but ascertainment incompletely described or limited to the index practice. High: events reported indirectly, only in an abstract, or without systematic ascertainment or complete classification.</w:t>
            </w:r>
          </w:p>
        </w:tc>
      </w:tr>
      <w:tr>
        <w:trPr>
          <w:trHeight w:hRule="atLeast"/>
          <w:cantSplit/>
        </w:trPr>
        <w:tc>
          <w:tcPr>
            <w:tcW w:type="dxa" w:w="22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 completeness</w:t>
            </w:r>
          </w:p>
        </w:tc>
        <w:tc>
          <w:tcPr>
            <w:tcW w:type="dxa" w:w="83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Low: follow-up duration and completeness adequate for the target outcome, with loss characterized and handled. Some concerns: some attrition or incomplete duration reporting that is unlikely to dominate interpretation. High: short, incomplete, or unreported follow-up; substantial attrition; or inability to ascertain procedures outside the practice.</w:t>
            </w:r>
          </w:p>
        </w:tc>
      </w:tr>
      <w:tr>
        <w:trPr>
          <w:trHeight w:hRule="atLeast"/>
          <w:cantSplit/>
        </w:trPr>
        <w:tc>
          <w:tcPr>
            <w:tcW w:type="dxa" w:w="22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Revision-definition bias</w:t>
            </w:r>
          </w:p>
        </w:tc>
        <w:tc>
          <w:tcPr>
            <w:tcW w:type="dxa" w:w="83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Low: prespecified definition clearly separates corrective revision, elective enhancement, touch-up, and planned staging. Some concerns: partly specified definition with limited ambiguity. High: nonstandard or unclear terminology, mixed clinical categories, or failure to distinguish planned/elective from corrective events.</w:t>
            </w:r>
          </w:p>
        </w:tc>
      </w:tr>
      <w:tr>
        <w:trPr>
          <w:trHeight w:hRule="atLeast"/>
          <w:cantSplit/>
        </w:trPr>
        <w:tc>
          <w:tcPr>
            <w:tcW w:type="dxa" w:w="22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Overall</w:t>
            </w:r>
          </w:p>
        </w:tc>
        <w:tc>
          <w:tcPr>
            <w:tcW w:type="dxa" w:w="835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Low: all domains low. Some concerns: at least one domain raises some concerns and none is high. High: at least one domain is high or the combined concerns materially limit interpretation.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Times New Roman" w:hAnsi="Times New Roman" w:eastAsia="Times New Roman"/>
          <w:b/>
          <w:sz w:val="24"/>
        </w:rPr>
        <w:t>Study-Level Judgments and Supporting Rationale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122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Study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Selection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Outcome ascertainment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Follow-up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Definition</w:t>
            </w:r>
          </w:p>
        </w:tc>
        <w:tc>
          <w:tcPr>
            <w:tcW w:type="dxa" w:w="172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Overall</w:t>
            </w:r>
          </w:p>
        </w:tc>
        <w:tc>
          <w:tcPr>
            <w:tcW w:type="dxa" w:w="194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Recorded judgments</w:t>
            </w:r>
          </w:p>
        </w:tc>
      </w:tr>
      <w:tr>
        <w:trPr>
          <w:trHeight w:hRule="atLeast"/>
          <w:cantSplit/>
        </w:trPr>
        <w:tc>
          <w:tcPr>
            <w:tcW w:type="dxa" w:w="122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Gupta 2025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single-center cohort; consecutive sampling not documented.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Revision and elective enhancement were reported, but standardized active ascertainment was not described.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 was limited to 6–12 months.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Corrective revision and elective enhancement required separate interpretation.</w:t>
            </w:r>
          </w:p>
        </w:tc>
        <w:tc>
          <w:tcPr>
            <w:tcW w:type="dxa" w:w="172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 because multiple domains were high.</w:t>
            </w:r>
          </w:p>
        </w:tc>
        <w:tc>
          <w:tcPr>
            <w:tcW w:type="dxa" w:w="194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High; Some concerns; High; High; High</w:t>
            </w:r>
          </w:p>
        </w:tc>
      </w:tr>
      <w:tr>
        <w:trPr>
          <w:trHeight w:hRule="atLeast"/>
          <w:cantSplit/>
        </w:trPr>
        <w:tc>
          <w:tcPr>
            <w:tcW w:type="dxa" w:w="122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Chia 2018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case series with a 32-versus-34 denominator discrepancy.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Repeat procedures were reported without complete indications or systematic ascertainment.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 was not systematic and repeat intervals varied from 1 to 575 days.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Four procedures were planned/staged and remaining repeats were incompletely classified.</w:t>
            </w:r>
          </w:p>
        </w:tc>
        <w:tc>
          <w:tcPr>
            <w:tcW w:type="dxa" w:w="172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 because all domains were high.</w:t>
            </w:r>
          </w:p>
        </w:tc>
        <w:tc>
          <w:tcPr>
            <w:tcW w:type="dxa" w:w="194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High; High; High; High; High</w:t>
            </w:r>
          </w:p>
        </w:tc>
      </w:tr>
      <w:tr>
        <w:trPr>
          <w:trHeight w:hRule="atLeast"/>
          <w:cantSplit/>
        </w:trPr>
        <w:tc>
          <w:tcPr>
            <w:tcW w:type="dxa" w:w="122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Pane 2019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case series; assessment relied on accessible abstract data.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Additional fat transfers were reported, but ascertainment and corrective status were unclear.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 was not reported in the accessible abstract.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Additional-volume procedures were not explicitly defined as corrective revisions.</w:t>
            </w:r>
          </w:p>
        </w:tc>
        <w:tc>
          <w:tcPr>
            <w:tcW w:type="dxa" w:w="172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 because all domains were high.</w:t>
            </w:r>
          </w:p>
        </w:tc>
        <w:tc>
          <w:tcPr>
            <w:tcW w:type="dxa" w:w="194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High; High; High; High; High</w:t>
            </w:r>
          </w:p>
        </w:tc>
      </w:tr>
      <w:tr>
        <w:trPr>
          <w:trHeight w:hRule="atLeast"/>
          <w:cantSplit/>
        </w:trPr>
        <w:tc>
          <w:tcPr>
            <w:tcW w:type="dxa" w:w="122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Kalaaji 2019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consecutive case series.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Counts and reasons for second procedures were reported, but active ascertainment was not documented.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Primary follow-up averaged 8 months and ranged from 3 to 18 months.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Desire for greater volume and asymmetry correction were combined; elective versus corrective status was not standardized.</w:t>
            </w:r>
          </w:p>
        </w:tc>
        <w:tc>
          <w:tcPr>
            <w:tcW w:type="dxa" w:w="172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 because follow-up and definition domains were high.</w:t>
            </w:r>
          </w:p>
        </w:tc>
        <w:tc>
          <w:tcPr>
            <w:tcW w:type="dxa" w:w="194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High; Some concerns; High; High; High</w:t>
            </w:r>
          </w:p>
        </w:tc>
      </w:tr>
      <w:tr>
        <w:trPr>
          <w:trHeight w:hRule="atLeast"/>
          <w:cantSplit/>
        </w:trPr>
        <w:tc>
          <w:tcPr>
            <w:tcW w:type="dxa" w:w="122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Everett 2018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single-center chart review.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Revision counts and reasons were reported, but events outside the practice could be missed.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Many patients did not return after the first 6 months despite selected longer observations.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Greater-volume requests and contour/asymmetry correction were combined.</w:t>
            </w:r>
          </w:p>
        </w:tc>
        <w:tc>
          <w:tcPr>
            <w:tcW w:type="dxa" w:w="172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 because follow-up and definition domains were high.</w:t>
            </w:r>
          </w:p>
        </w:tc>
        <w:tc>
          <w:tcPr>
            <w:tcW w:type="dxa" w:w="194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High; Some concerns; High; High; High</w:t>
            </w:r>
          </w:p>
        </w:tc>
      </w:tr>
      <w:tr>
        <w:trPr>
          <w:trHeight w:hRule="atLeast"/>
          <w:cantSplit/>
        </w:trPr>
        <w:tc>
          <w:tcPr>
            <w:tcW w:type="dxa" w:w="122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Swanson 2016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Prospective consecutive treated cohort, but 4 of 25 lacked ≥3-month measurements.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The report explicitly stated no reoperations, but the cohort was small and limited to one practice.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Mean follow-up was 5.8 months and maximum follow-up 15.5 months.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A standardized long-term revision definition was not reported; absence of early events cannot establish later risk.</w:t>
            </w:r>
          </w:p>
        </w:tc>
        <w:tc>
          <w:tcPr>
            <w:tcW w:type="dxa" w:w="172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 because follow-up and definition domains were high.</w:t>
            </w:r>
          </w:p>
        </w:tc>
        <w:tc>
          <w:tcPr>
            <w:tcW w:type="dxa" w:w="194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Some concerns; Some concerns; High; High; High</w:t>
            </w:r>
          </w:p>
        </w:tc>
      </w:tr>
      <w:tr>
        <w:trPr>
          <w:trHeight w:hRule="atLeast"/>
          <w:cantSplit/>
        </w:trPr>
        <w:tc>
          <w:tcPr>
            <w:tcW w:type="dxa" w:w="122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Rosique 2015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Prospective consecutive series; single-practice sampling limits representativeness.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Two revision procedures and their indication were reported, but ascertainment beyond reported follow-up was unclear.</w:t>
            </w:r>
          </w:p>
        </w:tc>
        <w:tc>
          <w:tcPr>
            <w:tcW w:type="dxa" w:w="208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Overall follow-up duration was not reported; revisions occurred at 6 months.</w:t>
            </w:r>
          </w:p>
        </w:tc>
        <w:tc>
          <w:tcPr>
            <w:tcW w:type="dxa" w:w="230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The report did not use a standardized framework separating all repeat-treatment categories.</w:t>
            </w:r>
          </w:p>
        </w:tc>
        <w:tc>
          <w:tcPr>
            <w:tcW w:type="dxa" w:w="172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 because follow-up and definition domains were high.</w:t>
            </w:r>
          </w:p>
        </w:tc>
        <w:tc>
          <w:tcPr>
            <w:tcW w:type="dxa" w:w="194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Some concerns; Some concerns; High; High; High</w:t>
            </w:r>
          </w:p>
        </w:tc>
      </w:tr>
    </w:tbl>
    <w:p>
      <w:r>
        <w:br w:type="page"/>
      </w:r>
    </w:p>
    <w:p>
      <w:pPr>
        <w:pStyle w:val="Heading1"/>
      </w:pPr>
      <w:r>
        <w:t>Appendix 4. Expanded Data-Extraction Table</w:t>
      </w:r>
    </w:p>
    <w:p>
      <w:pPr>
        <w:keepLines w:val="0"/>
        <w:spacing w:line="480" w:lineRule="auto" w:after="0"/>
      </w:pPr>
      <w:r>
        <w:t>The following editable study-level records reproduce the completed extraction workbook. “Not reported” indicates that the report did not explicitly provide the requested item.</w:t>
      </w:r>
    </w:p>
    <w:p>
      <w:pPr>
        <w:pStyle w:val="Heading2"/>
      </w:pPr>
      <w:r>
        <w:rPr>
          <w:rFonts w:ascii="Times New Roman" w:hAnsi="Times New Roman" w:eastAsia="Times New Roman"/>
          <w:b/>
          <w:sz w:val="24"/>
        </w:rPr>
        <w:t>Gupta et al, 2025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Field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Extracted value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PMID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41480302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Study/design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single-center cohort (Level IV)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Primary cohort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 = 293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Demographics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287 women and 6 men; mean age 30.76 years (women) and 28.3 years (men); BMI not reported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Technique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Subcutaneous-only grafting; mean 557 mL/side in women and 341.6 mL/side in men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Minimum 6 months; maximum 1 year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Strict revision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Expanded repeat/touch-up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2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Indications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Marked resorption (1); elective enhancement (1)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Time to subsequent procedure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Within 6–12 months; exact interval not reported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Procedure type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Repeat subcutaneous buttock augmentation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Valid five-year cumulative incidence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Interpretation note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One revision for marked resorption; expanded outcome also includes one elective enhancement.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Extraction source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Full text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Times New Roman" w:hAnsi="Times New Roman" w:eastAsia="Times New Roman"/>
          <w:b/>
          <w:sz w:val="24"/>
        </w:rPr>
        <w:t>Chia et al, 2018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Field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Extracted value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PMID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30489520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Study/design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consecutive case series (Level IV)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Primary cohort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 = 34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Demographics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Women; mean age 38.6 years; mean BMI 24.8 kg/m²; abstract reports 32 patients, full text reports 34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Technique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Awake/local anesthesia; subcutaneous-only; mean 359 mL/buttock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Not systematic; repeat interval mean 222 days (range, 1–575 days)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Strict revision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Not reported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Expanded repeat/touch-up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11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Indications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Incompletely reported; 4 planned/staged procedures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Time to subsequent procedure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Mean 222 days (range, 1–575 days)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Procedure type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Repeat gluteal fat-transfer procedure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Valid five-year cumulative incidence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Interpretation note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Four repeats were planned or staged; remaining indications were incompletely described; not a strict revision rate.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Extraction source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Full text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Times New Roman" w:hAnsi="Times New Roman" w:eastAsia="Times New Roman"/>
          <w:b/>
          <w:sz w:val="24"/>
        </w:rPr>
        <w:t>Pane, 2019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Field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Extracted value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PMID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30099491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Study/design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case series (Level IV)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Primary cohort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 = 137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Demographics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Mean age 35.3 years (range, 19–56 years); sex and BMI not reported in accessible abstract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Technique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High-volume transfer; mean 1,331 mL/buttock; injection plane not reported in accessible abstract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Not reported in accessible abstract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Strict revision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Not reported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Expanded repeat/touch-up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8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Indications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Additional volume/undercorrection implied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Time to subsequent procedure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Not reported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Procedure type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Additional gluteal fat transfer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Valid five-year cumulative incidence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Interpretation note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Additional-volume procedures were not explicitly labeled corrective revisions.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Extraction source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PubMed/journal abstract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Times New Roman" w:hAnsi="Times New Roman" w:eastAsia="Times New Roman"/>
          <w:b/>
          <w:sz w:val="24"/>
        </w:rPr>
        <w:t>Kalaaji et al, 2019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Field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Extracted value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PMID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29931270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Study/design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consecutive case series with literature review (Level IV)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Primary cohort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 = 44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Demographics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Women; mean age 32 years (range, 19–53 years); 38 had normal BMI and 6 had above-normal BMI &lt;30 kg/m²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Technique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Subcutaneous/suprafascial; mean approximately 420 mL/side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Primary operation mean 8 months (range, 3–18 months); second operation mean 5 months (range, 3–11 months)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Strict revision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18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Expanded repeat/touch-up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18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Indications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Greater volume (12); asymmetry correction (6)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Time to subsequent procedure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Exact interval not reported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Procedure type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Repeat fat grafting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Valid five-year cumulative incidence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Interpretation note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Repeat procedures addressed greater volume or asymmetry; these categories remain clinically heterogeneous.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Extraction source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Full text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Times New Roman" w:hAnsi="Times New Roman" w:eastAsia="Times New Roman"/>
          <w:b/>
          <w:sz w:val="24"/>
        </w:rPr>
        <w:t>Everett et al, 2018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Field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Extracted value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PMID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29040377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Study/design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Retrospective single-center chart review (Level IV)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Primary cohort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 = 916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Demographics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Age, sex distribution, and BMI not reported in accessible abstract/article text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Technique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Roller-pump injection; mean 1,807 mL total; current practice described grafting superficial to muscle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Routine first 6 months; many did not return thereafter; selected observations extended to 7 years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Strict revision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18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Expanded repeat/touch-up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18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Indications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Greater volume (14); asymmetry/persistent contour deformity (4)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Time to subsequent procedure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Not reported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Procedure type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Repeat grafting or contour correction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Valid five-year cumulative incidence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Interpretation note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Potential under-ascertainment after 6 months; greater-volume requests and contour correction were combined.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Extraction source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Abstract plus author-hosted article text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Times New Roman" w:hAnsi="Times New Roman" w:eastAsia="Times New Roman"/>
          <w:b/>
          <w:sz w:val="24"/>
        </w:rPr>
        <w:t>Swanson, 2016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Field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Extracted value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PMID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27579222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Study/design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Prospective controlled cohort (Level IV)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Primary cohort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 = 25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Demographics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24 women and 1 man; age and mean BMI not reported in accessible text table; 21 returned for ≥3-month measurements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Technique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Subcutaneous injection; mean 287 mL/buttock (range, 70–550 mL)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Mean 5.8 months (range, 3–15.5 months) among 21 measured patients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Strict revision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0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Expanded repeat/touch-up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0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Indications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None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Time to subsequent procedure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Not applicable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Procedure type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Not applicable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Valid five-year cumulative incidence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Interpretation note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 reoperation was reported; 4 treated patients lacked ≥3-month measurements.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Extraction source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Full text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Times New Roman" w:hAnsi="Times New Roman" w:eastAsia="Times New Roman"/>
          <w:b/>
          <w:sz w:val="24"/>
        </w:rPr>
        <w:t>Rosique et al, 2015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Field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/>
                <w:sz w:val="16"/>
              </w:rPr>
              <w:t>Extracted value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PMID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25919253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Study/design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Prospective consecutive case series (Level IV)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Primary cohort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 = 106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Demographics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Women; mean age 33 years (range, 18–62 years); mean BMI 24.8 kg/m² (range, 19–31.6 kg/m²)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Technique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Multiplanar grafting; mean 505 mL/buttock (range, 180–840 mL)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Follow-up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Overall duration not reported in abstract; revisions occurred at 6 months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Strict revision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2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Expanded repeat/touch-up count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2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Indications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Excess lateral volume (2)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Time to subsequent procedure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6 months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Procedure type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Surgical reduction/correction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Valid five-year cumulative incidence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No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Interpretation note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Two reductions for excess lateral volume; one additional patient reported resorption but did not undergo revision.</w:t>
            </w:r>
          </w:p>
        </w:tc>
      </w:tr>
      <w:tr>
        <w:trPr>
          <w:trHeight w:hRule="atLeast"/>
          <w:cantSplit/>
        </w:trPr>
        <w:tc>
          <w:tcPr>
            <w:tcW w:type="dxa" w:w="288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Extraction source</w:t>
            </w:r>
          </w:p>
        </w:tc>
        <w:tc>
          <w:tcPr>
            <w:tcW w:type="dxa" w:w="7632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b w:val="0"/>
                <w:sz w:val="16"/>
              </w:rPr>
              <w:t>PubMed abstract</w:t>
            </w:r>
          </w:p>
        </w:tc>
      </w:tr>
    </w:tbl>
    <w:sectPr>
      <w:footerReference w:type="default" r:id="rId9"/>
      <w:pgSz w:w="12240" w:h="15840"/>
      <w:pgMar w:top="1440" w:right="1440" w:bottom="1440" w:left="1440" w:header="504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480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0" w:line="48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i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0" w:line="48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0" w:line="480" w:lineRule="auto" w:before="24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line="480" w:lineRule="auto"/>
      <w:contextualSpacing/>
    </w:pPr>
    <w:rPr>
      <w:rFonts w:ascii="Times New Roman" w:hAnsi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and Repeat Procedures After Primary Aesthetic Gluteal Fat Grafting: A Systematic Review - Supplementary Material 1</dc:title>
  <dc:subject>Review Article</dc:subject>
  <dc:creator/>
  <cp:keywords>Adipose Tissue Transplantation, Buttocks, Plastic Surgery, Reoperation, Systematic Review</cp:keywords>
  <dc:description/>
  <cp:lastModifiedBy/>
  <cp:revision>1</cp:revision>
  <dcterms:created xsi:type="dcterms:W3CDTF">2013-12-23T23:15:00Z</dcterms:created>
  <dcterms:modified xsi:type="dcterms:W3CDTF">2013-12-23T23:15:00Z</dcterms:modified>
  <cp:category>Aesthetic Plastic Surgery submission</cp:category>
</cp:coreProperties>
</file>