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17DFF" w14:textId="77777777" w:rsidR="0052147D" w:rsidRPr="00F82A0C" w:rsidRDefault="0052147D" w:rsidP="0052147D">
      <w:pPr>
        <w:spacing w:line="480" w:lineRule="auto"/>
        <w:rPr>
          <w:rFonts w:ascii="Arial" w:eastAsia="Arial" w:hAnsi="Arial" w:cs="Arial"/>
          <w:b/>
          <w:bCs/>
          <w:color w:val="000000" w:themeColor="text1"/>
          <w:kern w:val="0"/>
        </w:rPr>
      </w:pPr>
      <w:r w:rsidRPr="00F82A0C">
        <w:rPr>
          <w:rFonts w:ascii="Arial" w:eastAsia="Arial" w:hAnsi="Arial" w:cs="Arial"/>
          <w:b/>
          <w:bCs/>
          <w:color w:val="000000" w:themeColor="text1"/>
          <w:kern w:val="0"/>
        </w:rPr>
        <w:t>Supplementary Information</w:t>
      </w:r>
    </w:p>
    <w:p w14:paraId="60BB5B0E" w14:textId="77777777" w:rsidR="0052147D" w:rsidRPr="00F82A0C" w:rsidRDefault="0052147D" w:rsidP="0052147D">
      <w:pPr>
        <w:spacing w:line="480" w:lineRule="auto"/>
        <w:rPr>
          <w:rFonts w:ascii="Arial" w:eastAsia="Arial" w:hAnsi="Arial" w:cs="Arial"/>
          <w:b/>
          <w:bCs/>
          <w:color w:val="000000" w:themeColor="text1"/>
          <w:kern w:val="0"/>
        </w:rPr>
      </w:pPr>
      <w:r w:rsidRPr="00F82A0C">
        <w:rPr>
          <w:rFonts w:ascii="Arial" w:eastAsia="Arial" w:hAnsi="Arial" w:cs="Arial"/>
          <w:b/>
          <w:bCs/>
          <w:color w:val="000000" w:themeColor="text1"/>
          <w:kern w:val="0"/>
        </w:rPr>
        <w:t>Supplementary Fig. 1 Heatmap of immune pathway associated gene expression following mRNA administration</w:t>
      </w:r>
    </w:p>
    <w:p w14:paraId="0EA10380" w14:textId="77777777" w:rsidR="0052147D" w:rsidRPr="00F82A0C" w:rsidRDefault="0052147D" w:rsidP="0052147D">
      <w:pPr>
        <w:spacing w:line="480" w:lineRule="auto"/>
        <w:rPr>
          <w:rFonts w:ascii="Arial" w:eastAsia="Arial" w:hAnsi="Arial" w:cs="Arial"/>
          <w:color w:val="000000" w:themeColor="text1"/>
          <w:kern w:val="0"/>
        </w:rPr>
      </w:pPr>
      <w:r w:rsidRPr="00F82A0C">
        <w:rPr>
          <w:rFonts w:ascii="Arial" w:eastAsia="Arial" w:hAnsi="Arial" w:cs="Arial"/>
          <w:color w:val="000000" w:themeColor="text1"/>
          <w:kern w:val="0"/>
        </w:rPr>
        <w:t>Expression heatmap of genes that map to immune pathways across the 3 mRNA-LNP treatments at D1, D2, and D7 at site of injection</w:t>
      </w:r>
      <w:r w:rsidRPr="00F82A0C">
        <w:rPr>
          <w:rFonts w:ascii="Arial" w:eastAsia="Arial" w:hAnsi="Arial" w:cs="Arial"/>
          <w:color w:val="000000" w:themeColor="text1"/>
        </w:rPr>
        <w:t xml:space="preserve"> (in muscle).</w:t>
      </w:r>
    </w:p>
    <w:p w14:paraId="5210100E" w14:textId="77777777" w:rsidR="0052147D" w:rsidRPr="00F82A0C" w:rsidRDefault="0052147D" w:rsidP="0052147D">
      <w:pPr>
        <w:spacing w:line="480" w:lineRule="auto"/>
        <w:rPr>
          <w:rFonts w:ascii="Arial" w:eastAsia="Arial" w:hAnsi="Arial" w:cs="Arial"/>
          <w:color w:val="000000" w:themeColor="text1"/>
          <w:kern w:val="0"/>
        </w:rPr>
      </w:pPr>
    </w:p>
    <w:p w14:paraId="4D44B8A9" w14:textId="77777777" w:rsidR="0052147D" w:rsidRPr="00F82A0C" w:rsidRDefault="0052147D" w:rsidP="0052147D">
      <w:pPr>
        <w:spacing w:line="480" w:lineRule="auto"/>
        <w:rPr>
          <w:rFonts w:ascii="Arial" w:eastAsia="Arial" w:hAnsi="Arial" w:cs="Arial"/>
          <w:b/>
          <w:bCs/>
          <w:color w:val="000000" w:themeColor="text1"/>
          <w:kern w:val="0"/>
        </w:rPr>
      </w:pPr>
      <w:r w:rsidRPr="00F82A0C">
        <w:rPr>
          <w:rFonts w:ascii="Arial" w:eastAsia="Arial" w:hAnsi="Arial" w:cs="Arial"/>
          <w:b/>
          <w:bCs/>
          <w:color w:val="000000" w:themeColor="text1"/>
          <w:kern w:val="0"/>
        </w:rPr>
        <w:t>Supplementary Fig. 2 Serum HAI Titers After mRNA-LNP Immunization</w:t>
      </w:r>
    </w:p>
    <w:p w14:paraId="606D017C" w14:textId="77777777" w:rsidR="0052147D" w:rsidRPr="00F82A0C" w:rsidRDefault="0052147D" w:rsidP="0052147D">
      <w:pPr>
        <w:spacing w:line="480" w:lineRule="auto"/>
        <w:rPr>
          <w:rFonts w:ascii="Arial" w:eastAsia="Arial" w:hAnsi="Arial" w:cs="Arial"/>
          <w:color w:val="000000" w:themeColor="text1"/>
          <w:kern w:val="0"/>
        </w:rPr>
      </w:pPr>
      <w:r w:rsidRPr="00F82A0C">
        <w:rPr>
          <w:rFonts w:ascii="Arial" w:eastAsia="Arial" w:hAnsi="Arial" w:cs="Arial"/>
          <w:color w:val="000000" w:themeColor="text1"/>
          <w:kern w:val="0"/>
        </w:rPr>
        <w:t>Serum hemagglutination inhibition (HAI) geometric mean titers (GMT) against A/Tasmania/20 measured at D0, D21, and D35 following immunization with different LNPs, or PBS. The dashed line denotes the assay lower limit of detection. Statistical significance is indicated as **** (</w:t>
      </w:r>
      <w:r w:rsidRPr="00F82A0C">
        <w:rPr>
          <w:rFonts w:ascii="Arial" w:eastAsia="Arial" w:hAnsi="Arial" w:cs="Arial"/>
          <w:i/>
          <w:color w:val="000000" w:themeColor="text1"/>
          <w:kern w:val="0"/>
        </w:rPr>
        <w:t>p</w:t>
      </w:r>
      <w:r w:rsidRPr="00F82A0C">
        <w:rPr>
          <w:rFonts w:ascii="Arial" w:eastAsia="Arial" w:hAnsi="Arial" w:cs="Arial"/>
          <w:color w:val="000000" w:themeColor="text1"/>
          <w:kern w:val="0"/>
        </w:rPr>
        <w:t xml:space="preserve"> &lt; 0.0001).</w:t>
      </w:r>
    </w:p>
    <w:p w14:paraId="50DEE6EF" w14:textId="77777777" w:rsidR="0052147D" w:rsidRPr="00F82A0C" w:rsidRDefault="0052147D" w:rsidP="0052147D">
      <w:pPr>
        <w:spacing w:line="480" w:lineRule="auto"/>
        <w:rPr>
          <w:rFonts w:ascii="Arial" w:eastAsia="Arial" w:hAnsi="Arial" w:cs="Arial"/>
          <w:color w:val="000000" w:themeColor="text1"/>
          <w:kern w:val="0"/>
        </w:rPr>
      </w:pPr>
    </w:p>
    <w:p w14:paraId="124E4674" w14:textId="77777777" w:rsidR="0052147D" w:rsidRPr="00F82A0C" w:rsidRDefault="0052147D" w:rsidP="0052147D">
      <w:pPr>
        <w:spacing w:line="480" w:lineRule="auto"/>
        <w:rPr>
          <w:rFonts w:ascii="Arial" w:eastAsia="Arial" w:hAnsi="Arial" w:cs="Arial"/>
          <w:color w:val="000000" w:themeColor="text1"/>
          <w:kern w:val="0"/>
        </w:rPr>
      </w:pPr>
      <w:r w:rsidRPr="00F82A0C">
        <w:rPr>
          <w:rFonts w:ascii="Arial" w:eastAsia="Arial" w:hAnsi="Arial" w:cs="Arial"/>
          <w:b/>
          <w:bCs/>
          <w:color w:val="000000" w:themeColor="text1"/>
          <w:kern w:val="0"/>
        </w:rPr>
        <w:t>Supplementary Fig. 3</w:t>
      </w:r>
      <w:r w:rsidRPr="00F82A0C">
        <w:rPr>
          <w:rFonts w:ascii="Arial" w:eastAsia="Arial" w:hAnsi="Arial" w:cs="Arial"/>
          <w:color w:val="000000" w:themeColor="text1"/>
          <w:kern w:val="0"/>
        </w:rPr>
        <w:t xml:space="preserve"> </w:t>
      </w:r>
      <w:r w:rsidRPr="00F82A0C">
        <w:rPr>
          <w:rFonts w:ascii="Arial" w:eastAsia="Arial" w:hAnsi="Arial" w:cs="Arial"/>
          <w:b/>
          <w:bCs/>
          <w:color w:val="000000" w:themeColor="text1"/>
          <w:kern w:val="0"/>
        </w:rPr>
        <w:t>Flow Cytometry Gating strategy for immune and non-immune cell populations in muscle in vivo</w:t>
      </w:r>
    </w:p>
    <w:p w14:paraId="5FF18BA2" w14:textId="77777777" w:rsidR="0052147D" w:rsidRPr="00F82A0C" w:rsidRDefault="0052147D" w:rsidP="0052147D">
      <w:pPr>
        <w:spacing w:line="480" w:lineRule="auto"/>
        <w:rPr>
          <w:rFonts w:ascii="Arial" w:eastAsia="Arial" w:hAnsi="Arial" w:cs="Arial"/>
          <w:color w:val="000000" w:themeColor="text1"/>
          <w:kern w:val="0"/>
        </w:rPr>
      </w:pPr>
      <w:r w:rsidRPr="00F82A0C">
        <w:rPr>
          <w:rFonts w:ascii="Arial" w:eastAsia="Arial" w:hAnsi="Arial" w:cs="Arial"/>
          <w:color w:val="000000" w:themeColor="text1"/>
          <w:kern w:val="0"/>
        </w:rPr>
        <w:t>Cells were sequentially gated for singlets, live cells, and CD45 expressions to distinguish immune (CD45⁺) and non-immune (CD45⁻) compartments. Non-immune subsets were further defined based on CD31, Sca-1, VCAM-1, MyoD, Desmin and α-SMA expression, while immune cell populations were identified using CD11c, CD11b, Ly6G, and F4/80 markers.</w:t>
      </w:r>
    </w:p>
    <w:p w14:paraId="5086A83B" w14:textId="77777777" w:rsidR="0052147D" w:rsidRPr="00F82A0C" w:rsidRDefault="0052147D" w:rsidP="0052147D">
      <w:pPr>
        <w:spacing w:line="480" w:lineRule="auto"/>
        <w:rPr>
          <w:rFonts w:ascii="Arial" w:eastAsia="Arial" w:hAnsi="Arial" w:cs="Arial"/>
          <w:b/>
          <w:bCs/>
          <w:color w:val="000000" w:themeColor="text1"/>
          <w:kern w:val="0"/>
        </w:rPr>
      </w:pPr>
    </w:p>
    <w:p w14:paraId="58F0CC3A" w14:textId="77777777" w:rsidR="0052147D" w:rsidRPr="00F82A0C" w:rsidRDefault="0052147D" w:rsidP="0052147D">
      <w:pPr>
        <w:spacing w:line="480" w:lineRule="auto"/>
        <w:rPr>
          <w:rFonts w:ascii="Arial" w:eastAsia="Arial" w:hAnsi="Arial" w:cs="Arial"/>
          <w:b/>
          <w:bCs/>
          <w:color w:val="000000" w:themeColor="text1"/>
          <w:kern w:val="0"/>
        </w:rPr>
      </w:pPr>
      <w:r w:rsidRPr="00F82A0C">
        <w:rPr>
          <w:rFonts w:ascii="Arial" w:eastAsia="Arial" w:hAnsi="Arial" w:cs="Arial"/>
          <w:b/>
          <w:bCs/>
          <w:color w:val="000000" w:themeColor="text1"/>
          <w:kern w:val="0"/>
        </w:rPr>
        <w:t>Supplementary Fig. 4 Mouse perturbed-state fibroblast single-cell transcriptomic atlas interrogations</w:t>
      </w:r>
    </w:p>
    <w:p w14:paraId="28D7C362" w14:textId="77777777" w:rsidR="0052147D" w:rsidRPr="00F82A0C" w:rsidRDefault="0052147D" w:rsidP="0052147D">
      <w:pPr>
        <w:spacing w:line="480" w:lineRule="auto"/>
        <w:rPr>
          <w:rFonts w:ascii="Arial" w:eastAsia="Arial" w:hAnsi="Arial" w:cs="Arial"/>
          <w:color w:val="000000" w:themeColor="text1"/>
          <w:kern w:val="0"/>
        </w:rPr>
      </w:pPr>
      <w:r w:rsidRPr="00F82A0C">
        <w:rPr>
          <w:rFonts w:ascii="Arial" w:eastAsia="Arial" w:hAnsi="Arial" w:cs="Arial"/>
          <w:color w:val="000000" w:themeColor="text1"/>
        </w:rPr>
        <w:lastRenderedPageBreak/>
        <w:t>Mouse perturbed-state fibroblast single-cell transcriptomic atlas interrogations. (</w:t>
      </w:r>
      <w:r w:rsidRPr="00F82A0C">
        <w:rPr>
          <w:rFonts w:ascii="Arial" w:eastAsia="Arial" w:hAnsi="Arial" w:cs="Arial"/>
          <w:b/>
          <w:bCs/>
          <w:color w:val="000000" w:themeColor="text1"/>
        </w:rPr>
        <w:t>A</w:t>
      </w:r>
      <w:r w:rsidRPr="00F82A0C">
        <w:rPr>
          <w:rFonts w:ascii="Arial" w:eastAsia="Arial" w:hAnsi="Arial" w:cs="Arial"/>
          <w:color w:val="000000" w:themeColor="text1"/>
        </w:rPr>
        <w:t>) Re-constructed UMAP plot of mouse perturbed single-cell fibroblast dataset colored by cluster and labeled following the defining gene markers. (</w:t>
      </w:r>
      <w:r w:rsidRPr="00F82A0C">
        <w:rPr>
          <w:rFonts w:ascii="Arial" w:eastAsia="Arial" w:hAnsi="Arial" w:cs="Arial"/>
          <w:b/>
          <w:bCs/>
          <w:color w:val="000000" w:themeColor="text1"/>
        </w:rPr>
        <w:t>B</w:t>
      </w:r>
      <w:r w:rsidRPr="00F82A0C">
        <w:rPr>
          <w:rFonts w:ascii="Arial" w:eastAsia="Arial" w:hAnsi="Arial" w:cs="Arial"/>
          <w:color w:val="000000" w:themeColor="text1"/>
        </w:rPr>
        <w:t>) Dot plot of key selected gene markers across clusters depicting average expression fold change as a color gradient and dot size as the proportion of cells expressing the respective marker gene. (</w:t>
      </w:r>
      <w:r w:rsidRPr="00F82A0C">
        <w:rPr>
          <w:rFonts w:ascii="Arial" w:eastAsia="Arial" w:hAnsi="Arial" w:cs="Arial"/>
          <w:b/>
          <w:bCs/>
          <w:color w:val="000000" w:themeColor="text1"/>
        </w:rPr>
        <w:t>C</w:t>
      </w:r>
      <w:r w:rsidRPr="00F82A0C">
        <w:rPr>
          <w:rFonts w:ascii="Arial" w:eastAsia="Arial" w:hAnsi="Arial" w:cs="Arial"/>
          <w:color w:val="000000" w:themeColor="text1"/>
        </w:rPr>
        <w:t>) APC-like gene module score distributions per cluster. (</w:t>
      </w:r>
      <w:r w:rsidRPr="00F82A0C">
        <w:rPr>
          <w:rFonts w:ascii="Arial" w:eastAsia="Arial" w:hAnsi="Arial" w:cs="Arial"/>
          <w:b/>
          <w:bCs/>
          <w:color w:val="000000" w:themeColor="text1"/>
        </w:rPr>
        <w:t>D</w:t>
      </w:r>
      <w:r w:rsidRPr="00F82A0C">
        <w:rPr>
          <w:rFonts w:ascii="Arial" w:eastAsia="Arial" w:hAnsi="Arial" w:cs="Arial"/>
          <w:color w:val="000000" w:themeColor="text1"/>
        </w:rPr>
        <w:t>) Proportions of APC-high cells within each cluster (top) and proportion of APC-high cells across all clusters (bottom). (</w:t>
      </w:r>
      <w:r w:rsidRPr="00F82A0C">
        <w:rPr>
          <w:rFonts w:ascii="Arial" w:eastAsia="Arial" w:hAnsi="Arial" w:cs="Arial"/>
          <w:b/>
          <w:bCs/>
          <w:color w:val="000000" w:themeColor="text1"/>
        </w:rPr>
        <w:t>E</w:t>
      </w:r>
      <w:r w:rsidRPr="00F82A0C">
        <w:rPr>
          <w:rFonts w:ascii="Arial" w:eastAsia="Arial" w:hAnsi="Arial" w:cs="Arial"/>
          <w:color w:val="000000" w:themeColor="text1"/>
        </w:rPr>
        <w:t>) UMAP projections colored by Hallmark IFN-α (left) and IFN-γ (right) gene sets module scores across all cells. (</w:t>
      </w:r>
      <w:r w:rsidRPr="00F82A0C">
        <w:rPr>
          <w:rFonts w:ascii="Arial" w:eastAsia="Arial" w:hAnsi="Arial" w:cs="Arial"/>
          <w:b/>
          <w:bCs/>
          <w:color w:val="000000" w:themeColor="text1"/>
        </w:rPr>
        <w:t>F</w:t>
      </w:r>
      <w:r w:rsidRPr="00F82A0C">
        <w:rPr>
          <w:rFonts w:ascii="Arial" w:eastAsia="Arial" w:hAnsi="Arial" w:cs="Arial"/>
          <w:color w:val="000000" w:themeColor="text1"/>
        </w:rPr>
        <w:t xml:space="preserve">) Violin-boxplots of Hallmark IFN-α (left) and IFN-γ (right) gene set module score distributions in APC-high (red) and APC-low (grey) cell populations. </w:t>
      </w:r>
      <w:r w:rsidRPr="00F82A0C">
        <w:rPr>
          <w:rFonts w:ascii="Arial" w:eastAsia="Arial" w:hAnsi="Arial" w:cs="Arial"/>
          <w:b/>
          <w:bCs/>
          <w:color w:val="000000" w:themeColor="text1"/>
        </w:rPr>
        <w:t>G</w:t>
      </w:r>
      <w:r w:rsidRPr="00F82A0C">
        <w:rPr>
          <w:rFonts w:ascii="Arial" w:eastAsia="Arial" w:hAnsi="Arial" w:cs="Arial"/>
          <w:color w:val="000000" w:themeColor="text1"/>
        </w:rPr>
        <w:t>) Hallmark gene set pathway enrichment analysis using the APC-high-specific upregulated significant genes as the input list. The x-axis represents -log10 p-adj quantifying the statistical significance of pathway enrichment. (</w:t>
      </w:r>
      <w:r w:rsidRPr="00F82A0C">
        <w:rPr>
          <w:rFonts w:ascii="Arial" w:eastAsia="Arial" w:hAnsi="Arial" w:cs="Arial"/>
          <w:b/>
          <w:bCs/>
          <w:color w:val="000000" w:themeColor="text1"/>
        </w:rPr>
        <w:t>H</w:t>
      </w:r>
      <w:r w:rsidRPr="00F82A0C">
        <w:rPr>
          <w:rFonts w:ascii="Arial" w:eastAsia="Arial" w:hAnsi="Arial" w:cs="Arial"/>
          <w:color w:val="000000" w:themeColor="text1"/>
        </w:rPr>
        <w:t>) Dot plot depicting Gene Set Enrichment Analysis (GSEA) results using the MSigDB Hallmark gene set collection across 3 LNP formulations at days 1, 2, and 7 post-injection. Dot size represents statistical significance (−log</w:t>
      </w:r>
      <w:r w:rsidRPr="00F82A0C">
        <w:rPr>
          <w:rFonts w:ascii="Cambria Math" w:eastAsia="Arial" w:hAnsi="Cambria Math" w:cs="Cambria Math"/>
          <w:color w:val="000000" w:themeColor="text1"/>
        </w:rPr>
        <w:t>₁₀</w:t>
      </w:r>
      <w:r w:rsidRPr="00F82A0C">
        <w:rPr>
          <w:rFonts w:ascii="Arial" w:eastAsia="Arial" w:hAnsi="Arial" w:cs="Arial"/>
          <w:color w:val="000000" w:themeColor="text1"/>
        </w:rPr>
        <w:t xml:space="preserve"> adjusted p-value), and color intensity represents the Normalized Enrichment Score (NES), with darker red indicating stronger positive enrichment.</w:t>
      </w:r>
    </w:p>
    <w:p w14:paraId="786F592B" w14:textId="77777777" w:rsidR="0052147D" w:rsidRPr="00F82A0C" w:rsidRDefault="0052147D" w:rsidP="0052147D">
      <w:pPr>
        <w:rPr>
          <w:rFonts w:ascii="Arial" w:eastAsia="Arial" w:hAnsi="Arial" w:cs="Arial"/>
          <w:b/>
          <w:bCs/>
          <w:color w:val="000000" w:themeColor="text1"/>
        </w:rPr>
      </w:pPr>
    </w:p>
    <w:p w14:paraId="62BCCD44" w14:textId="77777777" w:rsidR="0052147D" w:rsidRPr="00F82A0C" w:rsidRDefault="0052147D" w:rsidP="0052147D">
      <w:pPr>
        <w:spacing w:line="480" w:lineRule="auto"/>
        <w:rPr>
          <w:rFonts w:ascii="Arial" w:eastAsia="Arial" w:hAnsi="Arial" w:cs="Arial"/>
          <w:b/>
          <w:bCs/>
          <w:color w:val="000000" w:themeColor="text1"/>
          <w:kern w:val="0"/>
        </w:rPr>
      </w:pPr>
      <w:r w:rsidRPr="00F82A0C">
        <w:rPr>
          <w:rFonts w:ascii="Arial" w:eastAsia="Arial" w:hAnsi="Arial" w:cs="Arial"/>
          <w:b/>
          <w:bCs/>
          <w:color w:val="000000" w:themeColor="text1"/>
        </w:rPr>
        <w:t>Supplementary Fig. 5. Immune cell trafficking profiles following mRNA-LNP administration</w:t>
      </w:r>
    </w:p>
    <w:p w14:paraId="001B9348" w14:textId="77777777" w:rsidR="0052147D" w:rsidRPr="00F82A0C" w:rsidRDefault="0052147D" w:rsidP="0052147D">
      <w:pPr>
        <w:spacing w:line="480" w:lineRule="auto"/>
        <w:rPr>
          <w:rFonts w:ascii="Arial" w:eastAsia="Arial" w:hAnsi="Arial" w:cs="Arial"/>
          <w:color w:val="000000" w:themeColor="text1"/>
          <w:kern w:val="0"/>
        </w:rPr>
      </w:pPr>
      <w:r w:rsidRPr="00F82A0C">
        <w:rPr>
          <w:rFonts w:ascii="Arial" w:eastAsia="Arial" w:hAnsi="Arial" w:cs="Arial"/>
          <w:color w:val="000000" w:themeColor="text1"/>
          <w:kern w:val="0"/>
        </w:rPr>
        <w:t>(</w:t>
      </w:r>
      <w:r w:rsidRPr="00F82A0C">
        <w:rPr>
          <w:rFonts w:ascii="Arial" w:eastAsia="Arial" w:hAnsi="Arial" w:cs="Arial"/>
          <w:b/>
          <w:bCs/>
          <w:color w:val="000000" w:themeColor="text1"/>
          <w:kern w:val="0"/>
        </w:rPr>
        <w:t>A-C</w:t>
      </w:r>
      <w:r w:rsidRPr="00F82A0C">
        <w:rPr>
          <w:rFonts w:ascii="Arial" w:eastAsia="Arial" w:hAnsi="Arial" w:cs="Arial"/>
          <w:color w:val="000000" w:themeColor="text1"/>
          <w:kern w:val="0"/>
        </w:rPr>
        <w:t>) Flow cytometric quantification of immune cell populations following IM administration of 0.4µg mRNA-LNP formulations. Fold change relative to baseline (log2 scale) is shown for (</w:t>
      </w:r>
      <w:r w:rsidRPr="00F82A0C">
        <w:rPr>
          <w:rFonts w:ascii="Arial" w:eastAsia="Arial" w:hAnsi="Arial" w:cs="Arial"/>
          <w:b/>
          <w:bCs/>
          <w:color w:val="000000" w:themeColor="text1"/>
          <w:kern w:val="0"/>
        </w:rPr>
        <w:t>A</w:t>
      </w:r>
      <w:r w:rsidRPr="00F82A0C">
        <w:rPr>
          <w:rFonts w:ascii="Arial" w:eastAsia="Arial" w:hAnsi="Arial" w:cs="Arial"/>
          <w:color w:val="000000" w:themeColor="text1"/>
          <w:kern w:val="0"/>
        </w:rPr>
        <w:t>) monocytes, (</w:t>
      </w:r>
      <w:r w:rsidRPr="00F82A0C">
        <w:rPr>
          <w:rFonts w:ascii="Arial" w:eastAsia="Arial" w:hAnsi="Arial" w:cs="Arial"/>
          <w:b/>
          <w:bCs/>
          <w:color w:val="000000" w:themeColor="text1"/>
          <w:kern w:val="0"/>
        </w:rPr>
        <w:t>B</w:t>
      </w:r>
      <w:r w:rsidRPr="00F82A0C">
        <w:rPr>
          <w:rFonts w:ascii="Arial" w:eastAsia="Arial" w:hAnsi="Arial" w:cs="Arial"/>
          <w:color w:val="000000" w:themeColor="text1"/>
          <w:kern w:val="0"/>
        </w:rPr>
        <w:t>) macrophages, and (</w:t>
      </w:r>
      <w:r w:rsidRPr="00F82A0C">
        <w:rPr>
          <w:rFonts w:ascii="Arial" w:eastAsia="Arial" w:hAnsi="Arial" w:cs="Arial"/>
          <w:b/>
          <w:bCs/>
          <w:color w:val="000000" w:themeColor="text1"/>
          <w:kern w:val="0"/>
        </w:rPr>
        <w:t>C</w:t>
      </w:r>
      <w:r w:rsidRPr="00F82A0C">
        <w:rPr>
          <w:rFonts w:ascii="Arial" w:eastAsia="Arial" w:hAnsi="Arial" w:cs="Arial"/>
          <w:color w:val="000000" w:themeColor="text1"/>
          <w:kern w:val="0"/>
        </w:rPr>
        <w:t xml:space="preserve">) dendritic cells at D1, D2 and D7 post-injections across different LNP formulations and PBS control. </w:t>
      </w:r>
      <w:r w:rsidRPr="00F82A0C">
        <w:rPr>
          <w:rFonts w:ascii="Arial" w:eastAsia="Arial" w:hAnsi="Arial" w:cs="Arial"/>
          <w:color w:val="000000" w:themeColor="text1"/>
          <w:kern w:val="0"/>
        </w:rPr>
        <w:lastRenderedPageBreak/>
        <w:t xml:space="preserve">Data are presented as box-and-whisker plots. Statistical analysis was performed using two-way ANOVA followed by multiple comparisons between PBS and individual LNP formulations at each time point. Significance levels are defined as </w:t>
      </w:r>
      <w:r w:rsidRPr="00F82A0C">
        <w:rPr>
          <w:rFonts w:ascii="Arial" w:eastAsia="Arial" w:hAnsi="Arial" w:cs="Arial"/>
          <w:i/>
          <w:iCs/>
          <w:color w:val="000000" w:themeColor="text1"/>
          <w:kern w:val="0"/>
        </w:rPr>
        <w:t>P</w:t>
      </w:r>
      <w:r w:rsidRPr="00F82A0C">
        <w:rPr>
          <w:rFonts w:ascii="Arial" w:eastAsia="Arial" w:hAnsi="Arial" w:cs="Arial"/>
          <w:color w:val="000000" w:themeColor="text1"/>
          <w:kern w:val="0"/>
        </w:rPr>
        <w:t xml:space="preserve"> &lt; 0.05 (*), </w:t>
      </w:r>
      <w:r w:rsidRPr="00F82A0C">
        <w:rPr>
          <w:rFonts w:ascii="Arial" w:eastAsia="Arial" w:hAnsi="Arial" w:cs="Arial"/>
          <w:i/>
          <w:iCs/>
          <w:color w:val="000000" w:themeColor="text1"/>
          <w:kern w:val="0"/>
        </w:rPr>
        <w:t>P</w:t>
      </w:r>
      <w:r w:rsidRPr="00F82A0C">
        <w:rPr>
          <w:rFonts w:ascii="Arial" w:eastAsia="Arial" w:hAnsi="Arial" w:cs="Arial"/>
          <w:color w:val="000000" w:themeColor="text1"/>
          <w:kern w:val="0"/>
        </w:rPr>
        <w:t xml:space="preserve"> &lt; 0.01 (**), </w:t>
      </w:r>
      <w:r w:rsidRPr="00F82A0C">
        <w:rPr>
          <w:rFonts w:ascii="Arial" w:eastAsia="Arial" w:hAnsi="Arial" w:cs="Arial"/>
          <w:i/>
          <w:iCs/>
          <w:color w:val="000000" w:themeColor="text1"/>
          <w:kern w:val="0"/>
        </w:rPr>
        <w:t>P</w:t>
      </w:r>
      <w:r w:rsidRPr="00F82A0C">
        <w:rPr>
          <w:rFonts w:ascii="Arial" w:eastAsia="Arial" w:hAnsi="Arial" w:cs="Arial"/>
          <w:color w:val="000000" w:themeColor="text1"/>
          <w:kern w:val="0"/>
        </w:rPr>
        <w:t xml:space="preserve"> &lt; 0.001 (***), and </w:t>
      </w:r>
      <w:r w:rsidRPr="00F82A0C">
        <w:rPr>
          <w:rFonts w:ascii="Arial" w:eastAsia="Arial" w:hAnsi="Arial" w:cs="Arial"/>
          <w:i/>
          <w:iCs/>
          <w:color w:val="000000" w:themeColor="text1"/>
          <w:kern w:val="0"/>
        </w:rPr>
        <w:t>P</w:t>
      </w:r>
      <w:r w:rsidRPr="00F82A0C">
        <w:rPr>
          <w:rFonts w:ascii="Arial" w:eastAsia="Arial" w:hAnsi="Arial" w:cs="Arial"/>
          <w:color w:val="000000" w:themeColor="text1"/>
          <w:kern w:val="0"/>
        </w:rPr>
        <w:t xml:space="preserve"> &lt; 0.0001 (***).</w:t>
      </w:r>
    </w:p>
    <w:p w14:paraId="3CEDE203" w14:textId="77777777" w:rsidR="0052147D" w:rsidRPr="00F82A0C" w:rsidRDefault="0052147D" w:rsidP="0052147D">
      <w:pPr>
        <w:spacing w:line="480" w:lineRule="auto"/>
        <w:rPr>
          <w:rFonts w:ascii="Arial" w:eastAsia="Arial" w:hAnsi="Arial" w:cs="Arial"/>
          <w:b/>
          <w:bCs/>
          <w:color w:val="000000" w:themeColor="text1"/>
        </w:rPr>
      </w:pPr>
    </w:p>
    <w:p w14:paraId="0D04510E" w14:textId="77777777" w:rsidR="0052147D" w:rsidRPr="00F82A0C" w:rsidRDefault="0052147D" w:rsidP="0052147D">
      <w:pPr>
        <w:spacing w:line="480" w:lineRule="auto"/>
        <w:rPr>
          <w:rFonts w:ascii="Arial" w:eastAsia="Arial" w:hAnsi="Arial" w:cs="Arial"/>
          <w:b/>
          <w:bCs/>
          <w:color w:val="000000" w:themeColor="text1"/>
          <w:kern w:val="0"/>
        </w:rPr>
      </w:pPr>
      <w:r w:rsidRPr="00F82A0C">
        <w:rPr>
          <w:rFonts w:ascii="Arial" w:eastAsia="Arial" w:hAnsi="Arial" w:cs="Arial"/>
          <w:b/>
          <w:bCs/>
          <w:color w:val="000000" w:themeColor="text1"/>
          <w:kern w:val="0"/>
        </w:rPr>
        <w:t>Supplementary Fig. 6 Flow cytometry gating strategy for fibroblast cells transfected with mRNA-LNP</w:t>
      </w:r>
    </w:p>
    <w:p w14:paraId="79A63E47" w14:textId="77777777" w:rsidR="0052147D" w:rsidRPr="00F82A0C" w:rsidRDefault="0052147D" w:rsidP="0052147D">
      <w:pPr>
        <w:spacing w:line="480" w:lineRule="auto"/>
        <w:rPr>
          <w:rFonts w:ascii="Arial" w:eastAsia="Arial" w:hAnsi="Arial" w:cs="Arial"/>
          <w:color w:val="000000" w:themeColor="text1"/>
          <w:kern w:val="0"/>
        </w:rPr>
      </w:pPr>
      <w:r w:rsidRPr="00F82A0C">
        <w:rPr>
          <w:rFonts w:ascii="Arial" w:eastAsia="Arial" w:hAnsi="Arial" w:cs="Arial"/>
          <w:color w:val="000000" w:themeColor="text1"/>
          <w:kern w:val="0"/>
        </w:rPr>
        <w:t>Fibroblasts (BJ cells or MEFs) were transfected with mRNA-LNP for 24 h. Events acquired by flow cytometry were gated based on FSC-A and SSC-A, followed by singlet and live cell gating. The percentage of H3-positive cells and MHC class II expression were quantified.</w:t>
      </w:r>
    </w:p>
    <w:p w14:paraId="79B032D5" w14:textId="77777777" w:rsidR="0052147D" w:rsidRPr="00F82A0C" w:rsidRDefault="0052147D" w:rsidP="0052147D">
      <w:pPr>
        <w:spacing w:line="480" w:lineRule="auto"/>
        <w:rPr>
          <w:rFonts w:ascii="Arial" w:eastAsia="Arial" w:hAnsi="Arial" w:cs="Arial"/>
          <w:b/>
          <w:bCs/>
          <w:color w:val="000000" w:themeColor="text1"/>
          <w:kern w:val="0"/>
        </w:rPr>
      </w:pPr>
    </w:p>
    <w:p w14:paraId="779B1E1F" w14:textId="77777777" w:rsidR="0052147D" w:rsidRPr="00F82A0C" w:rsidRDefault="0052147D" w:rsidP="0052147D">
      <w:pPr>
        <w:spacing w:line="480" w:lineRule="auto"/>
        <w:rPr>
          <w:rFonts w:ascii="Arial" w:eastAsia="Arial" w:hAnsi="Arial" w:cs="Arial"/>
          <w:b/>
          <w:bCs/>
          <w:color w:val="000000" w:themeColor="text1"/>
          <w:kern w:val="0"/>
        </w:rPr>
      </w:pPr>
      <w:r w:rsidRPr="00F82A0C">
        <w:rPr>
          <w:rFonts w:ascii="Arial" w:eastAsia="Arial" w:hAnsi="Arial" w:cs="Arial"/>
          <w:b/>
          <w:bCs/>
          <w:color w:val="000000" w:themeColor="text1"/>
          <w:kern w:val="0"/>
        </w:rPr>
        <w:t>Supplementary Fig. 7 Flow cytometry gating strategy to analyze PBMCs co-cultured with mRNA-LNP-transfected fibroblasts</w:t>
      </w:r>
    </w:p>
    <w:p w14:paraId="14DF7823" w14:textId="77777777" w:rsidR="0052147D" w:rsidRPr="00F82A0C" w:rsidRDefault="0052147D" w:rsidP="0052147D">
      <w:pPr>
        <w:spacing w:line="480" w:lineRule="auto"/>
        <w:rPr>
          <w:rFonts w:ascii="Arial" w:eastAsia="Arial" w:hAnsi="Arial" w:cs="Arial"/>
          <w:color w:val="000000" w:themeColor="text1"/>
          <w:kern w:val="0"/>
        </w:rPr>
      </w:pPr>
      <w:r w:rsidRPr="00F82A0C">
        <w:rPr>
          <w:rFonts w:ascii="Arial" w:eastAsia="Arial" w:hAnsi="Arial" w:cs="Arial"/>
          <w:color w:val="000000" w:themeColor="text1"/>
          <w:kern w:val="0"/>
        </w:rPr>
        <w:t>PBMCs were sequentially gated based on FSC-A/SSC-A, singlets, live cells, and CD45⁺ events. T cells were identified as CD3⁺ cells, with CD4⁺ and CD8⁺ subsets further defined. CD69 expression was assessed on CD4⁺ T cells as a measure of activation.</w:t>
      </w:r>
    </w:p>
    <w:p w14:paraId="5C108758" w14:textId="77777777" w:rsidR="0052147D" w:rsidRPr="00F82A0C" w:rsidRDefault="0052147D" w:rsidP="0052147D">
      <w:pPr>
        <w:spacing w:line="480" w:lineRule="auto"/>
        <w:rPr>
          <w:rFonts w:ascii="Arial" w:eastAsia="Arial" w:hAnsi="Arial" w:cs="Arial"/>
          <w:b/>
          <w:bCs/>
          <w:color w:val="000000" w:themeColor="text1"/>
        </w:rPr>
      </w:pPr>
    </w:p>
    <w:p w14:paraId="01251064" w14:textId="77777777" w:rsidR="0052147D" w:rsidRPr="00F82A0C" w:rsidRDefault="0052147D" w:rsidP="0052147D">
      <w:pPr>
        <w:spacing w:line="480" w:lineRule="auto"/>
        <w:rPr>
          <w:rFonts w:ascii="Arial" w:eastAsia="Arial" w:hAnsi="Arial" w:cs="Arial"/>
          <w:b/>
          <w:bCs/>
          <w:color w:val="000000" w:themeColor="text1"/>
        </w:rPr>
      </w:pPr>
      <w:r w:rsidRPr="00F82A0C">
        <w:rPr>
          <w:rFonts w:ascii="Arial" w:eastAsia="Arial" w:hAnsi="Arial" w:cs="Arial"/>
          <w:b/>
          <w:bCs/>
          <w:color w:val="000000" w:themeColor="text1"/>
        </w:rPr>
        <w:t>Supplementary Fig. 8 Immunopeptidomics profiling of H3 antigen bound MHC-II complexes.</w:t>
      </w:r>
    </w:p>
    <w:p w14:paraId="05F28281" w14:textId="77777777" w:rsidR="0052147D" w:rsidRPr="00F82A0C" w:rsidRDefault="0052147D" w:rsidP="0052147D">
      <w:pPr>
        <w:spacing w:line="480" w:lineRule="auto"/>
        <w:rPr>
          <w:rFonts w:ascii="Arial" w:eastAsia="Arial" w:hAnsi="Arial" w:cs="Arial"/>
        </w:rPr>
      </w:pPr>
      <w:r w:rsidRPr="00F82A0C">
        <w:rPr>
          <w:rFonts w:ascii="Arial" w:eastAsia="Arial" w:hAnsi="Arial" w:cs="Arial"/>
          <w:color w:val="000000" w:themeColor="text1"/>
        </w:rPr>
        <w:t>(</w:t>
      </w:r>
      <w:r w:rsidRPr="00F82A0C">
        <w:rPr>
          <w:rFonts w:ascii="Arial" w:eastAsia="Arial" w:hAnsi="Arial" w:cs="Arial"/>
          <w:b/>
          <w:bCs/>
          <w:color w:val="000000" w:themeColor="text1"/>
        </w:rPr>
        <w:t>A</w:t>
      </w:r>
      <w:r w:rsidRPr="00F82A0C">
        <w:rPr>
          <w:rFonts w:ascii="Arial" w:eastAsia="Arial" w:hAnsi="Arial" w:cs="Arial"/>
          <w:color w:val="000000" w:themeColor="text1"/>
        </w:rPr>
        <w:t>) Total of 1,807 mouse peptides were quantified (blue) and 12 H3 immunopeptides (red) were quantified across all samples. (</w:t>
      </w:r>
      <w:r w:rsidRPr="00F82A0C">
        <w:rPr>
          <w:rFonts w:ascii="Arial" w:eastAsia="Arial" w:hAnsi="Arial" w:cs="Arial"/>
          <w:b/>
          <w:bCs/>
          <w:color w:val="000000" w:themeColor="text1"/>
        </w:rPr>
        <w:t>B</w:t>
      </w:r>
      <w:r w:rsidRPr="00F82A0C">
        <w:rPr>
          <w:rFonts w:ascii="Arial" w:eastAsia="Arial" w:hAnsi="Arial" w:cs="Arial"/>
          <w:color w:val="000000" w:themeColor="text1"/>
        </w:rPr>
        <w:t xml:space="preserve">) Unsupervised clustering of 1,807 MHC </w:t>
      </w:r>
      <w:r w:rsidRPr="00F82A0C">
        <w:rPr>
          <w:rFonts w:ascii="Arial" w:eastAsia="Arial" w:hAnsi="Arial" w:cs="Arial"/>
          <w:color w:val="000000" w:themeColor="text1"/>
        </w:rPr>
        <w:lastRenderedPageBreak/>
        <w:t>class II associated immunopeptide LC-MS intensities using Manhattan distance measure using log2-transformed peptide intensities. (</w:t>
      </w:r>
      <w:r w:rsidRPr="00F82A0C">
        <w:rPr>
          <w:rFonts w:ascii="Arial" w:eastAsia="Arial" w:hAnsi="Arial" w:cs="Arial"/>
          <w:b/>
          <w:bCs/>
          <w:color w:val="000000" w:themeColor="text1"/>
        </w:rPr>
        <w:t>C</w:t>
      </w:r>
      <w:r w:rsidRPr="00F82A0C">
        <w:rPr>
          <w:rFonts w:ascii="Arial" w:eastAsia="Arial" w:hAnsi="Arial" w:cs="Arial"/>
          <w:color w:val="000000" w:themeColor="text1"/>
        </w:rPr>
        <w:t>) Volcano plots comparing quantifiable peptides between SM-102 and LNP1 transfected cells. Data represent mean ± SEM from 3 independent experiments.</w:t>
      </w:r>
    </w:p>
    <w:p w14:paraId="43854EDA" w14:textId="77777777" w:rsidR="0052147D" w:rsidRPr="00F82A0C" w:rsidRDefault="0052147D" w:rsidP="0052147D">
      <w:pPr>
        <w:spacing w:line="480" w:lineRule="auto"/>
        <w:rPr>
          <w:rFonts w:ascii="Arial" w:eastAsia="Arial" w:hAnsi="Arial" w:cs="Arial"/>
          <w:color w:val="000000" w:themeColor="text1"/>
          <w:kern w:val="0"/>
        </w:rPr>
      </w:pPr>
    </w:p>
    <w:p w14:paraId="6C2EEB2D" w14:textId="77777777" w:rsidR="0052147D" w:rsidRPr="00F82A0C" w:rsidRDefault="0052147D" w:rsidP="0052147D">
      <w:pPr>
        <w:spacing w:line="480" w:lineRule="auto"/>
        <w:rPr>
          <w:rFonts w:ascii="Arial" w:eastAsia="Arial" w:hAnsi="Arial" w:cs="Arial"/>
          <w:b/>
          <w:bCs/>
          <w:color w:val="000000" w:themeColor="text1"/>
          <w:kern w:val="0"/>
        </w:rPr>
      </w:pPr>
      <w:r w:rsidRPr="00F82A0C">
        <w:rPr>
          <w:rFonts w:ascii="Arial" w:eastAsia="Arial" w:hAnsi="Arial" w:cs="Arial"/>
          <w:b/>
          <w:bCs/>
          <w:color w:val="000000" w:themeColor="text1"/>
          <w:kern w:val="0"/>
        </w:rPr>
        <w:t>Supplementary Table 1. Characteristics of mRNA-LNPs used in the study</w:t>
      </w:r>
    </w:p>
    <w:p w14:paraId="5F01001A" w14:textId="77777777" w:rsidR="0052147D" w:rsidRPr="00806918" w:rsidRDefault="0052147D" w:rsidP="0052147D">
      <w:pPr>
        <w:spacing w:line="480" w:lineRule="auto"/>
        <w:rPr>
          <w:rFonts w:ascii="Arial" w:eastAsia="Arial" w:hAnsi="Arial" w:cs="Arial"/>
          <w:color w:val="000000" w:themeColor="text1"/>
          <w:kern w:val="0"/>
        </w:rPr>
      </w:pPr>
      <w:r w:rsidRPr="00F82A0C">
        <w:rPr>
          <w:rFonts w:ascii="Arial" w:eastAsia="Arial" w:hAnsi="Arial" w:cs="Arial"/>
          <w:color w:val="000000" w:themeColor="text1"/>
          <w:kern w:val="0"/>
        </w:rPr>
        <w:t>Size, polydispersity index (PDI), encapsulation efficiency, and lipid composition are shown for each formulation. Batch 1 formulations were used for the data presented in Figures 1-3, whereas batch 2 formulations were used for subsequent in vivo studies and in vitro experiments.</w:t>
      </w:r>
    </w:p>
    <w:p w14:paraId="446DCEDF" w14:textId="77777777" w:rsidR="0052147D" w:rsidRPr="00806918" w:rsidRDefault="0052147D" w:rsidP="0052147D">
      <w:pPr>
        <w:spacing w:line="480" w:lineRule="auto"/>
        <w:rPr>
          <w:rFonts w:ascii="Arial" w:eastAsia="Arial" w:hAnsi="Arial" w:cs="Arial"/>
          <w:color w:val="000000" w:themeColor="text1"/>
          <w:kern w:val="0"/>
        </w:rPr>
      </w:pPr>
    </w:p>
    <w:p w14:paraId="43475D0A" w14:textId="77777777" w:rsidR="008B07A6" w:rsidRDefault="008B07A6"/>
    <w:sectPr w:rsidR="008B07A6" w:rsidSect="0052147D">
      <w:headerReference w:type="even" r:id="rId4"/>
      <w:headerReference w:type="default" r:id="rId5"/>
      <w:headerReference w:type="first" r:id="rId6"/>
      <w:pgSz w:w="11900" w:h="16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60A4B" w14:textId="77777777" w:rsidR="0052147D" w:rsidRDefault="005214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F2A34" w14:textId="77777777" w:rsidR="0052147D" w:rsidRDefault="005214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40421" w14:textId="77777777" w:rsidR="0052147D" w:rsidRDefault="005214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47D"/>
    <w:rsid w:val="00066677"/>
    <w:rsid w:val="00153A17"/>
    <w:rsid w:val="001A37F3"/>
    <w:rsid w:val="003A4E89"/>
    <w:rsid w:val="004723C5"/>
    <w:rsid w:val="0052147D"/>
    <w:rsid w:val="00556784"/>
    <w:rsid w:val="008B07A6"/>
    <w:rsid w:val="0097029A"/>
    <w:rsid w:val="00987B63"/>
    <w:rsid w:val="00990454"/>
    <w:rsid w:val="00A234E6"/>
    <w:rsid w:val="00BF13F9"/>
    <w:rsid w:val="00CE738E"/>
    <w:rsid w:val="00D31E7D"/>
    <w:rsid w:val="00F5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92CA9"/>
  <w15:chartTrackingRefBased/>
  <w15:docId w15:val="{8592FE47-7E1E-487C-98BC-81E5403FC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47D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14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14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14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14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14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4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4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4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4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4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14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14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14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14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4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4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4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4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14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14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4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14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147D"/>
    <w:pPr>
      <w:spacing w:before="160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14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147D"/>
    <w:pPr>
      <w:ind w:left="720"/>
      <w:contextualSpacing/>
    </w:pPr>
    <w:rPr>
      <w:rFonts w:eastAsiaTheme="minorHAnsi"/>
    </w:rPr>
  </w:style>
  <w:style w:type="character" w:styleId="IntenseEmphasis">
    <w:name w:val="Intense Emphasis"/>
    <w:basedOn w:val="DefaultParagraphFont"/>
    <w:uiPriority w:val="21"/>
    <w:qFormat/>
    <w:rsid w:val="005214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4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4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147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21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47D"/>
    <w:rPr>
      <w:rFonts w:eastAsiaTheme="minorEastAsia"/>
    </w:rPr>
  </w:style>
  <w:style w:type="character" w:styleId="LineNumber">
    <w:name w:val="line number"/>
    <w:basedOn w:val="DefaultParagraphFont"/>
    <w:uiPriority w:val="99"/>
    <w:semiHidden/>
    <w:unhideWhenUsed/>
    <w:rsid w:val="005214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745</Words>
  <Characters>4249</Characters>
  <Application>Microsoft Office Word</Application>
  <DocSecurity>0</DocSecurity>
  <Lines>35</Lines>
  <Paragraphs>9</Paragraphs>
  <ScaleCrop>false</ScaleCrop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2026-08-28T14:24:00Z</dcterms:created>
  <dcterms:modified xsi:type="dcterms:W3CDTF">2026-08-28T14:24:00Z</dcterms:modified>
</cp:coreProperties>
</file>