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765D" w14:textId="5BBB46D4" w:rsidR="00181AF0" w:rsidRDefault="00A772C6" w:rsidP="00A772C6">
      <w:pPr>
        <w:jc w:val="center"/>
      </w:pPr>
      <w:r>
        <w:t>GRIPP2 Checklist - Longform</w:t>
      </w:r>
    </w:p>
    <w:p w14:paraId="7E8368E5" w14:textId="77777777" w:rsidR="00A772C6" w:rsidRDefault="00A772C6"/>
    <w:tbl>
      <w:tblPr>
        <w:tblW w:w="0" w:type="auto"/>
        <w:tblLook w:val="06A0" w:firstRow="1" w:lastRow="0" w:firstColumn="1" w:lastColumn="0" w:noHBand="1" w:noVBand="1"/>
      </w:tblPr>
      <w:tblGrid>
        <w:gridCol w:w="3235"/>
        <w:gridCol w:w="4573"/>
        <w:gridCol w:w="1198"/>
      </w:tblGrid>
      <w:tr w:rsidR="00A772C6" w14:paraId="4061C07A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5D5D5"/>
              <w:left w:val="single" w:sz="8" w:space="0" w:color="D5D5D5"/>
              <w:bottom w:val="single" w:sz="12" w:space="0" w:color="01324B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7D06F6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b/>
                <w:bCs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>Section and topic</w:t>
            </w:r>
          </w:p>
        </w:tc>
        <w:tc>
          <w:tcPr>
            <w:tcW w:w="4854" w:type="dxa"/>
            <w:tcBorders>
              <w:top w:val="single" w:sz="8" w:space="0" w:color="D5D5D5"/>
              <w:left w:val="single" w:sz="8" w:space="0" w:color="D5D5D5"/>
              <w:bottom w:val="single" w:sz="12" w:space="0" w:color="01324B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F80D206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b/>
                <w:bCs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>Item</w:t>
            </w:r>
          </w:p>
        </w:tc>
        <w:tc>
          <w:tcPr>
            <w:tcW w:w="1226" w:type="dxa"/>
            <w:tcBorders>
              <w:top w:val="single" w:sz="8" w:space="0" w:color="D5D5D5"/>
              <w:left w:val="single" w:sz="8" w:space="0" w:color="D5D5D5"/>
              <w:bottom w:val="single" w:sz="12" w:space="0" w:color="01324B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C061508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b/>
                <w:bCs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>Reported on page No</w:t>
            </w:r>
          </w:p>
        </w:tc>
      </w:tr>
      <w:tr w:rsidR="00A772C6" w14:paraId="0D134361" w14:textId="77777777" w:rsidTr="00D165D3">
        <w:trPr>
          <w:trHeight w:val="315"/>
        </w:trPr>
        <w:tc>
          <w:tcPr>
            <w:tcW w:w="9471" w:type="dxa"/>
            <w:gridSpan w:val="3"/>
            <w:tcBorders>
              <w:top w:val="single" w:sz="12" w:space="0" w:color="01324B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21E9CE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1: Abstract of paper</w:t>
            </w:r>
          </w:p>
        </w:tc>
      </w:tr>
      <w:tr w:rsidR="00A772C6" w14:paraId="2C0C42F7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70C94EA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 1a: Aim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6B7CEC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To co-produce Community Areas of Research Interest (C-ARI) with residents across Bradford District and integrate community priorities into the development of local authority Areas of Research Interest (ARIs).</w:t>
            </w:r>
          </w:p>
          <w:p w14:paraId="64A427B3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893E030" w14:textId="009B1412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1, 2</w:t>
            </w:r>
          </w:p>
        </w:tc>
      </w:tr>
      <w:tr w:rsidR="00A772C6" w14:paraId="39C6AF49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71DA0A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 1b: Methods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75F3EF9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Community members were involved through ten constituency-based workshops and a subsequent Question Generating Session (QGS). Public Contributors were recruited and trained to facilitate participation, support engagement and bring local knowledge to the process</w:t>
            </w:r>
          </w:p>
          <w:p w14:paraId="5BFFB803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C4337F5" w14:textId="585DAE36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2</w:t>
            </w:r>
          </w:p>
        </w:tc>
      </w:tr>
      <w:tr w:rsidR="00A772C6" w14:paraId="52653966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63F51F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 1c: Results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56E6BB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Community involvement identified priority areas including crime and safety, cost of living and access to education. Thirty community-driven research questions were generated and incorporated alongside local authority priorities to create district-level ARIs.</w:t>
            </w:r>
          </w:p>
          <w:p w14:paraId="13DE4F9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29FAAB8" w14:textId="71F81DE5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2, 3</w:t>
            </w:r>
          </w:p>
        </w:tc>
      </w:tr>
      <w:tr w:rsidR="00A772C6" w14:paraId="63251D6C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057CEC1" w14:textId="569FDC7E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 1d: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Conclusions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3A38DA5" w14:textId="77777777" w:rsidR="00A772C6" w:rsidRDefault="00A772C6" w:rsidP="00D165D3">
            <w:pPr>
              <w:spacing w:after="0"/>
            </w:pPr>
            <w:r w:rsidRPr="66C45C13">
              <w:rPr>
                <w:rFonts w:ascii="Arial" w:eastAsia="Arial" w:hAnsi="Arial" w:cs="Arial"/>
                <w:color w:val="222222"/>
                <w:sz w:val="20"/>
                <w:szCs w:val="20"/>
              </w:rPr>
              <w:t>Summarise the main conclusions of the study</w:t>
            </w:r>
          </w:p>
          <w:p w14:paraId="047DAA05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Meaningful community involvement can be embedded within ARI development, enabling community, policy and research priorities to be aligned for greater relevance and potential impact.</w:t>
            </w:r>
          </w:p>
          <w:p w14:paraId="63F0225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E6210A4" w14:textId="4DDAA2D1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3</w:t>
            </w:r>
          </w:p>
        </w:tc>
      </w:tr>
      <w:tr w:rsidR="00A772C6" w14:paraId="7D578134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E69AC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 1e: Keywords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0CA401D" w14:textId="3B006E0A" w:rsidR="00A772C6" w:rsidRDefault="002A0811" w:rsidP="00D165D3">
            <w:pPr>
              <w:spacing w:after="0" w:line="300" w:lineRule="auto"/>
            </w:pPr>
            <w:r w:rsidRPr="002A0811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Community Areas Research Interest; Coproduction; Participatory methods; Evidence informed policy; P</w:t>
            </w:r>
            <w:r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ublic Contributors</w:t>
            </w:r>
          </w:p>
          <w:p w14:paraId="6A0A457D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718CC0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</w:p>
        </w:tc>
      </w:tr>
      <w:tr w:rsidR="00A772C6" w14:paraId="489DAA77" w14:textId="77777777" w:rsidTr="00D165D3">
        <w:trPr>
          <w:trHeight w:val="555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049A3C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2: Background to paper</w:t>
            </w:r>
          </w:p>
        </w:tc>
      </w:tr>
      <w:tr w:rsidR="00A772C6" w14:paraId="1B06F74C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3A179AF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 2a: Definition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0202F70" w14:textId="21229030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PPI/public involvement w</w:t>
            </w:r>
            <w:r w:rsidR="002A0811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as</w:t>
            </w: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 active partnership with community members in identifying, prioritising and shaping research interests rather </w:t>
            </w: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lastRenderedPageBreak/>
              <w:t>than participation as research subjects</w:t>
            </w:r>
            <w:r w:rsidR="002A0811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 as well as working with Public Contributors as equal team members.</w:t>
            </w:r>
          </w:p>
          <w:p w14:paraId="6DC8884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1209BD4" w14:textId="76A5799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lastRenderedPageBreak/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10, 11</w:t>
            </w:r>
          </w:p>
        </w:tc>
      </w:tr>
      <w:tr w:rsidR="00A772C6" w14:paraId="4FE854DA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549EBEF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 2b: Theoretical underpinnings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6337280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study was informed by principles of co-production, community-centred approaches and participatory decision-making, recognising communities as equal partners in research agenda setting.</w:t>
            </w: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EBC7BDA" w14:textId="446E175E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4, 5, 8</w:t>
            </w:r>
          </w:p>
        </w:tc>
      </w:tr>
      <w:tr w:rsidR="00A772C6" w14:paraId="6D71EC9E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0C1660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 2c: Concepts and theory development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9FEA7B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study draws on ARI methodology and extends it by incorporating community-generated priorities into a shared policy-research interface framework.</w:t>
            </w:r>
          </w:p>
          <w:p w14:paraId="01F334DF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  <w:p w14:paraId="6A400DB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65B73B0" w14:textId="25AA2511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2A0811">
              <w:rPr>
                <w:rFonts w:ascii="Arial" w:eastAsia="Arial" w:hAnsi="Arial" w:cs="Arial"/>
                <w:color w:val="222222"/>
                <w:sz w:val="20"/>
                <w:szCs w:val="20"/>
              </w:rPr>
              <w:t>7,8</w:t>
            </w:r>
          </w:p>
        </w:tc>
      </w:tr>
      <w:tr w:rsidR="00A772C6" w14:paraId="0665CF9C" w14:textId="77777777" w:rsidTr="00D165D3">
        <w:trPr>
          <w:trHeight w:val="300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68F66C1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3: Aims of paper</w:t>
            </w:r>
          </w:p>
        </w:tc>
      </w:tr>
      <w:tr w:rsidR="00A772C6" w14:paraId="0F9845E6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ADA50D1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 3: Aim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692D39A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To develop and test a co-produced model for integrating community priorities into local authority Areas of Research Interest.</w:t>
            </w:r>
          </w:p>
          <w:p w14:paraId="29CCB9A7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DFAF511" w14:textId="32A816F5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5, 6</w:t>
            </w:r>
          </w:p>
        </w:tc>
      </w:tr>
      <w:tr w:rsidR="00A772C6" w14:paraId="22F48F58" w14:textId="77777777" w:rsidTr="00D165D3">
        <w:trPr>
          <w:trHeight w:val="300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FBE4F4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4: Methods of paper</w:t>
            </w:r>
          </w:p>
        </w:tc>
      </w:tr>
      <w:tr w:rsidR="00A772C6" w14:paraId="0FCE2B4E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B2BE50F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 4a: Design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142BF10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Mixed-methods participatory design involving workshops, ranking exercises, facilitated discussion and a Question Generating Session</w:t>
            </w:r>
          </w:p>
          <w:p w14:paraId="38A8935E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62A4CB9" w14:textId="3155F9CC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9, 10, </w:t>
            </w:r>
          </w:p>
        </w:tc>
      </w:tr>
      <w:tr w:rsidR="00A772C6" w14:paraId="37AFE8A4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35FF77F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 4b: People involved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BF1DCC5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153 residents from Bradford's five constituencies, intentionally including underrepresented communities. Public Contributors from each constituency were recruited and trained to support delivery.</w:t>
            </w:r>
          </w:p>
          <w:p w14:paraId="38AF5AEB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A3FABD5" w14:textId="0A753943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10, 11</w:t>
            </w:r>
          </w:p>
        </w:tc>
      </w:tr>
      <w:tr w:rsidR="00A772C6" w14:paraId="144E1AD5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27CA262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 4c: Stages of involvement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3A6ECA8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Community members informed priority identification, ranking, theme development and co-production of final research questions. Public Contributors were involved in facilitation and engagement activities.</w:t>
            </w:r>
          </w:p>
          <w:p w14:paraId="45D1CB30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C6CC855" w14:textId="5B48B271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10, 11, 14, 15</w:t>
            </w:r>
          </w:p>
        </w:tc>
      </w:tr>
      <w:tr w:rsidR="00A772C6" w14:paraId="2431353C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3680877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 4d: Level or nature of involvement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2922413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Collaborative/co-production approach with communities actively involved in shaping outputs rather than merely being consulted.</w:t>
            </w:r>
          </w:p>
          <w:p w14:paraId="3B7E912B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193F52B" w14:textId="0B6508B8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11,13, 14, 15</w:t>
            </w:r>
          </w:p>
        </w:tc>
      </w:tr>
      <w:tr w:rsidR="00A772C6" w14:paraId="76C284EA" w14:textId="77777777" w:rsidTr="00D165D3">
        <w:trPr>
          <w:trHeight w:val="555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ED404A2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lastRenderedPageBreak/>
              <w:t>Section 5: Capture or measurement of PPI impact</w:t>
            </w:r>
          </w:p>
        </w:tc>
      </w:tr>
      <w:tr w:rsidR="00A772C6" w14:paraId="54E59C7B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720733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 5a: Qualitative evidence of impact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9850820" w14:textId="592CFE1C" w:rsidR="00A772C6" w:rsidRDefault="00A772C6" w:rsidP="00C10055">
            <w:pPr>
              <w:spacing w:after="0" w:line="300" w:lineRule="auto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Field notes captured by public contributors from facilitated discussions were analysed </w:t>
            </w:r>
            <w:r w:rsidR="00C10055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alongside them to ensure accuracy of meaning from workshops.</w:t>
            </w: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957CE7" w14:textId="4C628B01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14, 15, 20</w:t>
            </w:r>
          </w:p>
        </w:tc>
      </w:tr>
      <w:tr w:rsidR="00A772C6" w14:paraId="6E3A7C11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B1108D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 5b: Quantitative evidence of impact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D242B32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Dot voting and diamond ranking exercises produced quantitative prioritisation data which were aggregated across workshops.</w:t>
            </w:r>
          </w:p>
          <w:p w14:paraId="5F99DE0D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CE87E1A" w14:textId="5A46C096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14</w:t>
            </w:r>
          </w:p>
        </w:tc>
      </w:tr>
      <w:tr w:rsidR="00A772C6" w14:paraId="26F7B487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4B6831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 5c: Robustness of measure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E5A6DF4" w14:textId="738E9FA5" w:rsidR="00A772C6" w:rsidRDefault="00A772C6" w:rsidP="00D7609A">
            <w:pPr>
              <w:spacing w:after="0" w:line="300" w:lineRule="auto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Findings were </w:t>
            </w:r>
            <w:r w:rsidR="00C10055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evaluated with public contributors at several stages and community members via the question generating session</w:t>
            </w:r>
            <w:r w:rsid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.</w:t>
            </w: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E38E00A" w14:textId="60ABD31D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C10055">
              <w:rPr>
                <w:rFonts w:ascii="Arial" w:eastAsia="Arial" w:hAnsi="Arial" w:cs="Arial"/>
                <w:color w:val="222222"/>
                <w:sz w:val="20"/>
                <w:szCs w:val="20"/>
              </w:rPr>
              <w:t>20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, 21</w:t>
            </w:r>
          </w:p>
        </w:tc>
      </w:tr>
      <w:tr w:rsidR="00A772C6" w14:paraId="22633519" w14:textId="77777777" w:rsidTr="00D165D3">
        <w:trPr>
          <w:trHeight w:val="555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D5712B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6: Economic assessment</w:t>
            </w:r>
          </w:p>
        </w:tc>
      </w:tr>
      <w:tr w:rsidR="00A772C6" w14:paraId="4E7522BC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2F8B59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 6: Economic assessment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BC84632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No formal economic evaluation of PPI was undertaken.</w:t>
            </w:r>
          </w:p>
          <w:p w14:paraId="4D39EADE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1F4267B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</w:p>
        </w:tc>
      </w:tr>
      <w:tr w:rsidR="00A772C6" w14:paraId="04339644" w14:textId="77777777" w:rsidTr="00D165D3">
        <w:trPr>
          <w:trHeight w:val="300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EC26F4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7: Study results</w:t>
            </w:r>
          </w:p>
        </w:tc>
      </w:tr>
      <w:tr w:rsidR="00A772C6" w14:paraId="226B4FBF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A186D4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 7a: Outcomes of PPI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A7CD0CF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Community priorities were systematically identified and translated into eight research area groups and thirty community-driven research questions</w:t>
            </w:r>
          </w:p>
          <w:p w14:paraId="51637482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F797ADC" w14:textId="0438FC9E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16, 17</w:t>
            </w:r>
          </w:p>
        </w:tc>
      </w:tr>
      <w:tr w:rsidR="00A772C6" w14:paraId="4A165D5A" w14:textId="77777777" w:rsidTr="00D165D3">
        <w:trPr>
          <w:trHeight w:val="57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9DF15C0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 7b: Impacts of PPI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0770137" w14:textId="77777777" w:rsidR="00A772C6" w:rsidRDefault="00A772C6" w:rsidP="00D165D3">
            <w:pPr>
              <w:spacing w:after="0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PPI directly influenced the district research agenda, ensuring that community concerns were incorporated alongside policy priorities. Public Contributors also developed facilitation and leadership skills. No significant adverse impacts were identified.</w:t>
            </w: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0766BE8" w14:textId="5ED9DDBF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20, 21, 22</w:t>
            </w:r>
          </w:p>
        </w:tc>
      </w:tr>
      <w:tr w:rsidR="00A772C6" w14:paraId="086E0EA8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0816C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 7c: Context of PPI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C7659FD" w14:textId="615694A0" w:rsidR="00D7609A" w:rsidRPr="00D7609A" w:rsidRDefault="00A772C6" w:rsidP="00D165D3">
            <w:pPr>
              <w:spacing w:after="0" w:line="300" w:lineRule="auto"/>
              <w:rPr>
                <w:rFonts w:ascii="Segoe UI" w:hAnsi="Segoe UI" w:cs="Segoe UI"/>
                <w:sz w:val="21"/>
                <w:szCs w:val="21"/>
              </w:rPr>
            </w:pPr>
            <w:r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Bradford's HDRC</w:t>
            </w:r>
            <w:r w:rsidR="00D7609A"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 used</w:t>
            </w:r>
            <w:r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 strong </w:t>
            </w:r>
            <w:r w:rsidR="00D7609A"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neighborhood</w:t>
            </w:r>
            <w:r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 partnerships and established community networks enabl</w:t>
            </w:r>
            <w:r w:rsidR="00D7609A"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ing reach</w:t>
            </w:r>
            <w:r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 with diverse and underrepresented populations</w:t>
            </w:r>
            <w:r w:rsidR="00D7609A" w:rsidRPr="00D7609A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 xml:space="preserve">. However, </w:t>
            </w:r>
            <w:r w:rsidR="00D7609A" w:rsidRPr="00D7609A">
              <w:rPr>
                <w:rFonts w:ascii="Segoe UI" w:hAnsi="Segoe UI" w:cs="Segoe UI"/>
                <w:sz w:val="21"/>
                <w:szCs w:val="21"/>
              </w:rPr>
              <w:t xml:space="preserve">the sample size (n=153) provided breadth across constituencies and communities, it cannot capture the full diversity of perspectives within Bradford District. Second, despite the use of a standardised workshop protocol, sessions necessarily varied in pace and emphasis to accommodate language needs, accessibility </w:t>
            </w:r>
            <w:r w:rsidR="00D7609A" w:rsidRPr="00D7609A">
              <w:rPr>
                <w:rFonts w:ascii="Segoe UI" w:hAnsi="Segoe UI" w:cs="Segoe UI"/>
                <w:sz w:val="21"/>
                <w:szCs w:val="21"/>
              </w:rPr>
              <w:lastRenderedPageBreak/>
              <w:t>requirements and group dynamics. Such flexibility is a strength of inclusive practice but poses challenges for methodological uniformity.</w:t>
            </w:r>
          </w:p>
          <w:p w14:paraId="4A03398D" w14:textId="77777777" w:rsidR="00A772C6" w:rsidRPr="00D7609A" w:rsidRDefault="00A772C6" w:rsidP="00D165D3">
            <w:pPr>
              <w:spacing w:after="0"/>
              <w:rPr>
                <w:rFonts w:ascii="Segoe UI" w:eastAsia="Arial" w:hAnsi="Segoe UI" w:cs="Segoe UI"/>
                <w:color w:val="222222"/>
                <w:sz w:val="21"/>
                <w:szCs w:val="21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8C3BE72" w14:textId="2F718384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lastRenderedPageBreak/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21</w:t>
            </w:r>
          </w:p>
        </w:tc>
      </w:tr>
      <w:tr w:rsidR="00A772C6" w14:paraId="01F60F0B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35049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 7d: Process of PPI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31BD664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Use of trained Public Contributors, accessible community venues, local authority neighbourhood teams and structured prioritisation methods facilitated successful involvement.</w:t>
            </w:r>
          </w:p>
          <w:p w14:paraId="6DFC8DB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CD5D26B" w14:textId="4521F715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20, 21</w:t>
            </w:r>
          </w:p>
        </w:tc>
      </w:tr>
      <w:tr w:rsidR="00A772C6" w14:paraId="227380DE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ABC700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 7ei: Theory development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AE051DC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Findings suggest that ARIs can be strengthened through formal integration of community-generated priorities, expanding the conventional ARI model.</w:t>
            </w:r>
          </w:p>
          <w:p w14:paraId="0AB15B8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1115EED" w14:textId="531DC044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22, 23</w:t>
            </w:r>
          </w:p>
        </w:tc>
      </w:tr>
      <w:tr w:rsidR="00A772C6" w14:paraId="79AB2459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423852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 7eii: Theory development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91976FA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study demonstrates the practical application of co-production principles within strategic research agenda setting.</w:t>
            </w:r>
          </w:p>
          <w:p w14:paraId="20F61782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BF0A308" w14:textId="5A59A2AA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22</w:t>
            </w:r>
          </w:p>
        </w:tc>
      </w:tr>
      <w:tr w:rsidR="00A772C6" w14:paraId="5568BF3B" w14:textId="77777777" w:rsidTr="00D165D3">
        <w:trPr>
          <w:trHeight w:val="57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9E5E3F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 7f: Measurement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9270BB" w14:textId="60A8568E" w:rsidR="00A772C6" w:rsidRDefault="00A772C6" w:rsidP="00D165D3">
            <w:pPr>
              <w:spacing w:after="0"/>
            </w:pPr>
          </w:p>
          <w:p w14:paraId="67FB613D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No specific PPI evaluation instrument was used however we met with PCs throughout the process, from workshop planning, delivery, analysis and writeup.</w:t>
            </w: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31CE60EA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</w:p>
        </w:tc>
      </w:tr>
      <w:tr w:rsidR="00A772C6" w14:paraId="710BCF7E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E7D2C8D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 7 g: Economic assessment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592A69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No economic costs or benefits were formally assessed.</w:t>
            </w:r>
          </w:p>
          <w:p w14:paraId="20BCD2AA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6EA9968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</w:p>
        </w:tc>
      </w:tr>
      <w:tr w:rsidR="00A772C6" w14:paraId="1C4B4C50" w14:textId="77777777" w:rsidTr="00D165D3">
        <w:trPr>
          <w:trHeight w:val="555"/>
        </w:trPr>
        <w:tc>
          <w:tcPr>
            <w:tcW w:w="9471" w:type="dxa"/>
            <w:gridSpan w:val="3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241520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Section 8: Discussion and conclusions</w:t>
            </w:r>
          </w:p>
        </w:tc>
      </w:tr>
      <w:tr w:rsidR="00A772C6" w14:paraId="50F968D2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BB4AE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 8a: Outcomes</w:t>
            </w:r>
          </w:p>
        </w:tc>
        <w:tc>
          <w:tcPr>
            <w:tcW w:w="4854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A4E6DA1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Community involvement fundamentally shaped the priorities generated and ensured broader representation within research agenda development</w:t>
            </w:r>
          </w:p>
          <w:p w14:paraId="3DD0A5D6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876CF3F" w14:textId="3C5822A2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18-22</w:t>
            </w:r>
          </w:p>
        </w:tc>
      </w:tr>
      <w:tr w:rsidR="00A772C6" w14:paraId="305C0451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B371E54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 8b: Impacts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56897AA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study contributes new evidence regarding the integration of community priorities into ARIs and offers a replicable model for local authorities and research collaborations.</w:t>
            </w:r>
          </w:p>
          <w:p w14:paraId="688F119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53A3074D" w14:textId="13FAF008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D7609A">
              <w:rPr>
                <w:rFonts w:ascii="Arial" w:eastAsia="Arial" w:hAnsi="Arial" w:cs="Arial"/>
                <w:color w:val="222222"/>
                <w:sz w:val="20"/>
                <w:szCs w:val="20"/>
              </w:rPr>
              <w:t>18-22</w:t>
            </w:r>
          </w:p>
        </w:tc>
      </w:tr>
      <w:tr w:rsidR="00A772C6" w14:paraId="6529C6E3" w14:textId="77777777" w:rsidTr="00D165D3">
        <w:trPr>
          <w:trHeight w:val="57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51E6E1E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lastRenderedPageBreak/>
              <w:t> 8c: Definition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2894FDB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study supports a view of PPI as partnership and co-production rather than consultation alone.</w:t>
            </w:r>
          </w:p>
          <w:p w14:paraId="48C9696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1DDCDB7" w14:textId="4E96F7A5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0C5D52">
              <w:rPr>
                <w:rFonts w:ascii="Arial" w:eastAsia="Arial" w:hAnsi="Arial" w:cs="Arial"/>
                <w:color w:val="222222"/>
                <w:sz w:val="20"/>
                <w:szCs w:val="20"/>
              </w:rPr>
              <w:t>11</w:t>
            </w:r>
          </w:p>
        </w:tc>
      </w:tr>
      <w:tr w:rsidR="00A772C6" w14:paraId="336990BF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EBFD167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 8d: Theoretical underpinnings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327ACAE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paper extends understanding of how co-production can operate within policy-research interface mechanisms such as ARIs</w:t>
            </w:r>
          </w:p>
          <w:p w14:paraId="641876FC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9999158" w14:textId="1AF7293B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0C5D52">
              <w:rPr>
                <w:rFonts w:ascii="Arial" w:eastAsia="Arial" w:hAnsi="Arial" w:cs="Arial"/>
                <w:color w:val="222222"/>
                <w:sz w:val="20"/>
                <w:szCs w:val="20"/>
              </w:rPr>
              <w:t>16-22</w:t>
            </w:r>
          </w:p>
        </w:tc>
      </w:tr>
      <w:tr w:rsidR="00A772C6" w14:paraId="49581433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3E2B691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 8e: Context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33D5EB6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Existing community infrastructure, established trust and HDRC investment were important enablers of meaningful community involvement.</w:t>
            </w:r>
          </w:p>
          <w:p w14:paraId="2467571E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B85DC10" w14:textId="3DF287E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0C5D52">
              <w:rPr>
                <w:rFonts w:ascii="Arial" w:eastAsia="Arial" w:hAnsi="Arial" w:cs="Arial"/>
                <w:color w:val="222222"/>
                <w:sz w:val="20"/>
                <w:szCs w:val="20"/>
              </w:rPr>
              <w:t>10, 11</w:t>
            </w:r>
          </w:p>
        </w:tc>
      </w:tr>
      <w:tr w:rsidR="00A772C6" w14:paraId="3E50CAF3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30BBFD1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 8f: Process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577E65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Training Public Contributors and using participatory prioritisation methods strengthened inclusion, ownership and legitimacy of findings.</w:t>
            </w:r>
          </w:p>
          <w:p w14:paraId="5098D08B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185350C" w14:textId="6FECEC5F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0C5D52">
              <w:rPr>
                <w:rFonts w:ascii="Arial" w:eastAsia="Arial" w:hAnsi="Arial" w:cs="Arial"/>
                <w:color w:val="222222"/>
                <w:sz w:val="20"/>
                <w:szCs w:val="20"/>
              </w:rPr>
              <w:t>11</w:t>
            </w:r>
          </w:p>
        </w:tc>
      </w:tr>
      <w:tr w:rsidR="00A772C6" w14:paraId="7D8311FE" w14:textId="77777777" w:rsidTr="00D165D3">
        <w:trPr>
          <w:trHeight w:val="30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C86B1F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 g: Measurement and capture of PPI impact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087B27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PPI impact was evidenced through the resulting priorities and research questions; however, no dedicated PPI evaluation framework was applied.</w:t>
            </w:r>
          </w:p>
          <w:p w14:paraId="12696A3A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711CEB7D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</w:p>
        </w:tc>
      </w:tr>
      <w:tr w:rsidR="00A772C6" w14:paraId="1F1FB730" w14:textId="77777777" w:rsidTr="00D165D3">
        <w:trPr>
          <w:trHeight w:val="57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56399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 h: Economic assessment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A94139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Future studies could examine the costs and benefits of co-produced ARI development compared with traditional approaches.</w:t>
            </w:r>
          </w:p>
          <w:p w14:paraId="2637DE55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ADADA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8592650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</w:p>
        </w:tc>
      </w:tr>
      <w:tr w:rsidR="00A772C6" w14:paraId="7BAFF87D" w14:textId="77777777" w:rsidTr="00D165D3">
        <w:trPr>
          <w:trHeight w:val="570"/>
        </w:trPr>
        <w:tc>
          <w:tcPr>
            <w:tcW w:w="3391" w:type="dxa"/>
            <w:tcBorders>
              <w:top w:val="single" w:sz="8" w:space="0" w:color="DADADA"/>
              <w:left w:val="single" w:sz="8" w:space="0" w:color="D5D5D5"/>
              <w:bottom w:val="single" w:sz="8" w:space="0" w:color="D5D5D5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EC36409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> 8i: Reflections/critical perspective</w:t>
            </w:r>
          </w:p>
        </w:tc>
        <w:tc>
          <w:tcPr>
            <w:tcW w:w="4854" w:type="dxa"/>
            <w:tcBorders>
              <w:top w:val="single" w:sz="8" w:space="0" w:color="DADADA"/>
              <w:left w:val="single" w:sz="8" w:space="0" w:color="D5D5D5"/>
              <w:bottom w:val="single" w:sz="8" w:space="0" w:color="D5D5D5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DC15D97" w14:textId="77777777" w:rsidR="00A772C6" w:rsidRDefault="00A772C6" w:rsidP="00D165D3">
            <w:pPr>
              <w:spacing w:after="0" w:line="300" w:lineRule="auto"/>
            </w:pPr>
            <w:r w:rsidRPr="66C45C13">
              <w:rPr>
                <w:rFonts w:ascii="Segoe UI" w:eastAsia="Segoe UI" w:hAnsi="Segoe UI" w:cs="Segoe UI"/>
                <w:sz w:val="21"/>
                <w:szCs w:val="21"/>
                <w:lang w:val="en-US"/>
              </w:rPr>
              <w:t>The study demonstrates the feasibility of integrating community priorities into ARI development. Future work should explore long-term impacts on research commissioning, implementation and outcomes, and further evaluate the experiences of public contributors and participants.</w:t>
            </w:r>
          </w:p>
          <w:p w14:paraId="4E302652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8" w:space="0" w:color="DADADA"/>
              <w:left w:val="single" w:sz="8" w:space="0" w:color="D5D5D5"/>
              <w:bottom w:val="single" w:sz="8" w:space="0" w:color="D5D5D5"/>
              <w:right w:val="single" w:sz="8" w:space="0" w:color="D5D5D5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283B0809" w14:textId="2FC3964C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18"/>
                <w:szCs w:val="18"/>
              </w:rPr>
            </w:pP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</w:t>
            </w:r>
            <w:r w:rsidR="000C5D52">
              <w:rPr>
                <w:rFonts w:ascii="Arial" w:eastAsia="Arial" w:hAnsi="Arial" w:cs="Arial"/>
                <w:color w:val="222222"/>
                <w:sz w:val="20"/>
                <w:szCs w:val="20"/>
              </w:rPr>
              <w:t>18-23</w:t>
            </w:r>
          </w:p>
        </w:tc>
      </w:tr>
      <w:tr w:rsidR="00A772C6" w14:paraId="113E0816" w14:textId="77777777" w:rsidTr="00D165D3">
        <w:trPr>
          <w:trHeight w:val="525"/>
        </w:trPr>
        <w:tc>
          <w:tcPr>
            <w:tcW w:w="3391" w:type="dxa"/>
            <w:tcBorders>
              <w:top w:val="single" w:sz="8" w:space="0" w:color="D5D5D5"/>
              <w:left w:val="nil"/>
              <w:bottom w:val="nil"/>
              <w:right w:val="nil"/>
            </w:tcBorders>
            <w:tcMar>
              <w:top w:w="15" w:type="dxa"/>
              <w:left w:w="180" w:type="dxa"/>
              <w:right w:w="15" w:type="dxa"/>
            </w:tcMar>
            <w:vAlign w:val="center"/>
          </w:tcPr>
          <w:p w14:paraId="28DCCE98" w14:textId="77777777" w:rsidR="00A772C6" w:rsidRDefault="00A772C6" w:rsidP="00D165D3">
            <w:pPr>
              <w:spacing w:after="0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 w:rsidRPr="3681B092">
              <w:rPr>
                <w:rFonts w:ascii="Arial" w:eastAsia="Arial" w:hAnsi="Arial" w:cs="Arial"/>
                <w:i/>
                <w:iCs/>
                <w:color w:val="222222"/>
                <w:sz w:val="20"/>
                <w:szCs w:val="20"/>
              </w:rPr>
              <w:t>PPI</w:t>
            </w:r>
            <w:r w:rsidRPr="3681B092">
              <w:rPr>
                <w:rFonts w:ascii="Arial" w:eastAsia="Arial" w:hAnsi="Arial" w:cs="Arial"/>
                <w:color w:val="222222"/>
                <w:sz w:val="20"/>
                <w:szCs w:val="20"/>
              </w:rPr>
              <w:t xml:space="preserve"> patient and public involvement</w:t>
            </w:r>
          </w:p>
        </w:tc>
        <w:tc>
          <w:tcPr>
            <w:tcW w:w="4854" w:type="dxa"/>
            <w:tcBorders>
              <w:top w:val="single" w:sz="8" w:space="0" w:color="D5D5D5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EE685F" w14:textId="77777777" w:rsidR="00A772C6" w:rsidRDefault="00A772C6" w:rsidP="00D165D3">
            <w:pPr>
              <w:rPr>
                <w:rFonts w:ascii="Arial" w:eastAsia="Arial" w:hAnsi="Arial" w:cs="Arial"/>
              </w:rPr>
            </w:pPr>
          </w:p>
        </w:tc>
        <w:tc>
          <w:tcPr>
            <w:tcW w:w="1226" w:type="dxa"/>
            <w:tcBorders>
              <w:top w:val="single" w:sz="8" w:space="0" w:color="D5D5D5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6E579" w14:textId="77777777" w:rsidR="00A772C6" w:rsidRDefault="00A772C6" w:rsidP="00D165D3"/>
        </w:tc>
      </w:tr>
    </w:tbl>
    <w:p w14:paraId="7124B693" w14:textId="77777777" w:rsidR="00A772C6" w:rsidRDefault="00A772C6"/>
    <w:sectPr w:rsidR="00A77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EE"/>
    <w:rsid w:val="000C5D52"/>
    <w:rsid w:val="00181AF0"/>
    <w:rsid w:val="001B7C82"/>
    <w:rsid w:val="001D545D"/>
    <w:rsid w:val="002A0811"/>
    <w:rsid w:val="005B3FF3"/>
    <w:rsid w:val="008F21D2"/>
    <w:rsid w:val="00A772C6"/>
    <w:rsid w:val="00B21BEE"/>
    <w:rsid w:val="00C10055"/>
    <w:rsid w:val="00CD242C"/>
    <w:rsid w:val="00D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8078"/>
  <w15:chartTrackingRefBased/>
  <w15:docId w15:val="{53A51A81-8C14-4A7A-B220-B604CB1C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B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B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B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B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B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Bradford Metropolitan Council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Shabana Din</dc:creator>
  <cp:keywords/>
  <dc:description/>
  <cp:lastModifiedBy>Shabana Din</cp:lastModifiedBy>
  <cp:revision>3</cp:revision>
  <dcterms:created xsi:type="dcterms:W3CDTF">2026-08-07T14:43:00Z</dcterms:created>
  <dcterms:modified xsi:type="dcterms:W3CDTF">2026-08-07T15:17:00Z</dcterms:modified>
</cp:coreProperties>
</file>