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D55FE" w14:textId="77777777" w:rsidR="00F37D53" w:rsidRDefault="00F37D53" w:rsidP="00F37D53">
      <w:pPr>
        <w:spacing w:after="0" w:line="240" w:lineRule="auto"/>
        <w:jc w:val="both"/>
        <w:rPr>
          <w:rFonts w:ascii="Times New Roman" w:eastAsia="Calibri" w:hAnsi="Times New Roman" w:cs="Times New Roman"/>
          <w:b/>
          <w:bCs/>
          <w:color w:val="000000" w:themeColor="text1"/>
          <w:lang w:val="en-US"/>
        </w:rPr>
      </w:pPr>
      <w:r w:rsidRPr="0009404C">
        <w:rPr>
          <w:rFonts w:ascii="Times New Roman" w:eastAsia="Calibri" w:hAnsi="Times New Roman" w:cs="Times New Roman"/>
          <w:b/>
          <w:bCs/>
          <w:color w:val="000000" w:themeColor="text1"/>
          <w:lang w:val="en-US"/>
        </w:rPr>
        <w:t>Supplementary results</w:t>
      </w:r>
    </w:p>
    <w:p w14:paraId="0CB5EAD2" w14:textId="77777777" w:rsidR="00720EB5" w:rsidRPr="0009404C" w:rsidRDefault="00720EB5" w:rsidP="00F37D53">
      <w:pPr>
        <w:spacing w:after="0" w:line="240" w:lineRule="auto"/>
        <w:jc w:val="both"/>
        <w:rPr>
          <w:rFonts w:ascii="Times New Roman" w:eastAsia="Calibri" w:hAnsi="Times New Roman" w:cs="Times New Roman"/>
          <w:color w:val="000000" w:themeColor="text1"/>
          <w:lang w:val="en-US"/>
        </w:rPr>
      </w:pPr>
    </w:p>
    <w:p w14:paraId="0A98DDC6" w14:textId="5F49078A" w:rsidR="00F37D53" w:rsidRPr="0009404C" w:rsidRDefault="00F37D53" w:rsidP="00F37D53">
      <w:pPr>
        <w:spacing w:after="0" w:line="240" w:lineRule="auto"/>
        <w:jc w:val="both"/>
        <w:rPr>
          <w:rFonts w:ascii="Times New Roman" w:eastAsia="Times New Roman" w:hAnsi="Times New Roman" w:cs="Times New Roman"/>
          <w:color w:val="000000" w:themeColor="text1"/>
          <w:kern w:val="0"/>
          <w:lang w:val="en-GB" w:eastAsia="ca-ES"/>
          <w14:ligatures w14:val="none"/>
        </w:rPr>
      </w:pPr>
      <w:r w:rsidRPr="0009404C">
        <w:rPr>
          <w:rFonts w:ascii="Times New Roman" w:eastAsia="Calibri" w:hAnsi="Times New Roman" w:cs="Times New Roman"/>
          <w:color w:val="000000" w:themeColor="text1"/>
          <w:lang w:val="en-GB"/>
        </w:rPr>
        <w:t xml:space="preserve">This section focuses on the decomposition of the significant Condition × ROI interaction observed in the main statistical model, indicating condition-specific differences in the spatial distribution of the 2 Hz rhythmic response across ROIs. The main effects of Condition and ROI, as well as all Group-related effects, are fully described in the main text. To decompose the Condition × ROI interaction, post hoc comparisons were performed in which z-scored spectral power at 2 Hz was compared across ROIs within each condition. These results are presented in Supplementary Table 1. </w:t>
      </w:r>
      <w:r w:rsidRPr="0009404C">
        <w:rPr>
          <w:rFonts w:ascii="Times New Roman" w:eastAsia="Times New Roman" w:hAnsi="Times New Roman" w:cs="Times New Roman"/>
          <w:color w:val="000000" w:themeColor="text1"/>
          <w:kern w:val="0"/>
          <w:lang w:val="en-GB" w:eastAsia="ca-ES"/>
          <w14:ligatures w14:val="none"/>
        </w:rPr>
        <w:t xml:space="preserve">Specifically, in the auditory condition, 2 Hz activity was significantly higher in both the sensorimotor and temporal ROIs compared to the occipital ROI, whereas no significant differences were observed between the sensorimotor and temporal regions. </w:t>
      </w:r>
      <w:r w:rsidRPr="0009404C">
        <w:rPr>
          <w:rFonts w:ascii="Times New Roman" w:eastAsia="Calibri" w:hAnsi="Times New Roman" w:cs="Times New Roman"/>
          <w:color w:val="000000" w:themeColor="text1"/>
          <w:lang w:val="en-GB"/>
        </w:rPr>
        <w:t xml:space="preserve">In the visual condition, 2 Hz activity was significantly higher in the occipital ROI compared with both the sensorimotor and temporal ROIs, while no significant difference was found between the sensorimotor and temporal regions. </w:t>
      </w:r>
      <w:r w:rsidRPr="0009404C">
        <w:rPr>
          <w:rFonts w:ascii="Times New Roman" w:eastAsia="Times New Roman" w:hAnsi="Times New Roman" w:cs="Times New Roman"/>
          <w:color w:val="000000" w:themeColor="text1"/>
          <w:kern w:val="0"/>
          <w:lang w:val="en-GB" w:eastAsia="ca-ES"/>
          <w14:ligatures w14:val="none"/>
        </w:rPr>
        <w:t xml:space="preserve">Under audiovisual stimulation, 2 Hz activity was significantly higher in the occipital ROI compared to both the sensorimotor and temporal ROIs, whereas no differences were observed between the sensorimotor and temporal regions. </w:t>
      </w:r>
      <w:r w:rsidRPr="0009404C">
        <w:rPr>
          <w:rFonts w:ascii="Times New Roman" w:eastAsia="Calibri" w:hAnsi="Times New Roman" w:cs="Times New Roman"/>
          <w:color w:val="000000" w:themeColor="text1"/>
          <w:lang w:val="en-GB"/>
        </w:rPr>
        <w:t>Overall, this pattern of results is consistent with our previous findings</w:t>
      </w:r>
      <w:sdt>
        <w:sdtPr>
          <w:rPr>
            <w:rFonts w:ascii="Times New Roman" w:eastAsia="Calibri" w:hAnsi="Times New Roman" w:cs="Times New Roman"/>
            <w:color w:val="000000"/>
            <w:vertAlign w:val="superscript"/>
            <w:lang w:val="en-GB"/>
          </w:rPr>
          <w:tag w:val="MENDELEY_CITATION_v3_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"/>
          <w:id w:val="1362563473"/>
          <w:placeholder>
            <w:docPart w:val="DefaultPlaceholder_-1854013440"/>
          </w:placeholder>
        </w:sdtPr>
        <w:sdtContent>
          <w:r w:rsidR="00E41681" w:rsidRPr="00E41681">
            <w:rPr>
              <w:rFonts w:ascii="Times New Roman" w:eastAsia="Calibri" w:hAnsi="Times New Roman" w:cs="Times New Roman"/>
              <w:color w:val="000000"/>
              <w:vertAlign w:val="superscript"/>
              <w:lang w:val="en-GB"/>
            </w:rPr>
            <w:t>1</w:t>
          </w:r>
        </w:sdtContent>
      </w:sdt>
      <w:r w:rsidR="00E41681">
        <w:rPr>
          <w:rFonts w:ascii="Times New Roman" w:eastAsia="Calibri" w:hAnsi="Times New Roman" w:cs="Times New Roman"/>
          <w:color w:val="000000" w:themeColor="text1"/>
          <w:lang w:val="en-GB"/>
        </w:rPr>
        <w:t>.</w:t>
      </w:r>
    </w:p>
    <w:p w14:paraId="38265E8F" w14:textId="39FE242D" w:rsidR="00F37D53" w:rsidRPr="00720EB5" w:rsidRDefault="00F37D53" w:rsidP="00F37D53">
      <w:pPr>
        <w:spacing w:after="0" w:line="240" w:lineRule="auto"/>
        <w:jc w:val="both"/>
        <w:rPr>
          <w:rFonts w:ascii="Times New Roman" w:eastAsia="Times New Roman" w:hAnsi="Times New Roman" w:cs="Times New Roman"/>
          <w:b/>
          <w:bCs/>
          <w:color w:val="000000" w:themeColor="text1"/>
          <w:lang w:val="en-US"/>
        </w:rPr>
      </w:pPr>
      <w:r w:rsidRPr="0009404C">
        <w:rPr>
          <w:rFonts w:ascii="Times New Roman" w:eastAsia="Times New Roman" w:hAnsi="Times New Roman" w:cs="Times New Roman"/>
          <w:b/>
          <w:bCs/>
          <w:color w:val="000000" w:themeColor="text1"/>
          <w:lang w:val="en-US"/>
        </w:rPr>
        <w:t xml:space="preserve"> </w:t>
      </w:r>
    </w:p>
    <w:p w14:paraId="3306548A" w14:textId="77777777" w:rsidR="00F37D53" w:rsidRPr="0009404C" w:rsidRDefault="00F37D53" w:rsidP="00F37D53">
      <w:pPr>
        <w:spacing w:after="0" w:line="240" w:lineRule="auto"/>
        <w:jc w:val="both"/>
        <w:rPr>
          <w:color w:val="000000" w:themeColor="text1"/>
          <w:lang w:val="en-GB"/>
        </w:rPr>
      </w:pPr>
      <w:r w:rsidRPr="0009404C">
        <w:rPr>
          <w:rFonts w:ascii="Times New Roman" w:eastAsia="Times New Roman" w:hAnsi="Times New Roman" w:cs="Times New Roman"/>
          <w:b/>
          <w:bCs/>
          <w:color w:val="000000" w:themeColor="text1"/>
          <w:lang w:val="en-GB"/>
        </w:rPr>
        <w:t xml:space="preserve">Supplementary Table 1. Post hoc comparisons decomposing the significant Condition × ROI interaction. </w:t>
      </w:r>
      <w:r w:rsidRPr="0009404C">
        <w:rPr>
          <w:rFonts w:ascii="Times New Roman" w:eastAsia="Times New Roman" w:hAnsi="Times New Roman" w:cs="Times New Roman"/>
          <w:color w:val="000000" w:themeColor="text1"/>
          <w:lang w:val="en-GB"/>
        </w:rPr>
        <w:t xml:space="preserve">Pairwise contrasts between ROIs for each condition. For each comparison, the table provides the </w:t>
      </w:r>
      <w:r w:rsidRPr="0009404C">
        <w:rPr>
          <w:rFonts w:ascii="Times New Roman" w:eastAsia="Times New Roman" w:hAnsi="Times New Roman" w:cs="Times New Roman"/>
          <w:i/>
          <w:iCs/>
          <w:color w:val="000000" w:themeColor="text1"/>
          <w:lang w:val="en-GB"/>
        </w:rPr>
        <w:t>t</w:t>
      </w:r>
      <w:r w:rsidRPr="0009404C">
        <w:rPr>
          <w:rFonts w:ascii="Times New Roman" w:eastAsia="Times New Roman" w:hAnsi="Times New Roman" w:cs="Times New Roman"/>
          <w:color w:val="000000" w:themeColor="text1"/>
          <w:lang w:val="en-GB"/>
        </w:rPr>
        <w:t xml:space="preserve">-ratio, the corresponding </w:t>
      </w:r>
      <w:r w:rsidRPr="0009404C">
        <w:rPr>
          <w:rFonts w:ascii="Times New Roman" w:eastAsia="Times New Roman" w:hAnsi="Times New Roman" w:cs="Times New Roman"/>
          <w:i/>
          <w:iCs/>
          <w:color w:val="000000" w:themeColor="text1"/>
          <w:lang w:val="en-GB"/>
        </w:rPr>
        <w:t>p</w:t>
      </w:r>
      <w:r w:rsidRPr="0009404C">
        <w:rPr>
          <w:rFonts w:ascii="Times New Roman" w:eastAsia="Times New Roman" w:hAnsi="Times New Roman" w:cs="Times New Roman"/>
          <w:color w:val="000000" w:themeColor="text1"/>
          <w:lang w:val="en-GB"/>
        </w:rPr>
        <w:t xml:space="preserve">-value, and Cohen’s </w:t>
      </w:r>
      <w:r w:rsidRPr="0009404C">
        <w:rPr>
          <w:rFonts w:ascii="Times New Roman" w:eastAsia="Times New Roman" w:hAnsi="Times New Roman" w:cs="Times New Roman"/>
          <w:i/>
          <w:iCs/>
          <w:color w:val="000000" w:themeColor="text1"/>
          <w:lang w:val="en-GB"/>
        </w:rPr>
        <w:t>d</w:t>
      </w:r>
      <w:r w:rsidRPr="0009404C">
        <w:rPr>
          <w:rFonts w:ascii="Times New Roman" w:eastAsia="Times New Roman" w:hAnsi="Times New Roman" w:cs="Times New Roman"/>
          <w:color w:val="000000" w:themeColor="text1"/>
          <w:lang w:val="en-GB"/>
        </w:rPr>
        <w:t>.</w:t>
      </w:r>
    </w:p>
    <w:p w14:paraId="14E5FBA4" w14:textId="77777777" w:rsidR="00F37D53" w:rsidRPr="0009404C" w:rsidRDefault="00F37D53" w:rsidP="00F37D53">
      <w:pPr>
        <w:spacing w:after="0" w:line="240" w:lineRule="auto"/>
        <w:jc w:val="both"/>
        <w:rPr>
          <w:color w:val="000000" w:themeColor="text1"/>
          <w:lang w:val="en-GB"/>
        </w:rPr>
      </w:pPr>
      <w:r w:rsidRPr="0009404C">
        <w:rPr>
          <w:rFonts w:ascii="Times New Roman" w:eastAsia="Times New Roman" w:hAnsi="Times New Roman" w:cs="Times New Roman"/>
          <w:color w:val="000000" w:themeColor="text1"/>
          <w:lang w:val="en-US"/>
        </w:rPr>
        <w:t xml:space="preserve"> </w:t>
      </w:r>
    </w:p>
    <w:tbl>
      <w:tblPr>
        <w:tblW w:w="0" w:type="auto"/>
        <w:jc w:val="center"/>
        <w:tblLook w:val="04A0" w:firstRow="1" w:lastRow="0" w:firstColumn="1" w:lastColumn="0" w:noHBand="0" w:noVBand="1"/>
      </w:tblPr>
      <w:tblGrid>
        <w:gridCol w:w="1597"/>
        <w:gridCol w:w="2675"/>
        <w:gridCol w:w="1400"/>
        <w:gridCol w:w="1140"/>
        <w:gridCol w:w="1218"/>
      </w:tblGrid>
      <w:tr w:rsidR="00F37D53" w:rsidRPr="0009404C" w14:paraId="5C4EACA9" w14:textId="77777777" w:rsidTr="00080C3C">
        <w:trPr>
          <w:trHeight w:val="315"/>
          <w:jc w:val="center"/>
        </w:trPr>
        <w:tc>
          <w:tcPr>
            <w:tcW w:w="4272" w:type="dxa"/>
            <w:gridSpan w:val="2"/>
            <w:tcBorders>
              <w:left w:val="nil"/>
              <w:bottom w:val="single" w:sz="8" w:space="0" w:color="auto"/>
              <w:right w:val="nil"/>
            </w:tcBorders>
            <w:tcMar>
              <w:left w:w="108" w:type="dxa"/>
              <w:right w:w="108" w:type="dxa"/>
            </w:tcMar>
            <w:vAlign w:val="center"/>
          </w:tcPr>
          <w:p w14:paraId="55F37D52"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i/>
                <w:iCs/>
                <w:color w:val="000000" w:themeColor="text1"/>
                <w:lang w:val="en-GB"/>
              </w:rPr>
              <w:t>ROI within each Condition</w:t>
            </w:r>
          </w:p>
        </w:tc>
        <w:tc>
          <w:tcPr>
            <w:tcW w:w="1400" w:type="dxa"/>
            <w:tcBorders>
              <w:left w:val="nil"/>
              <w:bottom w:val="single" w:sz="8" w:space="0" w:color="auto"/>
              <w:right w:val="nil"/>
            </w:tcBorders>
            <w:tcMar>
              <w:left w:w="108" w:type="dxa"/>
              <w:right w:w="108" w:type="dxa"/>
            </w:tcMar>
            <w:vAlign w:val="center"/>
          </w:tcPr>
          <w:p w14:paraId="791B9C36" w14:textId="77777777" w:rsidR="00F37D53" w:rsidRPr="0009404C" w:rsidRDefault="00F37D53" w:rsidP="00080C3C">
            <w:pPr>
              <w:spacing w:after="0" w:line="240" w:lineRule="auto"/>
              <w:rPr>
                <w:color w:val="000000" w:themeColor="text1"/>
              </w:rPr>
            </w:pPr>
          </w:p>
        </w:tc>
        <w:tc>
          <w:tcPr>
            <w:tcW w:w="1140" w:type="dxa"/>
            <w:tcBorders>
              <w:left w:val="nil"/>
              <w:bottom w:val="single" w:sz="8" w:space="0" w:color="auto"/>
              <w:right w:val="nil"/>
            </w:tcBorders>
            <w:tcMar>
              <w:left w:w="108" w:type="dxa"/>
              <w:right w:w="108" w:type="dxa"/>
            </w:tcMar>
            <w:vAlign w:val="center"/>
          </w:tcPr>
          <w:p w14:paraId="3344B343" w14:textId="77777777" w:rsidR="00F37D53" w:rsidRPr="0009404C" w:rsidRDefault="00F37D53" w:rsidP="00080C3C">
            <w:pPr>
              <w:spacing w:after="0" w:line="240" w:lineRule="auto"/>
              <w:rPr>
                <w:color w:val="000000" w:themeColor="text1"/>
              </w:rPr>
            </w:pPr>
          </w:p>
        </w:tc>
        <w:tc>
          <w:tcPr>
            <w:tcW w:w="1218" w:type="dxa"/>
            <w:tcBorders>
              <w:left w:val="nil"/>
              <w:bottom w:val="single" w:sz="8" w:space="0" w:color="auto"/>
              <w:right w:val="nil"/>
            </w:tcBorders>
            <w:tcMar>
              <w:left w:w="108" w:type="dxa"/>
              <w:right w:w="108" w:type="dxa"/>
            </w:tcMar>
            <w:vAlign w:val="center"/>
          </w:tcPr>
          <w:p w14:paraId="6D9DDDB0" w14:textId="77777777" w:rsidR="00F37D53" w:rsidRPr="0009404C" w:rsidRDefault="00F37D53" w:rsidP="00080C3C">
            <w:pPr>
              <w:spacing w:after="0" w:line="240" w:lineRule="auto"/>
              <w:rPr>
                <w:color w:val="000000" w:themeColor="text1"/>
              </w:rPr>
            </w:pPr>
          </w:p>
        </w:tc>
      </w:tr>
      <w:tr w:rsidR="00F37D53" w:rsidRPr="0009404C" w14:paraId="523E99E8" w14:textId="77777777" w:rsidTr="00080C3C">
        <w:trPr>
          <w:trHeight w:val="315"/>
          <w:jc w:val="center"/>
        </w:trPr>
        <w:tc>
          <w:tcPr>
            <w:tcW w:w="1597" w:type="dxa"/>
            <w:tcBorders>
              <w:top w:val="single" w:sz="8" w:space="0" w:color="auto"/>
              <w:left w:val="nil"/>
              <w:bottom w:val="single" w:sz="8" w:space="0" w:color="auto"/>
              <w:right w:val="nil"/>
            </w:tcBorders>
            <w:tcMar>
              <w:left w:w="108" w:type="dxa"/>
              <w:right w:w="108" w:type="dxa"/>
            </w:tcMar>
            <w:vAlign w:val="center"/>
          </w:tcPr>
          <w:p w14:paraId="5142B5D2"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color w:val="000000" w:themeColor="text1"/>
                <w:lang w:val="en-GB"/>
              </w:rPr>
              <w:t>Condition</w:t>
            </w:r>
          </w:p>
        </w:tc>
        <w:tc>
          <w:tcPr>
            <w:tcW w:w="2675" w:type="dxa"/>
            <w:tcBorders>
              <w:top w:val="nil"/>
              <w:left w:val="nil"/>
              <w:bottom w:val="single" w:sz="8" w:space="0" w:color="auto"/>
              <w:right w:val="nil"/>
            </w:tcBorders>
            <w:tcMar>
              <w:left w:w="108" w:type="dxa"/>
              <w:right w:w="108" w:type="dxa"/>
            </w:tcMar>
            <w:vAlign w:val="center"/>
          </w:tcPr>
          <w:p w14:paraId="07461EBF"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color w:val="000000" w:themeColor="text1"/>
                <w:lang w:val="en-GB"/>
              </w:rPr>
              <w:t>Contrast</w:t>
            </w:r>
          </w:p>
        </w:tc>
        <w:tc>
          <w:tcPr>
            <w:tcW w:w="1400" w:type="dxa"/>
            <w:tcBorders>
              <w:top w:val="single" w:sz="8" w:space="0" w:color="auto"/>
              <w:left w:val="nil"/>
              <w:bottom w:val="single" w:sz="8" w:space="0" w:color="auto"/>
              <w:right w:val="nil"/>
            </w:tcBorders>
            <w:tcMar>
              <w:left w:w="108" w:type="dxa"/>
              <w:right w:w="108" w:type="dxa"/>
            </w:tcMar>
            <w:vAlign w:val="center"/>
          </w:tcPr>
          <w:p w14:paraId="2816369E"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i/>
                <w:iCs/>
                <w:color w:val="000000" w:themeColor="text1"/>
                <w:lang w:val="en-GB"/>
              </w:rPr>
              <w:t>t</w:t>
            </w:r>
            <w:r w:rsidRPr="0009404C">
              <w:rPr>
                <w:rFonts w:ascii="Times New Roman" w:eastAsia="Times New Roman" w:hAnsi="Times New Roman" w:cs="Times New Roman"/>
                <w:b/>
                <w:bCs/>
                <w:color w:val="000000" w:themeColor="text1"/>
                <w:lang w:val="en-GB"/>
              </w:rPr>
              <w:t>-ratio</w:t>
            </w:r>
          </w:p>
        </w:tc>
        <w:tc>
          <w:tcPr>
            <w:tcW w:w="1140" w:type="dxa"/>
            <w:tcBorders>
              <w:top w:val="single" w:sz="8" w:space="0" w:color="auto"/>
              <w:left w:val="nil"/>
              <w:bottom w:val="single" w:sz="8" w:space="0" w:color="auto"/>
              <w:right w:val="nil"/>
            </w:tcBorders>
            <w:tcMar>
              <w:left w:w="108" w:type="dxa"/>
              <w:right w:w="108" w:type="dxa"/>
            </w:tcMar>
            <w:vAlign w:val="center"/>
          </w:tcPr>
          <w:p w14:paraId="773A0BD5"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i/>
                <w:iCs/>
                <w:color w:val="000000" w:themeColor="text1"/>
                <w:lang w:val="en-GB"/>
              </w:rPr>
              <w:t>p</w:t>
            </w:r>
            <w:r w:rsidRPr="0009404C">
              <w:rPr>
                <w:rFonts w:ascii="Times New Roman" w:eastAsia="Times New Roman" w:hAnsi="Times New Roman" w:cs="Times New Roman"/>
                <w:b/>
                <w:bCs/>
                <w:color w:val="000000" w:themeColor="text1"/>
                <w:lang w:val="en-GB"/>
              </w:rPr>
              <w:t>-value</w:t>
            </w:r>
          </w:p>
        </w:tc>
        <w:tc>
          <w:tcPr>
            <w:tcW w:w="1218" w:type="dxa"/>
            <w:tcBorders>
              <w:top w:val="single" w:sz="8" w:space="0" w:color="auto"/>
              <w:left w:val="nil"/>
              <w:bottom w:val="single" w:sz="8" w:space="0" w:color="auto"/>
              <w:right w:val="nil"/>
            </w:tcBorders>
            <w:tcMar>
              <w:left w:w="108" w:type="dxa"/>
              <w:right w:w="108" w:type="dxa"/>
            </w:tcMar>
            <w:vAlign w:val="center"/>
          </w:tcPr>
          <w:p w14:paraId="08E4F2AD"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lang w:val="en-GB"/>
              </w:rPr>
              <w:t xml:space="preserve">Cohen's </w:t>
            </w:r>
            <w:r w:rsidRPr="0009404C">
              <w:rPr>
                <w:rFonts w:ascii="Times New Roman" w:eastAsia="Times New Roman" w:hAnsi="Times New Roman" w:cs="Times New Roman"/>
                <w:b/>
                <w:bCs/>
                <w:i/>
                <w:iCs/>
                <w:color w:val="000000" w:themeColor="text1"/>
                <w:lang w:val="en-GB"/>
              </w:rPr>
              <w:t>d</w:t>
            </w:r>
          </w:p>
        </w:tc>
      </w:tr>
      <w:tr w:rsidR="00F37D53" w:rsidRPr="0009404C" w14:paraId="0804E6B2" w14:textId="77777777" w:rsidTr="00080C3C">
        <w:trPr>
          <w:trHeight w:val="315"/>
          <w:jc w:val="center"/>
        </w:trPr>
        <w:tc>
          <w:tcPr>
            <w:tcW w:w="1597" w:type="dxa"/>
            <w:tcBorders>
              <w:top w:val="single" w:sz="8" w:space="0" w:color="auto"/>
              <w:left w:val="nil"/>
              <w:bottom w:val="nil"/>
              <w:right w:val="nil"/>
            </w:tcBorders>
            <w:tcMar>
              <w:left w:w="108" w:type="dxa"/>
              <w:right w:w="108" w:type="dxa"/>
            </w:tcMar>
            <w:vAlign w:val="center"/>
          </w:tcPr>
          <w:p w14:paraId="46A348ED"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color w:val="000000" w:themeColor="text1"/>
                <w:lang w:val="en-GB"/>
              </w:rPr>
              <w:t>Auditory</w:t>
            </w:r>
          </w:p>
        </w:tc>
        <w:tc>
          <w:tcPr>
            <w:tcW w:w="2675" w:type="dxa"/>
            <w:tcBorders>
              <w:top w:val="single" w:sz="8" w:space="0" w:color="auto"/>
              <w:left w:val="nil"/>
              <w:bottom w:val="nil"/>
              <w:right w:val="nil"/>
            </w:tcBorders>
            <w:tcMar>
              <w:left w:w="108" w:type="dxa"/>
              <w:right w:w="108" w:type="dxa"/>
            </w:tcMar>
            <w:vAlign w:val="center"/>
          </w:tcPr>
          <w:p w14:paraId="0131784E"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Temporal</w:t>
            </w:r>
          </w:p>
        </w:tc>
        <w:tc>
          <w:tcPr>
            <w:tcW w:w="1400" w:type="dxa"/>
            <w:tcBorders>
              <w:top w:val="single" w:sz="8" w:space="0" w:color="auto"/>
              <w:left w:val="nil"/>
              <w:bottom w:val="nil"/>
              <w:right w:val="nil"/>
            </w:tcBorders>
            <w:tcMar>
              <w:left w:w="108" w:type="dxa"/>
              <w:right w:w="108" w:type="dxa"/>
            </w:tcMar>
            <w:vAlign w:val="center"/>
          </w:tcPr>
          <w:p w14:paraId="61E0F165"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0.981</w:t>
            </w:r>
          </w:p>
        </w:tc>
        <w:tc>
          <w:tcPr>
            <w:tcW w:w="1140" w:type="dxa"/>
            <w:tcBorders>
              <w:top w:val="single" w:sz="8" w:space="0" w:color="auto"/>
              <w:left w:val="nil"/>
              <w:bottom w:val="nil"/>
              <w:right w:val="nil"/>
            </w:tcBorders>
            <w:tcMar>
              <w:left w:w="108" w:type="dxa"/>
              <w:right w:w="108" w:type="dxa"/>
            </w:tcMar>
            <w:vAlign w:val="center"/>
          </w:tcPr>
          <w:p w14:paraId="0D999E37"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.328</w:t>
            </w:r>
          </w:p>
        </w:tc>
        <w:tc>
          <w:tcPr>
            <w:tcW w:w="1218" w:type="dxa"/>
            <w:tcBorders>
              <w:top w:val="single" w:sz="8" w:space="0" w:color="auto"/>
              <w:left w:val="nil"/>
              <w:bottom w:val="nil"/>
              <w:right w:val="nil"/>
            </w:tcBorders>
            <w:tcMar>
              <w:left w:w="108" w:type="dxa"/>
              <w:right w:w="108" w:type="dxa"/>
            </w:tcMar>
            <w:vAlign w:val="center"/>
          </w:tcPr>
          <w:p w14:paraId="59575FD9"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0.217</w:t>
            </w:r>
          </w:p>
        </w:tc>
      </w:tr>
      <w:tr w:rsidR="00F37D53" w:rsidRPr="0009404C" w14:paraId="70731C63" w14:textId="77777777" w:rsidTr="00080C3C">
        <w:trPr>
          <w:trHeight w:val="315"/>
          <w:jc w:val="center"/>
        </w:trPr>
        <w:tc>
          <w:tcPr>
            <w:tcW w:w="1597" w:type="dxa"/>
            <w:tcMar>
              <w:left w:w="108" w:type="dxa"/>
              <w:right w:w="108" w:type="dxa"/>
            </w:tcMar>
            <w:vAlign w:val="center"/>
          </w:tcPr>
          <w:p w14:paraId="3F12EC7E" w14:textId="77777777" w:rsidR="00F37D53" w:rsidRPr="0009404C" w:rsidRDefault="00F37D53" w:rsidP="00080C3C">
            <w:pPr>
              <w:spacing w:after="0" w:line="240" w:lineRule="auto"/>
              <w:rPr>
                <w:color w:val="000000" w:themeColor="text1"/>
              </w:rPr>
            </w:pPr>
          </w:p>
        </w:tc>
        <w:tc>
          <w:tcPr>
            <w:tcW w:w="2675" w:type="dxa"/>
            <w:tcMar>
              <w:left w:w="108" w:type="dxa"/>
              <w:right w:w="108" w:type="dxa"/>
            </w:tcMar>
            <w:vAlign w:val="center"/>
          </w:tcPr>
          <w:p w14:paraId="54076F98"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Occipital</w:t>
            </w:r>
          </w:p>
        </w:tc>
        <w:tc>
          <w:tcPr>
            <w:tcW w:w="1400" w:type="dxa"/>
            <w:tcMar>
              <w:left w:w="108" w:type="dxa"/>
              <w:right w:w="108" w:type="dxa"/>
            </w:tcMar>
            <w:vAlign w:val="center"/>
          </w:tcPr>
          <w:p w14:paraId="3C51018C"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4.503</w:t>
            </w:r>
          </w:p>
        </w:tc>
        <w:tc>
          <w:tcPr>
            <w:tcW w:w="1140" w:type="dxa"/>
            <w:tcMar>
              <w:left w:w="108" w:type="dxa"/>
              <w:right w:w="108" w:type="dxa"/>
            </w:tcMar>
            <w:vAlign w:val="center"/>
          </w:tcPr>
          <w:p w14:paraId="0AB51DD9"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&lt; .001</w:t>
            </w:r>
          </w:p>
        </w:tc>
        <w:tc>
          <w:tcPr>
            <w:tcW w:w="1218" w:type="dxa"/>
            <w:tcMar>
              <w:left w:w="108" w:type="dxa"/>
              <w:right w:w="108" w:type="dxa"/>
            </w:tcMar>
            <w:vAlign w:val="center"/>
          </w:tcPr>
          <w:p w14:paraId="6146B3F8"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0.995</w:t>
            </w:r>
          </w:p>
        </w:tc>
      </w:tr>
      <w:tr w:rsidR="00F37D53" w:rsidRPr="0009404C" w14:paraId="4EA004F1" w14:textId="77777777" w:rsidTr="00080C3C">
        <w:trPr>
          <w:trHeight w:val="315"/>
          <w:jc w:val="center"/>
        </w:trPr>
        <w:tc>
          <w:tcPr>
            <w:tcW w:w="1597" w:type="dxa"/>
            <w:tcBorders>
              <w:bottom w:val="single" w:sz="4" w:space="0" w:color="auto"/>
            </w:tcBorders>
            <w:tcMar>
              <w:left w:w="108" w:type="dxa"/>
              <w:right w:w="108" w:type="dxa"/>
            </w:tcMar>
            <w:vAlign w:val="center"/>
          </w:tcPr>
          <w:p w14:paraId="0B15065E" w14:textId="77777777" w:rsidR="00F37D53" w:rsidRPr="0009404C" w:rsidRDefault="00F37D53" w:rsidP="00080C3C">
            <w:pPr>
              <w:spacing w:after="0" w:line="240" w:lineRule="auto"/>
              <w:rPr>
                <w:color w:val="000000" w:themeColor="text1"/>
              </w:rPr>
            </w:pPr>
          </w:p>
        </w:tc>
        <w:tc>
          <w:tcPr>
            <w:tcW w:w="2675" w:type="dxa"/>
            <w:tcBorders>
              <w:bottom w:val="single" w:sz="4" w:space="0" w:color="auto"/>
            </w:tcBorders>
            <w:tcMar>
              <w:left w:w="108" w:type="dxa"/>
              <w:right w:w="108" w:type="dxa"/>
            </w:tcMar>
            <w:vAlign w:val="center"/>
          </w:tcPr>
          <w:p w14:paraId="40A1F620"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color w:val="000000" w:themeColor="text1"/>
                <w:kern w:val="0"/>
                <w:lang w:val="en-US" w:eastAsia="ca-ES"/>
                <w14:ligatures w14:val="none"/>
              </w:rPr>
              <w:t>Temporal - Occipital</w:t>
            </w:r>
          </w:p>
        </w:tc>
        <w:tc>
          <w:tcPr>
            <w:tcW w:w="1400" w:type="dxa"/>
            <w:tcBorders>
              <w:bottom w:val="single" w:sz="4" w:space="0" w:color="auto"/>
            </w:tcBorders>
            <w:tcMar>
              <w:left w:w="108" w:type="dxa"/>
              <w:right w:w="108" w:type="dxa"/>
            </w:tcMar>
            <w:vAlign w:val="center"/>
          </w:tcPr>
          <w:p w14:paraId="206C0963"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3.523</w:t>
            </w:r>
          </w:p>
        </w:tc>
        <w:tc>
          <w:tcPr>
            <w:tcW w:w="1140" w:type="dxa"/>
            <w:tcBorders>
              <w:bottom w:val="single" w:sz="4" w:space="0" w:color="auto"/>
            </w:tcBorders>
            <w:tcMar>
              <w:left w:w="108" w:type="dxa"/>
              <w:right w:w="108" w:type="dxa"/>
            </w:tcMar>
            <w:vAlign w:val="center"/>
          </w:tcPr>
          <w:p w14:paraId="6BB0D3AF"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&lt; .001</w:t>
            </w:r>
          </w:p>
        </w:tc>
        <w:tc>
          <w:tcPr>
            <w:tcW w:w="1218" w:type="dxa"/>
            <w:tcBorders>
              <w:bottom w:val="single" w:sz="4" w:space="0" w:color="auto"/>
            </w:tcBorders>
            <w:tcMar>
              <w:left w:w="108" w:type="dxa"/>
              <w:right w:w="108" w:type="dxa"/>
            </w:tcMar>
            <w:vAlign w:val="center"/>
          </w:tcPr>
          <w:p w14:paraId="79B5CDAB"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0.778</w:t>
            </w:r>
          </w:p>
        </w:tc>
      </w:tr>
      <w:tr w:rsidR="00F37D53" w:rsidRPr="0009404C" w14:paraId="431AAAA7" w14:textId="77777777" w:rsidTr="00080C3C">
        <w:trPr>
          <w:trHeight w:val="315"/>
          <w:jc w:val="center"/>
        </w:trPr>
        <w:tc>
          <w:tcPr>
            <w:tcW w:w="1597" w:type="dxa"/>
            <w:tcBorders>
              <w:top w:val="single" w:sz="4" w:space="0" w:color="auto"/>
            </w:tcBorders>
            <w:tcMar>
              <w:left w:w="108" w:type="dxa"/>
              <w:right w:w="108" w:type="dxa"/>
            </w:tcMar>
            <w:vAlign w:val="center"/>
          </w:tcPr>
          <w:p w14:paraId="6BEA7A13"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color w:val="000000" w:themeColor="text1"/>
                <w:lang w:val="en-GB"/>
              </w:rPr>
              <w:t>Visual</w:t>
            </w:r>
          </w:p>
        </w:tc>
        <w:tc>
          <w:tcPr>
            <w:tcW w:w="2675" w:type="dxa"/>
            <w:tcBorders>
              <w:top w:val="single" w:sz="4" w:space="0" w:color="auto"/>
            </w:tcBorders>
            <w:tcMar>
              <w:left w:w="108" w:type="dxa"/>
              <w:right w:w="108" w:type="dxa"/>
            </w:tcMar>
            <w:vAlign w:val="center"/>
          </w:tcPr>
          <w:p w14:paraId="1D5A13A8"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Temporal</w:t>
            </w:r>
          </w:p>
        </w:tc>
        <w:tc>
          <w:tcPr>
            <w:tcW w:w="1400" w:type="dxa"/>
            <w:tcBorders>
              <w:top w:val="single" w:sz="4" w:space="0" w:color="auto"/>
            </w:tcBorders>
            <w:tcMar>
              <w:left w:w="108" w:type="dxa"/>
              <w:right w:w="108" w:type="dxa"/>
            </w:tcMar>
            <w:vAlign w:val="center"/>
          </w:tcPr>
          <w:p w14:paraId="23B0C51D"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-0.362</w:t>
            </w:r>
          </w:p>
        </w:tc>
        <w:tc>
          <w:tcPr>
            <w:tcW w:w="1140" w:type="dxa"/>
            <w:tcBorders>
              <w:top w:val="single" w:sz="4" w:space="0" w:color="auto"/>
            </w:tcBorders>
            <w:tcMar>
              <w:left w:w="108" w:type="dxa"/>
              <w:right w:w="108" w:type="dxa"/>
            </w:tcMar>
            <w:vAlign w:val="center"/>
          </w:tcPr>
          <w:p w14:paraId="4F869C09"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.718</w:t>
            </w:r>
          </w:p>
        </w:tc>
        <w:tc>
          <w:tcPr>
            <w:tcW w:w="1218" w:type="dxa"/>
            <w:tcBorders>
              <w:top w:val="single" w:sz="4" w:space="0" w:color="auto"/>
            </w:tcBorders>
            <w:tcMar>
              <w:left w:w="108" w:type="dxa"/>
              <w:right w:w="108" w:type="dxa"/>
            </w:tcMar>
            <w:vAlign w:val="center"/>
          </w:tcPr>
          <w:p w14:paraId="7A1CEF71"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-0.080</w:t>
            </w:r>
          </w:p>
        </w:tc>
      </w:tr>
      <w:tr w:rsidR="00F37D53" w:rsidRPr="0009404C" w14:paraId="431A0058" w14:textId="77777777" w:rsidTr="00080C3C">
        <w:trPr>
          <w:trHeight w:val="315"/>
          <w:jc w:val="center"/>
        </w:trPr>
        <w:tc>
          <w:tcPr>
            <w:tcW w:w="1597" w:type="dxa"/>
            <w:tcMar>
              <w:left w:w="108" w:type="dxa"/>
              <w:right w:w="108" w:type="dxa"/>
            </w:tcMar>
            <w:vAlign w:val="center"/>
          </w:tcPr>
          <w:p w14:paraId="71119205" w14:textId="77777777" w:rsidR="00F37D53" w:rsidRPr="0009404C" w:rsidRDefault="00F37D53" w:rsidP="00080C3C">
            <w:pPr>
              <w:spacing w:after="0" w:line="240" w:lineRule="auto"/>
              <w:rPr>
                <w:color w:val="000000" w:themeColor="text1"/>
              </w:rPr>
            </w:pPr>
          </w:p>
        </w:tc>
        <w:tc>
          <w:tcPr>
            <w:tcW w:w="2675" w:type="dxa"/>
            <w:tcMar>
              <w:left w:w="108" w:type="dxa"/>
              <w:right w:w="108" w:type="dxa"/>
            </w:tcMar>
            <w:vAlign w:val="center"/>
          </w:tcPr>
          <w:p w14:paraId="4A1BC35A"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Occipital</w:t>
            </w:r>
          </w:p>
        </w:tc>
        <w:tc>
          <w:tcPr>
            <w:tcW w:w="1400" w:type="dxa"/>
            <w:tcMar>
              <w:left w:w="108" w:type="dxa"/>
              <w:right w:w="108" w:type="dxa"/>
            </w:tcMar>
            <w:vAlign w:val="center"/>
          </w:tcPr>
          <w:p w14:paraId="26221F26"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-4.934</w:t>
            </w:r>
          </w:p>
        </w:tc>
        <w:tc>
          <w:tcPr>
            <w:tcW w:w="1140" w:type="dxa"/>
            <w:tcMar>
              <w:left w:w="108" w:type="dxa"/>
              <w:right w:w="108" w:type="dxa"/>
            </w:tcMar>
            <w:vAlign w:val="center"/>
          </w:tcPr>
          <w:p w14:paraId="0611CB47"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&lt; .001</w:t>
            </w:r>
          </w:p>
        </w:tc>
        <w:tc>
          <w:tcPr>
            <w:tcW w:w="1218" w:type="dxa"/>
            <w:tcMar>
              <w:left w:w="108" w:type="dxa"/>
              <w:right w:w="108" w:type="dxa"/>
            </w:tcMar>
            <w:vAlign w:val="center"/>
          </w:tcPr>
          <w:p w14:paraId="73B0076E"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-1.090</w:t>
            </w:r>
          </w:p>
        </w:tc>
      </w:tr>
      <w:tr w:rsidR="00F37D53" w:rsidRPr="0009404C" w14:paraId="4FA18D5E" w14:textId="77777777" w:rsidTr="00080C3C">
        <w:trPr>
          <w:trHeight w:val="315"/>
          <w:jc w:val="center"/>
        </w:trPr>
        <w:tc>
          <w:tcPr>
            <w:tcW w:w="1597" w:type="dxa"/>
            <w:tcBorders>
              <w:bottom w:val="single" w:sz="4" w:space="0" w:color="auto"/>
            </w:tcBorders>
            <w:tcMar>
              <w:left w:w="108" w:type="dxa"/>
              <w:right w:w="108" w:type="dxa"/>
            </w:tcMar>
            <w:vAlign w:val="center"/>
          </w:tcPr>
          <w:p w14:paraId="578C13B2" w14:textId="77777777" w:rsidR="00F37D53" w:rsidRPr="0009404C" w:rsidRDefault="00F37D53" w:rsidP="00080C3C">
            <w:pPr>
              <w:spacing w:after="0" w:line="240" w:lineRule="auto"/>
              <w:rPr>
                <w:color w:val="000000" w:themeColor="text1"/>
              </w:rPr>
            </w:pPr>
          </w:p>
        </w:tc>
        <w:tc>
          <w:tcPr>
            <w:tcW w:w="2675" w:type="dxa"/>
            <w:tcBorders>
              <w:bottom w:val="single" w:sz="4" w:space="0" w:color="auto"/>
            </w:tcBorders>
            <w:tcMar>
              <w:left w:w="108" w:type="dxa"/>
              <w:right w:w="108" w:type="dxa"/>
            </w:tcMar>
            <w:vAlign w:val="center"/>
          </w:tcPr>
          <w:p w14:paraId="33DC8ACD"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color w:val="000000" w:themeColor="text1"/>
                <w:kern w:val="0"/>
                <w:lang w:val="en-US" w:eastAsia="ca-ES"/>
                <w14:ligatures w14:val="none"/>
              </w:rPr>
              <w:t>Temporal - Occipital</w:t>
            </w:r>
          </w:p>
        </w:tc>
        <w:tc>
          <w:tcPr>
            <w:tcW w:w="1400" w:type="dxa"/>
            <w:tcBorders>
              <w:bottom w:val="single" w:sz="4" w:space="0" w:color="auto"/>
            </w:tcBorders>
            <w:tcMar>
              <w:left w:w="108" w:type="dxa"/>
              <w:right w:w="108" w:type="dxa"/>
            </w:tcMar>
            <w:vAlign w:val="center"/>
          </w:tcPr>
          <w:p w14:paraId="2EC5ACF8"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-4.573</w:t>
            </w:r>
          </w:p>
        </w:tc>
        <w:tc>
          <w:tcPr>
            <w:tcW w:w="1140" w:type="dxa"/>
            <w:tcBorders>
              <w:bottom w:val="single" w:sz="4" w:space="0" w:color="auto"/>
            </w:tcBorders>
            <w:tcMar>
              <w:left w:w="108" w:type="dxa"/>
              <w:right w:w="108" w:type="dxa"/>
            </w:tcMar>
            <w:vAlign w:val="center"/>
          </w:tcPr>
          <w:p w14:paraId="70897F68"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&lt; .001</w:t>
            </w:r>
          </w:p>
        </w:tc>
        <w:tc>
          <w:tcPr>
            <w:tcW w:w="1218" w:type="dxa"/>
            <w:tcBorders>
              <w:bottom w:val="single" w:sz="4" w:space="0" w:color="auto"/>
            </w:tcBorders>
            <w:tcMar>
              <w:left w:w="108" w:type="dxa"/>
              <w:right w:w="108" w:type="dxa"/>
            </w:tcMar>
            <w:vAlign w:val="center"/>
          </w:tcPr>
          <w:p w14:paraId="65E9A666"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-1.010</w:t>
            </w:r>
          </w:p>
        </w:tc>
      </w:tr>
      <w:tr w:rsidR="00F37D53" w:rsidRPr="0009404C" w14:paraId="74175973" w14:textId="77777777" w:rsidTr="00080C3C">
        <w:trPr>
          <w:trHeight w:val="315"/>
          <w:jc w:val="center"/>
        </w:trPr>
        <w:tc>
          <w:tcPr>
            <w:tcW w:w="1597" w:type="dxa"/>
            <w:tcBorders>
              <w:top w:val="single" w:sz="4" w:space="0" w:color="auto"/>
            </w:tcBorders>
            <w:tcMar>
              <w:left w:w="108" w:type="dxa"/>
              <w:right w:w="108" w:type="dxa"/>
            </w:tcMar>
            <w:vAlign w:val="center"/>
          </w:tcPr>
          <w:p w14:paraId="03B921B9"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b/>
                <w:bCs/>
                <w:color w:val="000000" w:themeColor="text1"/>
                <w:lang w:val="en-GB"/>
              </w:rPr>
              <w:t>Audiovisual</w:t>
            </w:r>
          </w:p>
        </w:tc>
        <w:tc>
          <w:tcPr>
            <w:tcW w:w="2675" w:type="dxa"/>
            <w:tcBorders>
              <w:top w:val="single" w:sz="4" w:space="0" w:color="auto"/>
            </w:tcBorders>
            <w:tcMar>
              <w:left w:w="108" w:type="dxa"/>
              <w:right w:w="108" w:type="dxa"/>
            </w:tcMar>
            <w:vAlign w:val="center"/>
          </w:tcPr>
          <w:p w14:paraId="704F7020"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Temporal</w:t>
            </w:r>
          </w:p>
        </w:tc>
        <w:tc>
          <w:tcPr>
            <w:tcW w:w="1400" w:type="dxa"/>
            <w:tcBorders>
              <w:top w:val="single" w:sz="4" w:space="0" w:color="auto"/>
            </w:tcBorders>
            <w:tcMar>
              <w:left w:w="108" w:type="dxa"/>
              <w:right w:w="108" w:type="dxa"/>
            </w:tcMar>
            <w:vAlign w:val="center"/>
          </w:tcPr>
          <w:p w14:paraId="328D6520"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0.342</w:t>
            </w:r>
          </w:p>
        </w:tc>
        <w:tc>
          <w:tcPr>
            <w:tcW w:w="1140" w:type="dxa"/>
            <w:tcBorders>
              <w:top w:val="single" w:sz="4" w:space="0" w:color="auto"/>
            </w:tcBorders>
            <w:tcMar>
              <w:left w:w="108" w:type="dxa"/>
              <w:right w:w="108" w:type="dxa"/>
            </w:tcMar>
            <w:vAlign w:val="center"/>
          </w:tcPr>
          <w:p w14:paraId="756D4CDF"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.733</w:t>
            </w:r>
          </w:p>
        </w:tc>
        <w:tc>
          <w:tcPr>
            <w:tcW w:w="1218" w:type="dxa"/>
            <w:tcBorders>
              <w:top w:val="single" w:sz="4" w:space="0" w:color="auto"/>
            </w:tcBorders>
            <w:tcMar>
              <w:left w:w="108" w:type="dxa"/>
              <w:right w:w="108" w:type="dxa"/>
            </w:tcMar>
            <w:vAlign w:val="center"/>
          </w:tcPr>
          <w:p w14:paraId="7D2AF574"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0.075</w:t>
            </w:r>
          </w:p>
        </w:tc>
      </w:tr>
      <w:tr w:rsidR="00F37D53" w:rsidRPr="0009404C" w14:paraId="17DF41BB" w14:textId="77777777" w:rsidTr="00080C3C">
        <w:trPr>
          <w:trHeight w:val="315"/>
          <w:jc w:val="center"/>
        </w:trPr>
        <w:tc>
          <w:tcPr>
            <w:tcW w:w="1597" w:type="dxa"/>
            <w:tcMar>
              <w:left w:w="108" w:type="dxa"/>
              <w:right w:w="108" w:type="dxa"/>
            </w:tcMar>
            <w:vAlign w:val="center"/>
          </w:tcPr>
          <w:p w14:paraId="3ECF89C9" w14:textId="77777777" w:rsidR="00F37D53" w:rsidRPr="0009404C" w:rsidRDefault="00F37D53" w:rsidP="00080C3C">
            <w:pPr>
              <w:spacing w:after="0" w:line="240" w:lineRule="auto"/>
              <w:rPr>
                <w:color w:val="000000" w:themeColor="text1"/>
              </w:rPr>
            </w:pPr>
          </w:p>
        </w:tc>
        <w:tc>
          <w:tcPr>
            <w:tcW w:w="2675" w:type="dxa"/>
            <w:tcMar>
              <w:left w:w="108" w:type="dxa"/>
              <w:right w:w="108" w:type="dxa"/>
            </w:tcMar>
            <w:vAlign w:val="center"/>
          </w:tcPr>
          <w:p w14:paraId="3AE5CB59" w14:textId="77777777" w:rsidR="00F37D53" w:rsidRPr="0009404C" w:rsidRDefault="00F37D53" w:rsidP="00080C3C">
            <w:pPr>
              <w:spacing w:after="0" w:line="240" w:lineRule="auto"/>
              <w:rPr>
                <w:color w:val="000000" w:themeColor="text1"/>
              </w:rPr>
            </w:pPr>
            <w:proofErr w:type="spellStart"/>
            <w:r w:rsidRPr="0009404C">
              <w:rPr>
                <w:rFonts w:ascii="Times New Roman" w:eastAsia="Times New Roman" w:hAnsi="Times New Roman" w:cs="Times New Roman"/>
                <w:color w:val="000000" w:themeColor="text1"/>
                <w:kern w:val="0"/>
                <w:lang w:val="en-US" w:eastAsia="ca-ES"/>
                <w14:ligatures w14:val="none"/>
              </w:rPr>
              <w:t>Sensoriomotor</w:t>
            </w:r>
            <w:proofErr w:type="spellEnd"/>
            <w:r w:rsidRPr="0009404C">
              <w:rPr>
                <w:rFonts w:ascii="Times New Roman" w:eastAsia="Times New Roman" w:hAnsi="Times New Roman" w:cs="Times New Roman"/>
                <w:color w:val="000000" w:themeColor="text1"/>
                <w:kern w:val="0"/>
                <w:lang w:val="en-US" w:eastAsia="ca-ES"/>
                <w14:ligatures w14:val="none"/>
              </w:rPr>
              <w:t> - Occipital</w:t>
            </w:r>
          </w:p>
        </w:tc>
        <w:tc>
          <w:tcPr>
            <w:tcW w:w="1400" w:type="dxa"/>
            <w:tcMar>
              <w:left w:w="108" w:type="dxa"/>
              <w:right w:w="108" w:type="dxa"/>
            </w:tcMar>
            <w:vAlign w:val="center"/>
          </w:tcPr>
          <w:p w14:paraId="1CB6DB51"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-2.228</w:t>
            </w:r>
          </w:p>
        </w:tc>
        <w:tc>
          <w:tcPr>
            <w:tcW w:w="1140" w:type="dxa"/>
            <w:tcMar>
              <w:left w:w="108" w:type="dxa"/>
              <w:right w:w="108" w:type="dxa"/>
            </w:tcMar>
            <w:vAlign w:val="center"/>
          </w:tcPr>
          <w:p w14:paraId="2E087EEE"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.040</w:t>
            </w:r>
          </w:p>
        </w:tc>
        <w:tc>
          <w:tcPr>
            <w:tcW w:w="1218" w:type="dxa"/>
            <w:tcMar>
              <w:left w:w="108" w:type="dxa"/>
              <w:right w:w="108" w:type="dxa"/>
            </w:tcMar>
            <w:vAlign w:val="center"/>
          </w:tcPr>
          <w:p w14:paraId="16FA3566"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-0.492</w:t>
            </w:r>
          </w:p>
        </w:tc>
      </w:tr>
      <w:tr w:rsidR="00F37D53" w:rsidRPr="0009404C" w14:paraId="2A1CE361" w14:textId="77777777" w:rsidTr="00080C3C">
        <w:trPr>
          <w:trHeight w:val="315"/>
          <w:jc w:val="center"/>
        </w:trPr>
        <w:tc>
          <w:tcPr>
            <w:tcW w:w="1597" w:type="dxa"/>
            <w:tcBorders>
              <w:left w:val="nil"/>
              <w:bottom w:val="single" w:sz="4" w:space="0" w:color="auto"/>
              <w:right w:val="nil"/>
            </w:tcBorders>
            <w:tcMar>
              <w:left w:w="108" w:type="dxa"/>
              <w:right w:w="108" w:type="dxa"/>
            </w:tcMar>
            <w:vAlign w:val="center"/>
          </w:tcPr>
          <w:p w14:paraId="6AE954D5" w14:textId="77777777" w:rsidR="00F37D53" w:rsidRPr="0009404C" w:rsidRDefault="00F37D53" w:rsidP="00080C3C">
            <w:pPr>
              <w:spacing w:after="0" w:line="240" w:lineRule="auto"/>
              <w:rPr>
                <w:color w:val="000000" w:themeColor="text1"/>
              </w:rPr>
            </w:pPr>
          </w:p>
        </w:tc>
        <w:tc>
          <w:tcPr>
            <w:tcW w:w="2675" w:type="dxa"/>
            <w:tcBorders>
              <w:left w:val="nil"/>
              <w:bottom w:val="single" w:sz="4" w:space="0" w:color="auto"/>
              <w:right w:val="nil"/>
            </w:tcBorders>
            <w:tcMar>
              <w:left w:w="108" w:type="dxa"/>
              <w:right w:w="108" w:type="dxa"/>
            </w:tcMar>
            <w:vAlign w:val="center"/>
          </w:tcPr>
          <w:p w14:paraId="14686E89" w14:textId="77777777" w:rsidR="00F37D53" w:rsidRPr="0009404C" w:rsidRDefault="00F37D53" w:rsidP="00080C3C">
            <w:pPr>
              <w:spacing w:after="0" w:line="240" w:lineRule="auto"/>
              <w:rPr>
                <w:color w:val="000000" w:themeColor="text1"/>
              </w:rPr>
            </w:pPr>
            <w:r w:rsidRPr="0009404C">
              <w:rPr>
                <w:rFonts w:ascii="Times New Roman" w:eastAsia="Times New Roman" w:hAnsi="Times New Roman" w:cs="Times New Roman"/>
                <w:color w:val="000000" w:themeColor="text1"/>
                <w:kern w:val="0"/>
                <w:lang w:val="en-US" w:eastAsia="ca-ES"/>
                <w14:ligatures w14:val="none"/>
              </w:rPr>
              <w:t>Temporal - Occipital</w:t>
            </w:r>
          </w:p>
        </w:tc>
        <w:tc>
          <w:tcPr>
            <w:tcW w:w="1400" w:type="dxa"/>
            <w:tcBorders>
              <w:left w:val="nil"/>
              <w:bottom w:val="single" w:sz="4" w:space="0" w:color="auto"/>
              <w:right w:val="nil"/>
            </w:tcBorders>
            <w:tcMar>
              <w:left w:w="108" w:type="dxa"/>
              <w:right w:w="108" w:type="dxa"/>
            </w:tcMar>
            <w:vAlign w:val="center"/>
          </w:tcPr>
          <w:p w14:paraId="05653AB1"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-2.569</w:t>
            </w:r>
          </w:p>
        </w:tc>
        <w:tc>
          <w:tcPr>
            <w:tcW w:w="1140" w:type="dxa"/>
            <w:tcBorders>
              <w:left w:val="nil"/>
              <w:bottom w:val="single" w:sz="4" w:space="0" w:color="auto"/>
              <w:right w:val="nil"/>
            </w:tcBorders>
            <w:tcMar>
              <w:left w:w="108" w:type="dxa"/>
              <w:right w:w="108" w:type="dxa"/>
            </w:tcMar>
            <w:vAlign w:val="center"/>
          </w:tcPr>
          <w:p w14:paraId="17893F44"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b/>
                <w:bCs/>
                <w:color w:val="000000" w:themeColor="text1"/>
                <w:kern w:val="0"/>
                <w:lang w:val="en-US" w:eastAsia="ca-ES"/>
                <w14:ligatures w14:val="none"/>
              </w:rPr>
              <w:t>.032</w:t>
            </w:r>
          </w:p>
        </w:tc>
        <w:tc>
          <w:tcPr>
            <w:tcW w:w="1218" w:type="dxa"/>
            <w:tcBorders>
              <w:left w:val="nil"/>
              <w:bottom w:val="single" w:sz="4" w:space="0" w:color="auto"/>
              <w:right w:val="nil"/>
            </w:tcBorders>
            <w:tcMar>
              <w:left w:w="108" w:type="dxa"/>
              <w:right w:w="108" w:type="dxa"/>
            </w:tcMar>
            <w:vAlign w:val="center"/>
          </w:tcPr>
          <w:p w14:paraId="074CD891" w14:textId="77777777" w:rsidR="00F37D53" w:rsidRPr="0009404C" w:rsidRDefault="00F37D53" w:rsidP="00080C3C">
            <w:pPr>
              <w:spacing w:after="0" w:line="240" w:lineRule="auto"/>
              <w:jc w:val="center"/>
              <w:rPr>
                <w:color w:val="000000" w:themeColor="text1"/>
              </w:rPr>
            </w:pPr>
            <w:r w:rsidRPr="0009404C">
              <w:rPr>
                <w:rFonts w:ascii="Times New Roman" w:eastAsia="Times New Roman" w:hAnsi="Times New Roman" w:cs="Times New Roman"/>
                <w:color w:val="000000" w:themeColor="text1"/>
                <w:kern w:val="0"/>
                <w:lang w:val="en-US" w:eastAsia="ca-ES"/>
                <w14:ligatures w14:val="none"/>
              </w:rPr>
              <w:t>-0.568</w:t>
            </w:r>
          </w:p>
        </w:tc>
      </w:tr>
      <w:tr w:rsidR="00F37D53" w:rsidRPr="00616F9C" w14:paraId="465BBE8A" w14:textId="77777777" w:rsidTr="00080C3C">
        <w:trPr>
          <w:trHeight w:val="315"/>
          <w:jc w:val="center"/>
        </w:trPr>
        <w:tc>
          <w:tcPr>
            <w:tcW w:w="8030" w:type="dxa"/>
            <w:gridSpan w:val="5"/>
            <w:tcBorders>
              <w:top w:val="single" w:sz="4" w:space="0" w:color="auto"/>
              <w:left w:val="nil"/>
              <w:right w:val="nil"/>
            </w:tcBorders>
            <w:tcMar>
              <w:left w:w="108" w:type="dxa"/>
              <w:right w:w="108" w:type="dxa"/>
            </w:tcMar>
            <w:vAlign w:val="center"/>
          </w:tcPr>
          <w:p w14:paraId="314BDCA0" w14:textId="77777777" w:rsidR="00F37D53" w:rsidRPr="0009404C" w:rsidRDefault="00F37D53" w:rsidP="00080C3C">
            <w:pPr>
              <w:spacing w:after="0" w:line="240" w:lineRule="auto"/>
              <w:rPr>
                <w:rFonts w:ascii="Times New Roman" w:eastAsia="Times New Roman" w:hAnsi="Times New Roman" w:cs="Times New Roman"/>
                <w:color w:val="000000" w:themeColor="text1"/>
                <w:kern w:val="0"/>
                <w:lang w:val="en-US" w:eastAsia="ca-ES"/>
                <w14:ligatures w14:val="none"/>
              </w:rPr>
            </w:pPr>
            <w:r w:rsidRPr="0009404C">
              <w:rPr>
                <w:rFonts w:ascii="Times New Roman" w:eastAsia="Times New Roman" w:hAnsi="Times New Roman" w:cs="Times New Roman"/>
                <w:color w:val="000000" w:themeColor="text1"/>
                <w:kern w:val="0"/>
                <w:lang w:val="en-GB" w:eastAsia="en-GB"/>
                <w14:ligatures w14:val="none"/>
              </w:rPr>
              <w:t>Note. Significant values at p &lt; .05 are shown in bold.</w:t>
            </w:r>
          </w:p>
        </w:tc>
      </w:tr>
    </w:tbl>
    <w:p w14:paraId="21CB15ED" w14:textId="77777777" w:rsidR="00C471DA" w:rsidRDefault="00C471DA">
      <w:pPr>
        <w:rPr>
          <w:lang w:val="en-US"/>
        </w:rPr>
      </w:pPr>
    </w:p>
    <w:sdt>
      <w:sdtPr>
        <w:rPr>
          <w:rFonts w:ascii="Aptos" w:hAnsi="Aptos"/>
          <w:color w:val="000000"/>
          <w:lang w:val="en-US"/>
        </w:rPr>
        <w:tag w:val="MENDELEY_BIBLIOGRAPHY"/>
        <w:id w:val="-1101335051"/>
        <w:placeholder>
          <w:docPart w:val="DefaultPlaceholder_-1854013440"/>
        </w:placeholder>
      </w:sdtPr>
      <w:sdtContent>
        <w:p w14:paraId="244FBAF0" w14:textId="77777777" w:rsidR="00E41681" w:rsidRPr="00E41681" w:rsidRDefault="00E41681" w:rsidP="00E41681">
          <w:pPr>
            <w:autoSpaceDE w:val="0"/>
            <w:autoSpaceDN w:val="0"/>
            <w:ind w:hanging="640"/>
            <w:jc w:val="both"/>
            <w:divId w:val="1729839096"/>
            <w:rPr>
              <w:rFonts w:ascii="Aptos" w:eastAsia="Times New Roman" w:hAnsi="Aptos"/>
              <w:color w:val="000000"/>
              <w:kern w:val="0"/>
              <w:szCs w:val="24"/>
              <w14:ligatures w14:val="none"/>
            </w:rPr>
          </w:pPr>
          <w:r w:rsidRPr="00E41681">
            <w:rPr>
              <w:rFonts w:ascii="Times New Roman" w:eastAsia="Times New Roman" w:hAnsi="Times New Roman" w:cs="Times New Roman"/>
              <w:color w:val="000000"/>
              <w:lang w:val="en-US"/>
            </w:rPr>
            <w:t>1.</w:t>
          </w:r>
          <w:r w:rsidRPr="00E41681">
            <w:rPr>
              <w:rFonts w:ascii="Aptos" w:eastAsia="Times New Roman" w:hAnsi="Aptos"/>
              <w:color w:val="000000"/>
              <w:lang w:val="en-US"/>
            </w:rPr>
            <w:t xml:space="preserve"> </w:t>
          </w:r>
          <w:r w:rsidRPr="00E41681">
            <w:rPr>
              <w:rFonts w:ascii="Aptos" w:eastAsia="Times New Roman" w:hAnsi="Aptos"/>
              <w:color w:val="000000"/>
              <w:lang w:val="en-US"/>
            </w:rPr>
            <w:tab/>
          </w:r>
          <w:r w:rsidRPr="00E41681">
            <w:rPr>
              <w:rFonts w:ascii="Times New Roman" w:eastAsia="Times New Roman" w:hAnsi="Times New Roman" w:cs="Times New Roman"/>
              <w:color w:val="000000"/>
              <w:lang w:val="en-US"/>
            </w:rPr>
            <w:t xml:space="preserve">Matamala-Gomez M, </w:t>
          </w:r>
          <w:proofErr w:type="spellStart"/>
          <w:r w:rsidRPr="00E41681">
            <w:rPr>
              <w:rFonts w:ascii="Times New Roman" w:eastAsia="Times New Roman" w:hAnsi="Times New Roman" w:cs="Times New Roman"/>
              <w:color w:val="000000"/>
              <w:lang w:val="en-US"/>
            </w:rPr>
            <w:t>Vilà</w:t>
          </w:r>
          <w:proofErr w:type="spellEnd"/>
          <w:r w:rsidRPr="00E41681">
            <w:rPr>
              <w:rFonts w:ascii="Times New Roman" w:eastAsia="Times New Roman" w:hAnsi="Times New Roman" w:cs="Times New Roman"/>
              <w:color w:val="000000"/>
              <w:lang w:val="en-US"/>
            </w:rPr>
            <w:t xml:space="preserve">-Balló A, </w:t>
          </w:r>
          <w:proofErr w:type="spellStart"/>
          <w:r w:rsidRPr="00E41681">
            <w:rPr>
              <w:rFonts w:ascii="Times New Roman" w:eastAsia="Times New Roman" w:hAnsi="Times New Roman" w:cs="Times New Roman"/>
              <w:color w:val="000000"/>
              <w:lang w:val="en-US"/>
            </w:rPr>
            <w:t>Cucurell</w:t>
          </w:r>
          <w:proofErr w:type="spellEnd"/>
          <w:r w:rsidRPr="00E41681">
            <w:rPr>
              <w:rFonts w:ascii="Times New Roman" w:eastAsia="Times New Roman" w:hAnsi="Times New Roman" w:cs="Times New Roman"/>
              <w:color w:val="000000"/>
              <w:lang w:val="en-US"/>
            </w:rPr>
            <w:t xml:space="preserve"> D, </w:t>
          </w:r>
          <w:proofErr w:type="spellStart"/>
          <w:r w:rsidRPr="00E41681">
            <w:rPr>
              <w:rFonts w:ascii="Times New Roman" w:eastAsia="Times New Roman" w:hAnsi="Times New Roman" w:cs="Times New Roman"/>
              <w:color w:val="000000"/>
              <w:lang w:val="en-US"/>
            </w:rPr>
            <w:t>Tajadura</w:t>
          </w:r>
          <w:proofErr w:type="spellEnd"/>
          <w:r w:rsidRPr="00E41681">
            <w:rPr>
              <w:rFonts w:ascii="Times New Roman" w:eastAsia="Times New Roman" w:hAnsi="Times New Roman" w:cs="Times New Roman"/>
              <w:color w:val="000000"/>
              <w:lang w:val="en-US"/>
            </w:rPr>
            <w:t>-Jiménez A, Rodriguez-</w:t>
          </w:r>
          <w:proofErr w:type="spellStart"/>
          <w:r w:rsidRPr="00E41681">
            <w:rPr>
              <w:rFonts w:ascii="Times New Roman" w:eastAsia="Times New Roman" w:hAnsi="Times New Roman" w:cs="Times New Roman"/>
              <w:color w:val="000000"/>
              <w:lang w:val="en-US"/>
            </w:rPr>
            <w:t>Fornells</w:t>
          </w:r>
          <w:proofErr w:type="spellEnd"/>
          <w:r w:rsidRPr="00E41681">
            <w:rPr>
              <w:rFonts w:ascii="Times New Roman" w:eastAsia="Times New Roman" w:hAnsi="Times New Roman" w:cs="Times New Roman"/>
              <w:color w:val="000000"/>
              <w:lang w:val="en-US"/>
            </w:rPr>
            <w:t xml:space="preserve"> A. Sensorimotor Frequency Tagging Is Enhanced by Auditory and Audiovisual but Not Visual, Inputs During a Body-Walking Task. Psychophysiology [online serial]. John Wiley &amp; Sons, Ltd; 2026;63:e70225. Accessed at: /</w:t>
          </w:r>
          <w:proofErr w:type="spellStart"/>
          <w:r w:rsidRPr="00E41681">
            <w:rPr>
              <w:rFonts w:ascii="Times New Roman" w:eastAsia="Times New Roman" w:hAnsi="Times New Roman" w:cs="Times New Roman"/>
              <w:color w:val="000000"/>
              <w:lang w:val="en-US"/>
            </w:rPr>
            <w:t>doi</w:t>
          </w:r>
          <w:proofErr w:type="spellEnd"/>
          <w:r w:rsidRPr="00E41681">
            <w:rPr>
              <w:rFonts w:ascii="Times New Roman" w:eastAsia="Times New Roman" w:hAnsi="Times New Roman" w:cs="Times New Roman"/>
              <w:color w:val="000000"/>
              <w:lang w:val="en-US"/>
            </w:rPr>
            <w:t xml:space="preserve">/pdf/10.1111/psyp.70225. </w:t>
          </w:r>
          <w:proofErr w:type="spellStart"/>
          <w:r w:rsidRPr="00E41681">
            <w:rPr>
              <w:rFonts w:ascii="Times New Roman" w:eastAsia="Times New Roman" w:hAnsi="Times New Roman" w:cs="Times New Roman"/>
              <w:color w:val="000000"/>
            </w:rPr>
            <w:t>Accessed</w:t>
          </w:r>
          <w:proofErr w:type="spellEnd"/>
          <w:r w:rsidRPr="00E41681">
            <w:rPr>
              <w:rFonts w:ascii="Times New Roman" w:eastAsia="Times New Roman" w:hAnsi="Times New Roman" w:cs="Times New Roman"/>
              <w:color w:val="000000"/>
            </w:rPr>
            <w:t xml:space="preserve"> March 22, 2026.</w:t>
          </w:r>
        </w:p>
        <w:p w14:paraId="64F87013" w14:textId="21C347E8" w:rsidR="00E41681" w:rsidRPr="00F37D53" w:rsidRDefault="00E41681">
          <w:pPr>
            <w:rPr>
              <w:lang w:val="en-US"/>
            </w:rPr>
          </w:pPr>
          <w:r w:rsidRPr="00E41681">
            <w:rPr>
              <w:rFonts w:ascii="Aptos" w:eastAsia="Times New Roman" w:hAnsi="Aptos"/>
              <w:color w:val="000000"/>
            </w:rPr>
            <w:t> </w:t>
          </w:r>
        </w:p>
      </w:sdtContent>
    </w:sdt>
    <w:sectPr w:rsidR="00E41681" w:rsidRPr="00F37D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53"/>
    <w:rsid w:val="004F7949"/>
    <w:rsid w:val="006B5566"/>
    <w:rsid w:val="00720EB5"/>
    <w:rsid w:val="00B57707"/>
    <w:rsid w:val="00C471DA"/>
    <w:rsid w:val="00E41681"/>
    <w:rsid w:val="00F37D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7B24"/>
  <w15:chartTrackingRefBased/>
  <w15:docId w15:val="{D6C32D21-7BDB-453E-AE45-325F5A0D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D53"/>
  </w:style>
  <w:style w:type="paragraph" w:styleId="Ttulo1">
    <w:name w:val="heading 1"/>
    <w:basedOn w:val="Normal"/>
    <w:next w:val="Normal"/>
    <w:link w:val="Ttulo1Car"/>
    <w:uiPriority w:val="9"/>
    <w:qFormat/>
    <w:rsid w:val="00F37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37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37D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37D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37D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37D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37D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37D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37D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7D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37D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37D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37D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37D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37D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37D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37D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37D53"/>
    <w:rPr>
      <w:rFonts w:eastAsiaTheme="majorEastAsia" w:cstheme="majorBidi"/>
      <w:color w:val="272727" w:themeColor="text1" w:themeTint="D8"/>
    </w:rPr>
  </w:style>
  <w:style w:type="paragraph" w:styleId="Ttulo">
    <w:name w:val="Title"/>
    <w:basedOn w:val="Normal"/>
    <w:next w:val="Normal"/>
    <w:link w:val="TtuloCar"/>
    <w:uiPriority w:val="10"/>
    <w:qFormat/>
    <w:rsid w:val="00F37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37D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37D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37D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37D53"/>
    <w:pPr>
      <w:spacing w:before="160"/>
      <w:jc w:val="center"/>
    </w:pPr>
    <w:rPr>
      <w:i/>
      <w:iCs/>
      <w:color w:val="404040" w:themeColor="text1" w:themeTint="BF"/>
    </w:rPr>
  </w:style>
  <w:style w:type="character" w:customStyle="1" w:styleId="CitaCar">
    <w:name w:val="Cita Car"/>
    <w:basedOn w:val="Fuentedeprrafopredeter"/>
    <w:link w:val="Cita"/>
    <w:uiPriority w:val="29"/>
    <w:rsid w:val="00F37D53"/>
    <w:rPr>
      <w:i/>
      <w:iCs/>
      <w:color w:val="404040" w:themeColor="text1" w:themeTint="BF"/>
    </w:rPr>
  </w:style>
  <w:style w:type="paragraph" w:styleId="Prrafodelista">
    <w:name w:val="List Paragraph"/>
    <w:basedOn w:val="Normal"/>
    <w:uiPriority w:val="34"/>
    <w:qFormat/>
    <w:rsid w:val="00F37D53"/>
    <w:pPr>
      <w:ind w:left="720"/>
      <w:contextualSpacing/>
    </w:pPr>
  </w:style>
  <w:style w:type="character" w:styleId="nfasisintenso">
    <w:name w:val="Intense Emphasis"/>
    <w:basedOn w:val="Fuentedeprrafopredeter"/>
    <w:uiPriority w:val="21"/>
    <w:qFormat/>
    <w:rsid w:val="00F37D53"/>
    <w:rPr>
      <w:i/>
      <w:iCs/>
      <w:color w:val="0F4761" w:themeColor="accent1" w:themeShade="BF"/>
    </w:rPr>
  </w:style>
  <w:style w:type="paragraph" w:styleId="Citadestacada">
    <w:name w:val="Intense Quote"/>
    <w:basedOn w:val="Normal"/>
    <w:next w:val="Normal"/>
    <w:link w:val="CitadestacadaCar"/>
    <w:uiPriority w:val="30"/>
    <w:qFormat/>
    <w:rsid w:val="00F37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37D53"/>
    <w:rPr>
      <w:i/>
      <w:iCs/>
      <w:color w:val="0F4761" w:themeColor="accent1" w:themeShade="BF"/>
    </w:rPr>
  </w:style>
  <w:style w:type="character" w:styleId="Referenciaintensa">
    <w:name w:val="Intense Reference"/>
    <w:basedOn w:val="Fuentedeprrafopredeter"/>
    <w:uiPriority w:val="32"/>
    <w:qFormat/>
    <w:rsid w:val="00F37D53"/>
    <w:rPr>
      <w:b/>
      <w:bCs/>
      <w:smallCaps/>
      <w:color w:val="0F4761" w:themeColor="accent1" w:themeShade="BF"/>
      <w:spacing w:val="5"/>
    </w:rPr>
  </w:style>
  <w:style w:type="character" w:styleId="Textodelmarcadordeposicin">
    <w:name w:val="Placeholder Text"/>
    <w:basedOn w:val="Fuentedeprrafopredeter"/>
    <w:uiPriority w:val="99"/>
    <w:semiHidden/>
    <w:rsid w:val="00E416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839096">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D8383F4-A2F6-4C39-9BF9-5A2134DC35C8}"/>
      </w:docPartPr>
      <w:docPartBody>
        <w:p w:rsidR="0092794B" w:rsidRDefault="0023707B">
          <w:r w:rsidRPr="00932DB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7B"/>
    <w:rsid w:val="0023707B"/>
    <w:rsid w:val="006B5566"/>
    <w:rsid w:val="009279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3707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81D8C5-19AD-4DB6-8940-2C80A7803CA4}">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5263242411"/>
    <we:property name="MENDELEY_CITATIONS" value="[{&quot;citationID&quot;:&quot;MENDELEY_CITATION_86cf7aa7-1928-4642-ac6d-56fe1f0a856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&quot;,&quot;citationItems&quot;:[{&quot;id&quot;:&quot;1eabcb5f-e2e4-34b8-8582-b09f23c96c76&quot;,&quot;itemData&quot;:{&quot;type&quot;:&quot;article-journal&quot;,&quot;id&quot;:&quot;1eabcb5f-e2e4-34b8-8582-b09f23c96c76&quot;,&quot;title&quot;:&quot;Sensorimotor Frequency Tagging Is Enhanced by Auditory and Audiovisual but Not Visual, Inputs During a Body-Walking Task&quot;,&quot;author&quot;:[{&quot;family&quot;:&quot;Matamala-Gomez&quot;,&quot;given&quot;:&quot;Marta&quot;,&quot;parse-names&quot;:false,&quot;dropping-particle&quot;:&quot;&quot;,&quot;non-dropping-particle&quot;:&quot;&quot;},{&quot;family&quot;:&quot;Vilà-Balló&quot;,&quot;given&quot;:&quot;Adrià&quot;,&quot;parse-names&quot;:false,&quot;dropping-particle&quot;:&quot;&quot;,&quot;non-dropping-particle&quot;:&quot;&quot;},{&quot;family&quot;:&quot;Cucurell&quot;,&quot;given&quot;:&quot;David&quot;,&quot;parse-names&quot;:false,&quot;dropping-particle&quot;:&quot;&quot;,&quot;non-dropping-particle&quot;:&quot;&quot;},{&quot;family&quot;:&quot;Tajadura-Jiménez&quot;,&quot;given&quot;:&quot;Ana&quot;,&quot;parse-names&quot;:false,&quot;dropping-particle&quot;:&quot;&quot;,&quot;non-dropping-particle&quot;:&quot;&quot;},{&quot;family&quot;:&quot;Rodriguez-Fornells&quot;,&quot;given&quot;:&quot;Antoni&quot;,&quot;parse-names&quot;:false,&quot;dropping-particle&quot;:&quot;&quot;,&quot;non-dropping-particle&quot;:&quot;&quot;}],&quot;container-title&quot;:&quot;Psychophysiology&quot;,&quot;container-title-short&quot;:&quot;Psychophysiology&quot;,&quot;accessed&quot;:{&quot;date-parts&quot;:[[2026,3,22]]},&quot;DOI&quot;:&quot;10.1111/psyp.70225&quot;,&quot;ISSN&quot;:&quot;14698986&quot;,&quot;PMID&quot;:&quot;41604319&quot;,&quot;URL&quot;:&quot;/doi/pdf/10.1111/psyp.70225&quot;,&quot;issued&quot;:{&quot;date-parts&quot;:[[2026,2,1]]},&quot;page&quot;:&quot;e70225&quot;,&quot;abstract&quot;:&quot;Body movements like walking can synchronize with auditory and visual inputs presented within a periodic frequency range, peaking around 2 Hz. Some evidence has shown that the spontaneous tempo of human locomotion is around 2 Hz. The EEG frequency-tagging approach allows us to capture the coupling of beat perception with neural brain oscillations at beat frequency. This study used EEG frequency tagging to explore brain dynamics during the perception of walking-related sensory information in the auditory (footstep sounds) and visual (point-light figure) modalities. Sensory inputs were delivered at different rates (1, 2, and 3.6 Hz) in rhythmic or random sequences while recording EEG activity. The experiment included three conditions: (i) auditory, (ii) visual, and (iii) audiovisual, including data from 22 participants. Results showed a main effect of rhythmic sequences compared with random sequences across all frequencies in all three auditory, visual, or audiovisual conditions. Specifically, at 2 Hz, rhythmic sequences enhanced neural entrainment in the sensorimotor cortex for auditory and audiovisual conditions. This effect was absent in the visual condition alone. Notably, 2 Hz rhythmic sequences in the audiovisual condition led to coupling with temporal, sensorimotor, and occipital regions. The study suggests that sensory auditory input related to walking movement presented at 2 Hz can mediate neural entrainment with sensorimotor areas. The findings of this study can have an impact on the spontaneous rhythmic integration of body movements using sensory inputs for walking rehabilitation.&quot;,&quot;publisher&quot;:&quot;John Wiley &amp; Sons, Ltd&quot;,&quot;issue&quot;:&quot;2&quot;,&quot;volume&quot;:&quot;63&quot;},&quot;isTemporary&quot;:false}]}]"/>
    <we:property name="MENDELEY_CITATIONS_LOCALE_CODE" value="&quot;en-US&quot;"/>
    <we:property name="MENDELEY_CITATIONS_STYLE" value="{&quot;id&quot;:&quot;https://www.zotero.org/styles/neurology&quot;,&quot;title&quot;:&quot;Neur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E5C05-8D3D-493C-A082-06CB0BA4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2168</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Matamala Gómez</dc:creator>
  <cp:keywords/>
  <dc:description/>
  <cp:lastModifiedBy>Marta Matamala Gómez</cp:lastModifiedBy>
  <cp:revision>3</cp:revision>
  <dcterms:created xsi:type="dcterms:W3CDTF">2026-07-28T18:25:00Z</dcterms:created>
  <dcterms:modified xsi:type="dcterms:W3CDTF">2026-07-28T18:28:00Z</dcterms:modified>
</cp:coreProperties>
</file>