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FE419B" w14:textId="39B06D7D" w:rsidR="00DA1969" w:rsidRPr="008D5137" w:rsidRDefault="00B116C0" w:rsidP="005B4ECF">
      <w:pPr>
        <w:tabs>
          <w:tab w:val="left" w:pos="986"/>
        </w:tabs>
        <w:rPr>
          <w:b/>
          <w:bCs/>
        </w:rPr>
      </w:pPr>
      <w:r w:rsidRPr="008D5137">
        <w:rPr>
          <w:b/>
          <w:bCs/>
        </w:rPr>
        <w:t>Supplementary Information</w:t>
      </w:r>
    </w:p>
    <w:p w14:paraId="08283B0F" w14:textId="77777777" w:rsidR="00B116C0" w:rsidRPr="00DA1969" w:rsidRDefault="00B116C0" w:rsidP="005B4ECF">
      <w:pPr>
        <w:tabs>
          <w:tab w:val="left" w:pos="986"/>
        </w:tabs>
        <w:rPr>
          <w:b/>
          <w:bCs/>
        </w:rPr>
      </w:pPr>
    </w:p>
    <w:p w14:paraId="1A630DFC" w14:textId="77777777" w:rsidR="00F40FB4" w:rsidRDefault="00515551" w:rsidP="005B4ECF">
      <w:pPr>
        <w:tabs>
          <w:tab w:val="left" w:pos="986"/>
        </w:tabs>
        <w:rPr>
          <w:b/>
          <w:bCs/>
        </w:rPr>
      </w:pPr>
      <w:r>
        <w:rPr>
          <w:noProof/>
        </w:rPr>
        <w:drawing>
          <wp:inline distT="0" distB="0" distL="0" distR="0" wp14:anchorId="048F45CA" wp14:editId="06459E07">
            <wp:extent cx="5288705" cy="4729323"/>
            <wp:effectExtent l="0" t="0" r="0" b="0"/>
            <wp:docPr id="7062766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76645" name="Imagen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2613" cy="4741760"/>
                    </a:xfrm>
                    <a:prstGeom prst="rect">
                      <a:avLst/>
                    </a:prstGeom>
                  </pic:spPr>
                </pic:pic>
              </a:graphicData>
            </a:graphic>
          </wp:inline>
        </w:drawing>
      </w:r>
    </w:p>
    <w:p w14:paraId="785EA526" w14:textId="60C9929A" w:rsidR="00F40FB4" w:rsidRPr="0040233C" w:rsidRDefault="00515551" w:rsidP="005B4ECF">
      <w:pPr>
        <w:tabs>
          <w:tab w:val="left" w:pos="986"/>
        </w:tabs>
        <w:rPr>
          <w:b/>
          <w:bCs/>
        </w:rPr>
      </w:pPr>
      <w:r w:rsidRPr="00E72308">
        <w:rPr>
          <w:b/>
          <w:bCs/>
        </w:rPr>
        <w:t xml:space="preserve">Figure </w:t>
      </w:r>
      <w:r>
        <w:rPr>
          <w:b/>
          <w:bCs/>
        </w:rPr>
        <w:t xml:space="preserve">S1. </w:t>
      </w:r>
      <w:r>
        <w:t>Computational</w:t>
      </w:r>
      <w:r w:rsidRPr="00DF038A">
        <w:t xml:space="preserve"> models </w:t>
      </w:r>
      <w:r>
        <w:t xml:space="preserve">of the </w:t>
      </w:r>
      <w:r w:rsidRPr="00773AF8">
        <w:t>MOR–D</w:t>
      </w:r>
      <w:r w:rsidRPr="00773AF8">
        <w:rPr>
          <w:vertAlign w:val="subscript"/>
        </w:rPr>
        <w:t>1</w:t>
      </w:r>
      <w:r w:rsidRPr="00773AF8">
        <w:t xml:space="preserve">R </w:t>
      </w:r>
      <w:proofErr w:type="spellStart"/>
      <w:r>
        <w:t>heterotetramer</w:t>
      </w:r>
      <w:proofErr w:type="spellEnd"/>
      <w:r>
        <w:t xml:space="preserve"> </w:t>
      </w:r>
      <w:r w:rsidRPr="00DF038A">
        <w:t>constructed to investigate alternative G protein arrangements.</w:t>
      </w:r>
      <w:r>
        <w:t xml:space="preserve"> </w:t>
      </w:r>
      <w:r w:rsidRPr="001E39F6">
        <w:t>(</w:t>
      </w:r>
      <w:r w:rsidRPr="001E39F6">
        <w:rPr>
          <w:b/>
          <w:bCs/>
        </w:rPr>
        <w:t>a</w:t>
      </w:r>
      <w:r w:rsidRPr="001E39F6">
        <w:t>)</w:t>
      </w:r>
      <w:r w:rsidRPr="00DF038A">
        <w:t xml:space="preserve"> In the first model, both G proteins (Gi coupled to MOR and Gs coupled to D</w:t>
      </w:r>
      <w:r w:rsidRPr="00E361C6">
        <w:rPr>
          <w:vertAlign w:val="subscript"/>
        </w:rPr>
        <w:t>1</w:t>
      </w:r>
      <w:r w:rsidRPr="00DF038A">
        <w:t xml:space="preserve">R) were positioned on the outer protomers of the complex. </w:t>
      </w:r>
      <w:r>
        <w:t>(</w:t>
      </w:r>
      <w:r w:rsidRPr="001E39F6">
        <w:rPr>
          <w:b/>
          <w:bCs/>
        </w:rPr>
        <w:t>b</w:t>
      </w:r>
      <w:r>
        <w:t xml:space="preserve">) </w:t>
      </w:r>
      <w:r w:rsidRPr="00DF038A">
        <w:t xml:space="preserve">In the second model, the MOR-associated Gi protein occupied </w:t>
      </w:r>
      <w:r>
        <w:t xml:space="preserve">the outer protomer and the </w:t>
      </w:r>
      <w:r w:rsidRPr="00DF038A">
        <w:t>D</w:t>
      </w:r>
      <w:r w:rsidRPr="00E361C6">
        <w:rPr>
          <w:vertAlign w:val="subscript"/>
        </w:rPr>
        <w:t>1</w:t>
      </w:r>
      <w:r w:rsidRPr="00DF038A">
        <w:t>R-associated Gs protein was positioned on the inner protomer</w:t>
      </w:r>
      <w:r>
        <w:t>. (</w:t>
      </w:r>
      <w:r w:rsidRPr="001E39F6">
        <w:rPr>
          <w:b/>
          <w:bCs/>
        </w:rPr>
        <w:t>c</w:t>
      </w:r>
      <w:r>
        <w:t>)</w:t>
      </w:r>
      <w:r w:rsidRPr="00DF038A">
        <w:t xml:space="preserve"> </w:t>
      </w:r>
      <w:r>
        <w:t>I</w:t>
      </w:r>
      <w:r w:rsidRPr="00DF038A">
        <w:t>n the third model, the MOR-associated Gi protein occupied the inner protomer</w:t>
      </w:r>
      <w:r>
        <w:t xml:space="preserve">, while the </w:t>
      </w:r>
      <w:r w:rsidRPr="00DF038A">
        <w:t>D</w:t>
      </w:r>
      <w:r w:rsidRPr="00E361C6">
        <w:rPr>
          <w:vertAlign w:val="subscript"/>
        </w:rPr>
        <w:t>1</w:t>
      </w:r>
      <w:r w:rsidRPr="00DF038A">
        <w:t xml:space="preserve">R-associated Gs protein was positioned on the </w:t>
      </w:r>
      <w:r>
        <w:t>outer</w:t>
      </w:r>
      <w:r w:rsidRPr="00DF038A">
        <w:t xml:space="preserve"> protomer.</w:t>
      </w:r>
      <w:r>
        <w:t xml:space="preserve"> The stability of the complexes was analyzed via root-mean-square deviations (RMSD) during unbiased 1 </w:t>
      </w:r>
      <w:proofErr w:type="spellStart"/>
      <w:r>
        <w:t>μs</w:t>
      </w:r>
      <w:proofErr w:type="spellEnd"/>
      <w:r>
        <w:t xml:space="preserve"> MD simulations (right panels). L</w:t>
      </w:r>
      <w:r w:rsidRPr="004740CE">
        <w:t xml:space="preserve">ow </w:t>
      </w:r>
      <w:r>
        <w:t>RMSD</w:t>
      </w:r>
      <w:r w:rsidRPr="004740CE">
        <w:t xml:space="preserve"> values indicate that </w:t>
      </w:r>
      <w:r>
        <w:t>the protein is stable in the complex</w:t>
      </w:r>
      <w:r w:rsidRPr="004740CE">
        <w:t>.</w:t>
      </w:r>
      <w:r>
        <w:t xml:space="preserve"> </w:t>
      </w:r>
      <w:r w:rsidRPr="008671F2">
        <w:rPr>
          <w:rFonts w:cstheme="minorHAnsi"/>
        </w:rPr>
        <w:t>As expected, the G proteins exhibited higher RMSD values than the receptor protomers, primarily due to the intrinsic flexibility of the α-helical domain of the Gα subunit.</w:t>
      </w:r>
    </w:p>
    <w:p w14:paraId="7DD8103B" w14:textId="1407B41D" w:rsidR="00F8474B" w:rsidRDefault="00F40FB4" w:rsidP="005B4ECF">
      <w:pPr>
        <w:tabs>
          <w:tab w:val="left" w:pos="986"/>
        </w:tabs>
        <w:rPr>
          <w:rFonts w:cstheme="minorHAnsi"/>
        </w:rPr>
      </w:pPr>
      <w:r>
        <w:rPr>
          <w:noProof/>
        </w:rPr>
        <w:lastRenderedPageBreak/>
        <w:drawing>
          <wp:inline distT="0" distB="0" distL="0" distR="0" wp14:anchorId="06958478" wp14:editId="7DA302D0">
            <wp:extent cx="5146517" cy="4618671"/>
            <wp:effectExtent l="0" t="0" r="0" b="4445"/>
            <wp:docPr id="16619672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67240" name="Imagen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2773" cy="4678132"/>
                    </a:xfrm>
                    <a:prstGeom prst="rect">
                      <a:avLst/>
                    </a:prstGeom>
                  </pic:spPr>
                </pic:pic>
              </a:graphicData>
            </a:graphic>
          </wp:inline>
        </w:drawing>
      </w:r>
    </w:p>
    <w:p w14:paraId="01F3DE78" w14:textId="22767008" w:rsidR="001E39F6" w:rsidRDefault="00F40FB4" w:rsidP="005B4ECF">
      <w:pPr>
        <w:tabs>
          <w:tab w:val="left" w:pos="986"/>
        </w:tabs>
      </w:pPr>
      <w:r w:rsidRPr="00F40FB4">
        <w:rPr>
          <w:rFonts w:cstheme="minorHAnsi"/>
          <w:b/>
          <w:bCs/>
        </w:rPr>
        <w:t>Figure S2.</w:t>
      </w:r>
      <w:r w:rsidRPr="00F40FB4">
        <w:rPr>
          <w:rFonts w:cstheme="minorHAnsi"/>
        </w:rPr>
        <w:t xml:space="preserve"> Proposed mechanism by which naloxone-bound MOR mediates cross-antagonism of its partner D</w:t>
      </w:r>
      <w:r w:rsidRPr="00F40FB4">
        <w:rPr>
          <w:rFonts w:cstheme="minorHAnsi"/>
          <w:vertAlign w:val="subscript"/>
        </w:rPr>
        <w:t>1</w:t>
      </w:r>
      <w:r w:rsidRPr="00F40FB4">
        <w:rPr>
          <w:rFonts w:cstheme="minorHAnsi"/>
        </w:rPr>
        <w:t>R. (</w:t>
      </w:r>
      <w:r w:rsidRPr="00F40FB4">
        <w:rPr>
          <w:rFonts w:cstheme="minorHAnsi"/>
          <w:b/>
          <w:bCs/>
        </w:rPr>
        <w:t>a</w:t>
      </w:r>
      <w:r w:rsidRPr="00F40FB4">
        <w:rPr>
          <w:rFonts w:cstheme="minorHAnsi"/>
        </w:rPr>
        <w:t>) Distance the C</w:t>
      </w:r>
      <w:r w:rsidRPr="00F40FB4">
        <w:rPr>
          <w:rFonts w:cstheme="minorHAnsi"/>
          <w:vertAlign w:val="subscript"/>
        </w:rPr>
        <w:t>a</w:t>
      </w:r>
      <w:r w:rsidRPr="00F40FB4">
        <w:rPr>
          <w:rFonts w:cstheme="minorHAnsi"/>
        </w:rPr>
        <w:t xml:space="preserve"> atom of K235</w:t>
      </w:r>
      <w:r w:rsidRPr="00F40FB4">
        <w:rPr>
          <w:rFonts w:cstheme="minorHAnsi"/>
          <w:vertAlign w:val="superscript"/>
        </w:rPr>
        <w:t>5.39</w:t>
      </w:r>
      <w:r w:rsidRPr="00F40FB4">
        <w:rPr>
          <w:rFonts w:cstheme="minorHAnsi"/>
        </w:rPr>
        <w:t xml:space="preserve"> and either the carbonyl group (O=C) at the C6 position of the morphinan scaffold in naloxone or the hydroxyl group (HO-C) at the corresponding position in morphine during t</w:t>
      </w:r>
      <w:r w:rsidRPr="00F40FB4">
        <w:rPr>
          <w:rFonts w:cstheme="minorHAnsi"/>
          <w:bCs/>
        </w:rPr>
        <w:t xml:space="preserve">hree independent 1-μs unbiased MD simulations.  Rotational flexibility of TM5 during the simulations show that naloxone provides </w:t>
      </w:r>
      <w:r w:rsidRPr="00F40FB4">
        <w:rPr>
          <w:rFonts w:cstheme="minorHAnsi"/>
        </w:rPr>
        <w:t>increased stability</w:t>
      </w:r>
      <w:r w:rsidRPr="00F40FB4">
        <w:rPr>
          <w:rFonts w:cstheme="minorHAnsi"/>
          <w:bCs/>
        </w:rPr>
        <w:t xml:space="preserve">. </w:t>
      </w:r>
      <w:r w:rsidRPr="00F40FB4">
        <w:rPr>
          <w:rFonts w:cstheme="minorHAnsi"/>
        </w:rPr>
        <w:t>(</w:t>
      </w:r>
      <w:r w:rsidRPr="00F40FB4">
        <w:rPr>
          <w:rFonts w:cstheme="minorHAnsi"/>
          <w:b/>
          <w:bCs/>
        </w:rPr>
        <w:t>b</w:t>
      </w:r>
      <w:r w:rsidRPr="00F40FB4">
        <w:rPr>
          <w:rFonts w:cstheme="minorHAnsi"/>
        </w:rPr>
        <w:t>) Dynamical cross-correlation matrix (DCCM) for the naloxone bound-system, with axes representing MOR protomer residues in Ballesteros-Weinstein numbering (upper left). Correlated motion is observed between the upper regions of TM5 and ECL2 and the upper regions of TM4. Values range from -1 (fully anticorrelated, dark blue) to +1 (fully correlated, dark red). (</w:t>
      </w:r>
      <w:r w:rsidRPr="00F40FB4">
        <w:rPr>
          <w:rFonts w:cstheme="minorHAnsi"/>
          <w:b/>
          <w:bCs/>
        </w:rPr>
        <w:t>c</w:t>
      </w:r>
      <w:r w:rsidRPr="00F40FB4">
        <w:rPr>
          <w:rFonts w:cstheme="minorHAnsi"/>
        </w:rPr>
        <w:t>) Schematic representation of the shortest allosteric path derived from the mean network obtained from the DCCM, shown on the dimer structure. Edges (lines) and nodes (spheres) represent network connections and residues along the path, respectively. The start is K235</w:t>
      </w:r>
      <w:r w:rsidRPr="00F40FB4">
        <w:rPr>
          <w:rFonts w:cstheme="minorHAnsi"/>
          <w:vertAlign w:val="superscript"/>
        </w:rPr>
        <w:t>5.39</w:t>
      </w:r>
      <w:r w:rsidRPr="00F40FB4">
        <w:rPr>
          <w:rFonts w:cstheme="minorHAnsi"/>
        </w:rPr>
        <w:t xml:space="preserve"> in MOR and the end is R121</w:t>
      </w:r>
      <w:r w:rsidRPr="00F40FB4">
        <w:rPr>
          <w:rFonts w:cstheme="minorHAnsi"/>
          <w:vertAlign w:val="superscript"/>
        </w:rPr>
        <w:t>3.50</w:t>
      </w:r>
      <w:r w:rsidRPr="00F40FB4">
        <w:rPr>
          <w:rFonts w:cstheme="minorHAnsi"/>
        </w:rPr>
        <w:t xml:space="preserve"> in D</w:t>
      </w:r>
      <w:r w:rsidRPr="00F40FB4">
        <w:rPr>
          <w:rFonts w:cstheme="minorHAnsi"/>
          <w:vertAlign w:val="subscript"/>
        </w:rPr>
        <w:t>1</w:t>
      </w:r>
      <w:r w:rsidRPr="00F40FB4">
        <w:rPr>
          <w:rFonts w:cstheme="minorHAnsi"/>
        </w:rPr>
        <w:t>R. No allosteric path was detected in the apo receptor system. (</w:t>
      </w:r>
      <w:r w:rsidRPr="00F40FB4">
        <w:rPr>
          <w:rFonts w:cstheme="minorHAnsi"/>
          <w:b/>
          <w:bCs/>
        </w:rPr>
        <w:t>d</w:t>
      </w:r>
      <w:r w:rsidRPr="00F40FB4">
        <w:rPr>
          <w:rFonts w:cstheme="minorHAnsi"/>
        </w:rPr>
        <w:t>) Contact frequency difference at the MOR-D</w:t>
      </w:r>
      <w:r w:rsidRPr="00F40FB4">
        <w:rPr>
          <w:rFonts w:cstheme="minorHAnsi"/>
          <w:vertAlign w:val="subscript"/>
        </w:rPr>
        <w:t>1</w:t>
      </w:r>
      <w:r w:rsidRPr="00F40FB4">
        <w:rPr>
          <w:rFonts w:cstheme="minorHAnsi"/>
        </w:rPr>
        <w:t xml:space="preserve">R interface between naloxone-bound and apo receptor systems. Positive values indicate increased contact frequency upon naloxone </w:t>
      </w:r>
      <w:r w:rsidRPr="00F40FB4">
        <w:rPr>
          <w:rFonts w:cstheme="minorHAnsi"/>
        </w:rPr>
        <w:lastRenderedPageBreak/>
        <w:t>binding. (</w:t>
      </w:r>
      <w:r w:rsidRPr="00F40FB4">
        <w:rPr>
          <w:rFonts w:cstheme="minorHAnsi"/>
          <w:b/>
          <w:bCs/>
        </w:rPr>
        <w:t>e</w:t>
      </w:r>
      <w:r w:rsidRPr="00F40FB4">
        <w:rPr>
          <w:rFonts w:cstheme="minorHAnsi"/>
        </w:rPr>
        <w:t xml:space="preserve">) Allosteric signal strength expressed as conductance (1/weight) for naloxone-bound and apo receptor systems across replicates, showing higher conductance in the naloxone system. Dynamic network modeling was performed using the Python package </w:t>
      </w:r>
      <w:proofErr w:type="spellStart"/>
      <w:r w:rsidRPr="00F40FB4">
        <w:rPr>
          <w:rFonts w:cstheme="minorHAnsi"/>
        </w:rPr>
        <w:t>NetworkX</w:t>
      </w:r>
      <w:proofErr w:type="spellEnd"/>
      <w:r w:rsidRPr="00F40FB4">
        <w:rPr>
          <w:rFonts w:cstheme="minorHAnsi"/>
        </w:rPr>
        <w:t>.  In this graph-based approach, residues act as nodes connected by edges if they maintain physical proximity (&lt;7.5Å). The efficiency of mechanical transmission across these edges was weighted based on the DCCM of the trajectories, meaning that highly correlated atomic motions translate to high allosteric conductance (low transmission resistance). The DCCM reveals that there is a correlated motion between the upper regions of TM5, ECL2 and TM4 in the MOR protomer. By computing the shortest allosteric path, we traced the continuous flow of this mechanical signal from the naloxone binding site to the conserved (D/</w:t>
      </w:r>
      <w:proofErr w:type="gramStart"/>
      <w:r w:rsidRPr="00F40FB4">
        <w:rPr>
          <w:rFonts w:cstheme="minorHAnsi"/>
        </w:rPr>
        <w:t>E)RY</w:t>
      </w:r>
      <w:proofErr w:type="gramEnd"/>
      <w:r w:rsidRPr="00F40FB4">
        <w:rPr>
          <w:rFonts w:cstheme="minorHAnsi"/>
        </w:rPr>
        <w:t xml:space="preserve"> motif at the D</w:t>
      </w:r>
      <w:r w:rsidRPr="00F40FB4">
        <w:rPr>
          <w:rFonts w:cstheme="minorHAnsi"/>
          <w:vertAlign w:val="subscript"/>
        </w:rPr>
        <w:t>1</w:t>
      </w:r>
      <w:r w:rsidRPr="00F40FB4">
        <w:rPr>
          <w:rFonts w:cstheme="minorHAnsi"/>
        </w:rPr>
        <w:t>R protomer. The energetic favorability of this signal transmission is supported by the significantly higher allosteric conductance observed in the naloxone-bound state than in the apo receptor.</w:t>
      </w:r>
    </w:p>
    <w:p w14:paraId="4B80E242" w14:textId="77777777" w:rsidR="005C1790" w:rsidRDefault="005C1790" w:rsidP="005B4ECF">
      <w:pPr>
        <w:tabs>
          <w:tab w:val="left" w:pos="986"/>
        </w:tabs>
      </w:pPr>
    </w:p>
    <w:p w14:paraId="72D7345D" w14:textId="31044FC8" w:rsidR="005C1790" w:rsidRDefault="00325BD6" w:rsidP="005B4ECF">
      <w:pPr>
        <w:tabs>
          <w:tab w:val="left" w:pos="986"/>
        </w:tabs>
      </w:pPr>
      <w:r>
        <w:rPr>
          <w:noProof/>
        </w:rPr>
        <w:drawing>
          <wp:inline distT="0" distB="0" distL="0" distR="0" wp14:anchorId="0D756D00" wp14:editId="002CD1C9">
            <wp:extent cx="5943600" cy="3017520"/>
            <wp:effectExtent l="0" t="0" r="0" b="5080"/>
            <wp:docPr id="11798262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26236" name="Picture 1179826236"/>
                    <pic:cNvPicPr/>
                  </pic:nvPicPr>
                  <pic:blipFill>
                    <a:blip r:embed="rId10"/>
                    <a:stretch>
                      <a:fillRect/>
                    </a:stretch>
                  </pic:blipFill>
                  <pic:spPr>
                    <a:xfrm>
                      <a:off x="0" y="0"/>
                      <a:ext cx="5943600" cy="3017520"/>
                    </a:xfrm>
                    <a:prstGeom prst="rect">
                      <a:avLst/>
                    </a:prstGeom>
                  </pic:spPr>
                </pic:pic>
              </a:graphicData>
            </a:graphic>
          </wp:inline>
        </w:drawing>
      </w:r>
    </w:p>
    <w:p w14:paraId="03790F37" w14:textId="36B6F6A1" w:rsidR="00325BD6" w:rsidRPr="008E7B36" w:rsidRDefault="008E7B36" w:rsidP="005B4ECF">
      <w:pPr>
        <w:tabs>
          <w:tab w:val="left" w:pos="986"/>
        </w:tabs>
      </w:pPr>
      <w:r w:rsidRPr="00E72308">
        <w:rPr>
          <w:b/>
          <w:bCs/>
        </w:rPr>
        <w:t>Figure S</w:t>
      </w:r>
      <w:r w:rsidR="00F8474B">
        <w:rPr>
          <w:b/>
          <w:bCs/>
        </w:rPr>
        <w:t>3</w:t>
      </w:r>
      <w:r>
        <w:rPr>
          <w:b/>
          <w:bCs/>
        </w:rPr>
        <w:t xml:space="preserve">. </w:t>
      </w:r>
      <w:r w:rsidRPr="008E7B36">
        <w:t>Custom-made photo-fluidic probes and agarose brain phantom. (</w:t>
      </w:r>
      <w:r w:rsidRPr="008E7B36">
        <w:rPr>
          <w:b/>
          <w:bCs/>
        </w:rPr>
        <w:t>a</w:t>
      </w:r>
      <w:r w:rsidRPr="008E7B36">
        <w:t>) 3D model of the core and cap of the probe. (</w:t>
      </w:r>
      <w:r w:rsidRPr="008E7B36">
        <w:rPr>
          <w:b/>
          <w:bCs/>
        </w:rPr>
        <w:t>b</w:t>
      </w:r>
      <w:r w:rsidRPr="008E7B36">
        <w:t>) 3D-printed cap and core of the probe. (</w:t>
      </w:r>
      <w:r w:rsidRPr="008E7B36">
        <w:rPr>
          <w:b/>
          <w:bCs/>
        </w:rPr>
        <w:t>c</w:t>
      </w:r>
      <w:r w:rsidRPr="008E7B36">
        <w:t>) Schematic representation of the photo-fluidic probe. (</w:t>
      </w:r>
      <w:r w:rsidRPr="008E7B36">
        <w:rPr>
          <w:b/>
          <w:bCs/>
        </w:rPr>
        <w:t>d</w:t>
      </w:r>
      <w:r w:rsidRPr="008E7B36">
        <w:t>) Final photo-fluidic probe after all components were secured together, including the photometry probe and the microinjector. (</w:t>
      </w:r>
      <w:r w:rsidRPr="008E7B36">
        <w:rPr>
          <w:b/>
          <w:bCs/>
        </w:rPr>
        <w:t>e</w:t>
      </w:r>
      <w:r w:rsidRPr="008E7B36">
        <w:t xml:space="preserve">) 3D model of the mold for preparing a 4% agarose brain phantom. Images of the agarose brain phantom during Evans blue dye </w:t>
      </w:r>
      <w:proofErr w:type="spellStart"/>
      <w:r w:rsidRPr="008E7B36">
        <w:t>microinfusion</w:t>
      </w:r>
      <w:proofErr w:type="spellEnd"/>
      <w:r>
        <w:t xml:space="preserve"> (</w:t>
      </w:r>
      <w:r w:rsidRPr="008E7B36">
        <w:rPr>
          <w:b/>
          <w:bCs/>
        </w:rPr>
        <w:t>f</w:t>
      </w:r>
      <w:r>
        <w:t>)</w:t>
      </w:r>
      <w:r w:rsidRPr="008E7B36">
        <w:t xml:space="preserve">, dye </w:t>
      </w:r>
      <w:proofErr w:type="spellStart"/>
      <w:r w:rsidRPr="008E7B36">
        <w:t>microinfusion</w:t>
      </w:r>
      <w:proofErr w:type="spellEnd"/>
      <w:r w:rsidRPr="008E7B36">
        <w:t xml:space="preserve"> with fiber photometry</w:t>
      </w:r>
      <w:r>
        <w:t xml:space="preserve"> (</w:t>
      </w:r>
      <w:r w:rsidRPr="008E7B36">
        <w:rPr>
          <w:b/>
          <w:bCs/>
        </w:rPr>
        <w:t>g</w:t>
      </w:r>
      <w:r>
        <w:t>),</w:t>
      </w:r>
      <w:r w:rsidRPr="008E7B36">
        <w:t xml:space="preserve"> and</w:t>
      </w:r>
      <w:r>
        <w:t xml:space="preserve"> f</w:t>
      </w:r>
      <w:r w:rsidRPr="008E7B36">
        <w:t>iber photometry with room lights turned off</w:t>
      </w:r>
      <w:r>
        <w:t xml:space="preserve"> (</w:t>
      </w:r>
      <w:r w:rsidRPr="008E7B36">
        <w:rPr>
          <w:b/>
          <w:bCs/>
        </w:rPr>
        <w:t>h</w:t>
      </w:r>
      <w:r>
        <w:t>).</w:t>
      </w:r>
    </w:p>
    <w:p w14:paraId="634CD29C" w14:textId="77777777" w:rsidR="005C1790" w:rsidRDefault="005C1790" w:rsidP="005B4ECF">
      <w:pPr>
        <w:tabs>
          <w:tab w:val="left" w:pos="986"/>
        </w:tabs>
      </w:pPr>
    </w:p>
    <w:p w14:paraId="284A8D91" w14:textId="60C3A6D7" w:rsidR="005C1790" w:rsidRDefault="00325BD6" w:rsidP="005B4ECF">
      <w:pPr>
        <w:tabs>
          <w:tab w:val="left" w:pos="986"/>
        </w:tabs>
      </w:pPr>
      <w:r>
        <w:rPr>
          <w:noProof/>
        </w:rPr>
        <w:lastRenderedPageBreak/>
        <w:drawing>
          <wp:inline distT="0" distB="0" distL="0" distR="0" wp14:anchorId="4CE48170" wp14:editId="2C7A7102">
            <wp:extent cx="4762500" cy="2730500"/>
            <wp:effectExtent l="0" t="0" r="0" b="0"/>
            <wp:docPr id="8014045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04573" name="Picture 801404573"/>
                    <pic:cNvPicPr/>
                  </pic:nvPicPr>
                  <pic:blipFill>
                    <a:blip r:embed="rId11">
                      <a:extLst>
                        <a:ext uri="{28A0092B-C50C-407E-A947-70E740481C1C}">
                          <a14:useLocalDpi xmlns:a14="http://schemas.microsoft.com/office/drawing/2010/main" val="0"/>
                        </a:ext>
                      </a:extLst>
                    </a:blip>
                    <a:stretch>
                      <a:fillRect/>
                    </a:stretch>
                  </pic:blipFill>
                  <pic:spPr>
                    <a:xfrm>
                      <a:off x="0" y="0"/>
                      <a:ext cx="4762500" cy="2730500"/>
                    </a:xfrm>
                    <a:prstGeom prst="rect">
                      <a:avLst/>
                    </a:prstGeom>
                  </pic:spPr>
                </pic:pic>
              </a:graphicData>
            </a:graphic>
          </wp:inline>
        </w:drawing>
      </w:r>
    </w:p>
    <w:p w14:paraId="256C3D7A" w14:textId="300A1575" w:rsidR="00065B21" w:rsidRPr="0040233C" w:rsidRDefault="00353FC3" w:rsidP="00065B21">
      <w:pPr>
        <w:tabs>
          <w:tab w:val="left" w:pos="986"/>
        </w:tabs>
      </w:pPr>
      <w:r w:rsidRPr="00E72308">
        <w:rPr>
          <w:b/>
          <w:bCs/>
        </w:rPr>
        <w:t>Figure S</w:t>
      </w:r>
      <w:r w:rsidR="00F8474B">
        <w:rPr>
          <w:b/>
          <w:bCs/>
        </w:rPr>
        <w:t>4</w:t>
      </w:r>
      <w:r>
        <w:rPr>
          <w:b/>
          <w:bCs/>
        </w:rPr>
        <w:t xml:space="preserve">. </w:t>
      </w:r>
      <w:r w:rsidRPr="00435E48">
        <w:t>Dose-response curve of SKF 81297 (SKF) on</w:t>
      </w:r>
      <w:r>
        <w:t xml:space="preserve"> </w:t>
      </w:r>
      <w:r w:rsidRPr="00435E48">
        <w:t>cAMP levels</w:t>
      </w:r>
      <w:r>
        <w:t xml:space="preserve"> in the mouse dorsal striatum</w:t>
      </w:r>
      <w:r w:rsidRPr="00435E48">
        <w:t xml:space="preserve">. Striatal cAMP levels were evaluated </w:t>
      </w:r>
      <w:r w:rsidRPr="00435E48">
        <w:rPr>
          <w:i/>
          <w:iCs/>
        </w:rPr>
        <w:t>in vivo</w:t>
      </w:r>
      <w:r w:rsidRPr="00435E48">
        <w:t xml:space="preserve"> using fiber photometry with the </w:t>
      </w:r>
      <w:proofErr w:type="spellStart"/>
      <w:r w:rsidRPr="00435E48">
        <w:t>cADDis</w:t>
      </w:r>
      <w:proofErr w:type="spellEnd"/>
      <w:r w:rsidRPr="00435E48">
        <w:t xml:space="preserve"> biosensor. Animals were injected with saline and, 15 minutes later, with one of three doses of SKF (0.5, 1.5, or 5.0 mg/kg). The vertical dotted lines indicate the timing of injections. The horizontal dotted line represents the baseline fluorescence normalized to zero percent.</w:t>
      </w:r>
    </w:p>
    <w:p w14:paraId="51B6F3DE" w14:textId="7FC0CD17" w:rsidR="00065B21" w:rsidRPr="00065B21" w:rsidRDefault="00065B21" w:rsidP="00065B21">
      <w:pPr>
        <w:tabs>
          <w:tab w:val="left" w:pos="986"/>
        </w:tabs>
      </w:pPr>
    </w:p>
    <w:tbl>
      <w:tblPr>
        <w:tblStyle w:val="TableGrid"/>
        <w:tblW w:w="9720" w:type="dxa"/>
        <w:tblInd w:w="-5" w:type="dxa"/>
        <w:tblLook w:val="0600" w:firstRow="0" w:lastRow="0" w:firstColumn="0" w:lastColumn="0" w:noHBand="1" w:noVBand="1"/>
      </w:tblPr>
      <w:tblGrid>
        <w:gridCol w:w="1508"/>
        <w:gridCol w:w="1016"/>
        <w:gridCol w:w="1413"/>
        <w:gridCol w:w="1076"/>
        <w:gridCol w:w="1413"/>
        <w:gridCol w:w="1016"/>
        <w:gridCol w:w="1413"/>
        <w:gridCol w:w="865"/>
      </w:tblGrid>
      <w:tr w:rsidR="00065B21" w:rsidRPr="00065B21" w14:paraId="074E2544" w14:textId="77777777" w:rsidTr="00E5747D">
        <w:trPr>
          <w:trHeight w:val="567"/>
        </w:trPr>
        <w:tc>
          <w:tcPr>
            <w:tcW w:w="1508" w:type="dxa"/>
            <w:tcBorders>
              <w:top w:val="nil"/>
              <w:left w:val="nil"/>
              <w:bottom w:val="nil"/>
            </w:tcBorders>
            <w:hideMark/>
          </w:tcPr>
          <w:p w14:paraId="7C644EE2" w14:textId="77777777" w:rsidR="00065B21" w:rsidRPr="00065B21" w:rsidRDefault="00065B21" w:rsidP="00065B21">
            <w:pPr>
              <w:tabs>
                <w:tab w:val="left" w:pos="986"/>
              </w:tabs>
              <w:spacing w:after="160" w:line="278" w:lineRule="auto"/>
            </w:pPr>
          </w:p>
        </w:tc>
        <w:tc>
          <w:tcPr>
            <w:tcW w:w="2429" w:type="dxa"/>
            <w:gridSpan w:val="2"/>
            <w:hideMark/>
          </w:tcPr>
          <w:p w14:paraId="2F331F53" w14:textId="77777777" w:rsidR="00065B21" w:rsidRPr="00065B21" w:rsidRDefault="00065B21" w:rsidP="00065B21">
            <w:pPr>
              <w:tabs>
                <w:tab w:val="left" w:pos="986"/>
              </w:tabs>
              <w:spacing w:after="160" w:line="278" w:lineRule="auto"/>
              <w:rPr>
                <w:b/>
                <w:bCs/>
              </w:rPr>
            </w:pPr>
            <w:r w:rsidRPr="00065B21">
              <w:rPr>
                <w:b/>
                <w:bCs/>
                <w:lang w:val="es-ES"/>
              </w:rPr>
              <w:t>K</w:t>
            </w:r>
            <w:r w:rsidRPr="00065B21">
              <w:rPr>
                <w:b/>
                <w:bCs/>
                <w:vertAlign w:val="subscript"/>
                <w:lang w:val="es-ES"/>
              </w:rPr>
              <w:t>DB1</w:t>
            </w:r>
            <w:r w:rsidRPr="00065B21">
              <w:rPr>
                <w:b/>
                <w:bCs/>
                <w:lang w:val="es-ES"/>
              </w:rPr>
              <w:t xml:space="preserve"> </w:t>
            </w:r>
          </w:p>
        </w:tc>
        <w:tc>
          <w:tcPr>
            <w:tcW w:w="2489" w:type="dxa"/>
            <w:gridSpan w:val="2"/>
            <w:hideMark/>
          </w:tcPr>
          <w:p w14:paraId="57458A4B" w14:textId="77777777" w:rsidR="00065B21" w:rsidRPr="00065B21" w:rsidRDefault="00065B21" w:rsidP="00065B21">
            <w:pPr>
              <w:tabs>
                <w:tab w:val="left" w:pos="986"/>
              </w:tabs>
              <w:spacing w:after="160" w:line="278" w:lineRule="auto"/>
              <w:rPr>
                <w:b/>
                <w:bCs/>
              </w:rPr>
            </w:pPr>
            <w:r w:rsidRPr="00065B21">
              <w:rPr>
                <w:b/>
                <w:bCs/>
                <w:lang w:val="es-ES"/>
              </w:rPr>
              <w:t>K</w:t>
            </w:r>
            <w:r w:rsidRPr="00065B21">
              <w:rPr>
                <w:b/>
                <w:bCs/>
                <w:vertAlign w:val="subscript"/>
                <w:lang w:val="es-ES"/>
              </w:rPr>
              <w:t>DB2</w:t>
            </w:r>
            <w:r w:rsidRPr="00065B21">
              <w:rPr>
                <w:b/>
                <w:bCs/>
                <w:lang w:val="es-ES"/>
              </w:rPr>
              <w:t xml:space="preserve"> </w:t>
            </w:r>
          </w:p>
        </w:tc>
        <w:tc>
          <w:tcPr>
            <w:tcW w:w="2429" w:type="dxa"/>
            <w:gridSpan w:val="2"/>
            <w:hideMark/>
          </w:tcPr>
          <w:p w14:paraId="21D7429A" w14:textId="77777777" w:rsidR="00065B21" w:rsidRPr="00065B21" w:rsidRDefault="00065B21" w:rsidP="00065B21">
            <w:pPr>
              <w:tabs>
                <w:tab w:val="left" w:pos="986"/>
              </w:tabs>
              <w:spacing w:after="160" w:line="278" w:lineRule="auto"/>
              <w:rPr>
                <w:b/>
                <w:bCs/>
              </w:rPr>
            </w:pPr>
            <w:r w:rsidRPr="00065B21">
              <w:rPr>
                <w:b/>
                <w:bCs/>
                <w:lang w:val="es-ES"/>
              </w:rPr>
              <w:t>K</w:t>
            </w:r>
            <w:r w:rsidRPr="00065B21">
              <w:rPr>
                <w:b/>
                <w:bCs/>
                <w:vertAlign w:val="subscript"/>
                <w:lang w:val="es-ES"/>
              </w:rPr>
              <w:t xml:space="preserve">DAB </w:t>
            </w:r>
          </w:p>
        </w:tc>
        <w:tc>
          <w:tcPr>
            <w:tcW w:w="865" w:type="dxa"/>
            <w:vMerge w:val="restart"/>
            <w:hideMark/>
          </w:tcPr>
          <w:p w14:paraId="5A22E23D" w14:textId="77777777" w:rsidR="00065B21" w:rsidRPr="00065B21" w:rsidRDefault="00065B21" w:rsidP="00065B21">
            <w:pPr>
              <w:tabs>
                <w:tab w:val="left" w:pos="986"/>
              </w:tabs>
              <w:spacing w:after="160" w:line="278" w:lineRule="auto"/>
              <w:rPr>
                <w:b/>
                <w:bCs/>
              </w:rPr>
            </w:pPr>
            <w:r w:rsidRPr="00065B21">
              <w:rPr>
                <w:b/>
                <w:bCs/>
                <w:lang w:val="es-ES"/>
              </w:rPr>
              <w:t>D</w:t>
            </w:r>
            <w:r w:rsidRPr="00065B21">
              <w:rPr>
                <w:b/>
                <w:bCs/>
                <w:vertAlign w:val="subscript"/>
                <w:lang w:val="es-ES"/>
              </w:rPr>
              <w:t>CB</w:t>
            </w:r>
          </w:p>
        </w:tc>
      </w:tr>
      <w:tr w:rsidR="00065B21" w:rsidRPr="00065B21" w14:paraId="70786CD2" w14:textId="77777777" w:rsidTr="00E5747D">
        <w:trPr>
          <w:trHeight w:val="567"/>
        </w:trPr>
        <w:tc>
          <w:tcPr>
            <w:tcW w:w="1508" w:type="dxa"/>
            <w:tcBorders>
              <w:top w:val="nil"/>
              <w:left w:val="nil"/>
            </w:tcBorders>
            <w:hideMark/>
          </w:tcPr>
          <w:p w14:paraId="5BF852C8" w14:textId="77777777" w:rsidR="00065B21" w:rsidRPr="00065B21" w:rsidRDefault="00065B21" w:rsidP="00065B21">
            <w:pPr>
              <w:tabs>
                <w:tab w:val="left" w:pos="986"/>
              </w:tabs>
              <w:spacing w:after="160" w:line="278" w:lineRule="auto"/>
            </w:pPr>
          </w:p>
        </w:tc>
        <w:tc>
          <w:tcPr>
            <w:tcW w:w="1016" w:type="dxa"/>
            <w:hideMark/>
          </w:tcPr>
          <w:p w14:paraId="608C9B85" w14:textId="77777777" w:rsidR="00065B21" w:rsidRPr="00065B21" w:rsidRDefault="00065B21" w:rsidP="00065B21">
            <w:pPr>
              <w:tabs>
                <w:tab w:val="left" w:pos="986"/>
              </w:tabs>
              <w:spacing w:after="160" w:line="278" w:lineRule="auto"/>
            </w:pPr>
            <w:r w:rsidRPr="00065B21">
              <w:rPr>
                <w:lang w:val="es-ES"/>
              </w:rPr>
              <w:t>Log (M)</w:t>
            </w:r>
          </w:p>
        </w:tc>
        <w:tc>
          <w:tcPr>
            <w:tcW w:w="1413" w:type="dxa"/>
            <w:hideMark/>
          </w:tcPr>
          <w:p w14:paraId="0D37277E" w14:textId="77777777" w:rsidR="00065B21" w:rsidRPr="00065B21" w:rsidRDefault="00065B21" w:rsidP="00065B21">
            <w:pPr>
              <w:tabs>
                <w:tab w:val="left" w:pos="986"/>
              </w:tabs>
              <w:spacing w:after="160" w:line="278" w:lineRule="auto"/>
            </w:pPr>
            <w:proofErr w:type="spellStart"/>
            <w:r w:rsidRPr="00065B21">
              <w:rPr>
                <w:lang w:val="es-ES"/>
              </w:rPr>
              <w:t>nM</w:t>
            </w:r>
            <w:proofErr w:type="spellEnd"/>
          </w:p>
        </w:tc>
        <w:tc>
          <w:tcPr>
            <w:tcW w:w="1076" w:type="dxa"/>
            <w:hideMark/>
          </w:tcPr>
          <w:p w14:paraId="17F2CF03" w14:textId="77777777" w:rsidR="00065B21" w:rsidRPr="00065B21" w:rsidRDefault="00065B21" w:rsidP="00065B21">
            <w:pPr>
              <w:tabs>
                <w:tab w:val="left" w:pos="986"/>
              </w:tabs>
              <w:spacing w:after="160" w:line="278" w:lineRule="auto"/>
            </w:pPr>
            <w:r w:rsidRPr="00065B21">
              <w:rPr>
                <w:lang w:val="es-ES"/>
              </w:rPr>
              <w:t>Log (M)</w:t>
            </w:r>
          </w:p>
        </w:tc>
        <w:tc>
          <w:tcPr>
            <w:tcW w:w="1413" w:type="dxa"/>
            <w:hideMark/>
          </w:tcPr>
          <w:p w14:paraId="58FC6F72" w14:textId="77777777" w:rsidR="00065B21" w:rsidRPr="00065B21" w:rsidRDefault="00065B21" w:rsidP="00065B21">
            <w:pPr>
              <w:tabs>
                <w:tab w:val="left" w:pos="986"/>
              </w:tabs>
              <w:spacing w:after="160" w:line="278" w:lineRule="auto"/>
            </w:pPr>
            <w:proofErr w:type="spellStart"/>
            <w:r w:rsidRPr="00065B21">
              <w:rPr>
                <w:lang w:val="es-ES"/>
              </w:rPr>
              <w:t>nM</w:t>
            </w:r>
            <w:proofErr w:type="spellEnd"/>
          </w:p>
        </w:tc>
        <w:tc>
          <w:tcPr>
            <w:tcW w:w="1016" w:type="dxa"/>
            <w:hideMark/>
          </w:tcPr>
          <w:p w14:paraId="674C3B95" w14:textId="77777777" w:rsidR="00065B21" w:rsidRPr="00065B21" w:rsidRDefault="00065B21" w:rsidP="00065B21">
            <w:pPr>
              <w:tabs>
                <w:tab w:val="left" w:pos="986"/>
              </w:tabs>
              <w:spacing w:after="160" w:line="278" w:lineRule="auto"/>
            </w:pPr>
            <w:r w:rsidRPr="00065B21">
              <w:rPr>
                <w:lang w:val="es-ES"/>
              </w:rPr>
              <w:t>Log (M)</w:t>
            </w:r>
          </w:p>
        </w:tc>
        <w:tc>
          <w:tcPr>
            <w:tcW w:w="1413" w:type="dxa"/>
            <w:hideMark/>
          </w:tcPr>
          <w:p w14:paraId="7296B4CB" w14:textId="77777777" w:rsidR="00065B21" w:rsidRPr="00065B21" w:rsidRDefault="00065B21" w:rsidP="00065B21">
            <w:pPr>
              <w:tabs>
                <w:tab w:val="left" w:pos="986"/>
              </w:tabs>
              <w:spacing w:after="160" w:line="278" w:lineRule="auto"/>
            </w:pPr>
            <w:proofErr w:type="spellStart"/>
            <w:r w:rsidRPr="00065B21">
              <w:rPr>
                <w:lang w:val="es-ES"/>
              </w:rPr>
              <w:t>nM</w:t>
            </w:r>
            <w:proofErr w:type="spellEnd"/>
          </w:p>
        </w:tc>
        <w:tc>
          <w:tcPr>
            <w:tcW w:w="865" w:type="dxa"/>
            <w:vMerge/>
            <w:hideMark/>
          </w:tcPr>
          <w:p w14:paraId="1AA2BEA4" w14:textId="77777777" w:rsidR="00065B21" w:rsidRPr="00065B21" w:rsidRDefault="00065B21" w:rsidP="00065B21">
            <w:pPr>
              <w:tabs>
                <w:tab w:val="left" w:pos="986"/>
              </w:tabs>
              <w:spacing w:after="160" w:line="278" w:lineRule="auto"/>
            </w:pPr>
          </w:p>
        </w:tc>
      </w:tr>
      <w:tr w:rsidR="00065B21" w:rsidRPr="00065B21" w14:paraId="7DBC4AB3" w14:textId="77777777" w:rsidTr="00065B21">
        <w:trPr>
          <w:trHeight w:val="567"/>
        </w:trPr>
        <w:tc>
          <w:tcPr>
            <w:tcW w:w="1508" w:type="dxa"/>
            <w:hideMark/>
          </w:tcPr>
          <w:p w14:paraId="56F3ACEC" w14:textId="77777777" w:rsidR="00065B21" w:rsidRPr="00065B21" w:rsidRDefault="00065B21" w:rsidP="00065B21">
            <w:pPr>
              <w:tabs>
                <w:tab w:val="left" w:pos="986"/>
              </w:tabs>
              <w:spacing w:after="160" w:line="278" w:lineRule="auto"/>
              <w:rPr>
                <w:b/>
                <w:bCs/>
              </w:rPr>
            </w:pPr>
            <w:r w:rsidRPr="00065B21">
              <w:rPr>
                <w:b/>
                <w:bCs/>
                <w:lang w:val="es-ES"/>
              </w:rPr>
              <w:t>EM1</w:t>
            </w:r>
          </w:p>
        </w:tc>
        <w:tc>
          <w:tcPr>
            <w:tcW w:w="1016" w:type="dxa"/>
            <w:hideMark/>
          </w:tcPr>
          <w:p w14:paraId="5D3DC481" w14:textId="77777777" w:rsidR="00065B21" w:rsidRPr="00065B21" w:rsidRDefault="00065B21" w:rsidP="00065B21">
            <w:pPr>
              <w:tabs>
                <w:tab w:val="left" w:pos="986"/>
              </w:tabs>
              <w:spacing w:after="160" w:line="278" w:lineRule="auto"/>
            </w:pPr>
            <w:r w:rsidRPr="00065B21">
              <w:rPr>
                <w:lang w:val="es-ES"/>
              </w:rPr>
              <w:t>-8.93</w:t>
            </w:r>
          </w:p>
        </w:tc>
        <w:tc>
          <w:tcPr>
            <w:tcW w:w="1413" w:type="dxa"/>
            <w:hideMark/>
          </w:tcPr>
          <w:p w14:paraId="25A882D9" w14:textId="77777777" w:rsidR="00065B21" w:rsidRPr="00065B21" w:rsidRDefault="00065B21" w:rsidP="00065B21">
            <w:pPr>
              <w:tabs>
                <w:tab w:val="left" w:pos="986"/>
              </w:tabs>
              <w:spacing w:after="160" w:line="278" w:lineRule="auto"/>
            </w:pPr>
            <w:r w:rsidRPr="00065B21">
              <w:rPr>
                <w:lang w:val="es-ES"/>
              </w:rPr>
              <w:t>1.18</w:t>
            </w:r>
          </w:p>
          <w:p w14:paraId="4CB08D95" w14:textId="77777777" w:rsidR="00065B21" w:rsidRPr="00065B21" w:rsidRDefault="00065B21" w:rsidP="00065B21">
            <w:pPr>
              <w:tabs>
                <w:tab w:val="left" w:pos="986"/>
              </w:tabs>
              <w:spacing w:after="160" w:line="278" w:lineRule="auto"/>
            </w:pPr>
            <w:r w:rsidRPr="00065B21">
              <w:rPr>
                <w:lang w:val="es-ES"/>
              </w:rPr>
              <w:t>(0.89-1.58)</w:t>
            </w:r>
          </w:p>
        </w:tc>
        <w:tc>
          <w:tcPr>
            <w:tcW w:w="1076" w:type="dxa"/>
            <w:hideMark/>
          </w:tcPr>
          <w:p w14:paraId="2C34634C" w14:textId="77777777" w:rsidR="00065B21" w:rsidRPr="00065B21" w:rsidRDefault="00065B21" w:rsidP="00065B21">
            <w:pPr>
              <w:tabs>
                <w:tab w:val="left" w:pos="986"/>
              </w:tabs>
              <w:spacing w:after="160" w:line="278" w:lineRule="auto"/>
            </w:pPr>
            <w:r w:rsidRPr="00065B21">
              <w:rPr>
                <w:lang w:val="es-ES"/>
              </w:rPr>
              <w:t>-5.68</w:t>
            </w:r>
          </w:p>
        </w:tc>
        <w:tc>
          <w:tcPr>
            <w:tcW w:w="1413" w:type="dxa"/>
            <w:hideMark/>
          </w:tcPr>
          <w:p w14:paraId="70D2301A" w14:textId="77777777" w:rsidR="00065B21" w:rsidRPr="00065B21" w:rsidRDefault="00065B21" w:rsidP="00065B21">
            <w:pPr>
              <w:tabs>
                <w:tab w:val="left" w:pos="986"/>
              </w:tabs>
              <w:spacing w:after="160" w:line="278" w:lineRule="auto"/>
            </w:pPr>
            <w:r w:rsidRPr="00065B21">
              <w:rPr>
                <w:lang w:val="es-ES"/>
              </w:rPr>
              <w:t>2104</w:t>
            </w:r>
          </w:p>
          <w:p w14:paraId="4A8C38F3" w14:textId="77777777" w:rsidR="00065B21" w:rsidRPr="00065B21" w:rsidRDefault="00065B21" w:rsidP="00065B21">
            <w:pPr>
              <w:tabs>
                <w:tab w:val="left" w:pos="986"/>
              </w:tabs>
              <w:spacing w:after="160" w:line="278" w:lineRule="auto"/>
            </w:pPr>
            <w:r w:rsidRPr="00065B21">
              <w:rPr>
                <w:lang w:val="es-ES"/>
              </w:rPr>
              <w:t>(1597-2774)</w:t>
            </w:r>
          </w:p>
        </w:tc>
        <w:tc>
          <w:tcPr>
            <w:tcW w:w="1016" w:type="dxa"/>
            <w:hideMark/>
          </w:tcPr>
          <w:p w14:paraId="0071A483" w14:textId="77777777" w:rsidR="00065B21" w:rsidRPr="00065B21" w:rsidRDefault="00065B21" w:rsidP="00065B21">
            <w:pPr>
              <w:tabs>
                <w:tab w:val="left" w:pos="986"/>
              </w:tabs>
              <w:spacing w:after="160" w:line="278" w:lineRule="auto"/>
            </w:pPr>
            <w:r w:rsidRPr="00065B21">
              <w:rPr>
                <w:lang w:val="es-ES"/>
              </w:rPr>
              <w:t>-8.30</w:t>
            </w:r>
          </w:p>
        </w:tc>
        <w:tc>
          <w:tcPr>
            <w:tcW w:w="1413" w:type="dxa"/>
            <w:hideMark/>
          </w:tcPr>
          <w:p w14:paraId="22C0EE16" w14:textId="77777777" w:rsidR="00065B21" w:rsidRPr="00065B21" w:rsidRDefault="00065B21" w:rsidP="00065B21">
            <w:pPr>
              <w:tabs>
                <w:tab w:val="left" w:pos="986"/>
              </w:tabs>
              <w:spacing w:after="160" w:line="278" w:lineRule="auto"/>
            </w:pPr>
            <w:r w:rsidRPr="00065B21">
              <w:rPr>
                <w:lang w:val="es-ES"/>
              </w:rPr>
              <w:t>5.04</w:t>
            </w:r>
          </w:p>
          <w:p w14:paraId="5E7A9A2F" w14:textId="77777777" w:rsidR="00065B21" w:rsidRPr="00065B21" w:rsidRDefault="00065B21" w:rsidP="00065B21">
            <w:pPr>
              <w:tabs>
                <w:tab w:val="left" w:pos="986"/>
              </w:tabs>
              <w:spacing w:after="160" w:line="278" w:lineRule="auto"/>
            </w:pPr>
            <w:r w:rsidRPr="00065B21">
              <w:rPr>
                <w:lang w:val="es-ES"/>
              </w:rPr>
              <w:t>(3.51-7.23)</w:t>
            </w:r>
          </w:p>
        </w:tc>
        <w:tc>
          <w:tcPr>
            <w:tcW w:w="865" w:type="dxa"/>
            <w:hideMark/>
          </w:tcPr>
          <w:p w14:paraId="2079DA66" w14:textId="33AF3DCE" w:rsidR="00065B21" w:rsidRPr="00065B21" w:rsidRDefault="00065B21" w:rsidP="00065B21">
            <w:pPr>
              <w:tabs>
                <w:tab w:val="left" w:pos="986"/>
              </w:tabs>
              <w:spacing w:after="160" w:line="278" w:lineRule="auto"/>
            </w:pPr>
            <w:r>
              <w:rPr>
                <w:lang w:val="es-ES"/>
              </w:rPr>
              <w:t>-</w:t>
            </w:r>
            <w:r w:rsidRPr="00065B21">
              <w:rPr>
                <w:lang w:val="es-ES"/>
              </w:rPr>
              <w:t>2.65</w:t>
            </w:r>
          </w:p>
        </w:tc>
      </w:tr>
      <w:tr w:rsidR="00065B21" w:rsidRPr="00065B21" w14:paraId="214A6181" w14:textId="77777777" w:rsidTr="00065B21">
        <w:trPr>
          <w:trHeight w:val="567"/>
        </w:trPr>
        <w:tc>
          <w:tcPr>
            <w:tcW w:w="1508" w:type="dxa"/>
            <w:hideMark/>
          </w:tcPr>
          <w:p w14:paraId="3B8AB874" w14:textId="6B2488F9" w:rsidR="00065B21" w:rsidRPr="00065B21" w:rsidRDefault="00065B21" w:rsidP="00065B21">
            <w:pPr>
              <w:tabs>
                <w:tab w:val="left" w:pos="986"/>
              </w:tabs>
              <w:spacing w:after="160" w:line="278" w:lineRule="auto"/>
              <w:rPr>
                <w:b/>
                <w:bCs/>
              </w:rPr>
            </w:pPr>
            <w:r w:rsidRPr="00065B21">
              <w:rPr>
                <w:b/>
                <w:bCs/>
                <w:lang w:val="es-ES"/>
              </w:rPr>
              <w:t>EM1 + SKF</w:t>
            </w:r>
          </w:p>
        </w:tc>
        <w:tc>
          <w:tcPr>
            <w:tcW w:w="1016" w:type="dxa"/>
            <w:hideMark/>
          </w:tcPr>
          <w:p w14:paraId="53D3048B" w14:textId="77777777" w:rsidR="00065B21" w:rsidRPr="00065B21" w:rsidRDefault="00065B21" w:rsidP="00065B21">
            <w:pPr>
              <w:tabs>
                <w:tab w:val="left" w:pos="986"/>
              </w:tabs>
              <w:spacing w:after="160" w:line="278" w:lineRule="auto"/>
            </w:pPr>
            <w:r w:rsidRPr="00065B21">
              <w:rPr>
                <w:lang w:val="es-ES"/>
              </w:rPr>
              <w:t>-9.09</w:t>
            </w:r>
          </w:p>
        </w:tc>
        <w:tc>
          <w:tcPr>
            <w:tcW w:w="1413" w:type="dxa"/>
            <w:hideMark/>
          </w:tcPr>
          <w:p w14:paraId="6162307F" w14:textId="77777777" w:rsidR="00065B21" w:rsidRPr="00065B21" w:rsidRDefault="00065B21" w:rsidP="00065B21">
            <w:pPr>
              <w:tabs>
                <w:tab w:val="left" w:pos="986"/>
              </w:tabs>
              <w:spacing w:after="160" w:line="278" w:lineRule="auto"/>
            </w:pPr>
            <w:r w:rsidRPr="00065B21">
              <w:rPr>
                <w:lang w:val="es-ES"/>
              </w:rPr>
              <w:t>0.81</w:t>
            </w:r>
          </w:p>
          <w:p w14:paraId="0EEB567A" w14:textId="77777777" w:rsidR="00065B21" w:rsidRPr="00065B21" w:rsidRDefault="00065B21" w:rsidP="00065B21">
            <w:pPr>
              <w:tabs>
                <w:tab w:val="left" w:pos="986"/>
              </w:tabs>
              <w:spacing w:after="160" w:line="278" w:lineRule="auto"/>
            </w:pPr>
            <w:r w:rsidRPr="00065B21">
              <w:rPr>
                <w:lang w:val="es-ES"/>
              </w:rPr>
              <w:t>(0.75-0.87)</w:t>
            </w:r>
          </w:p>
        </w:tc>
        <w:tc>
          <w:tcPr>
            <w:tcW w:w="1076" w:type="dxa"/>
            <w:hideMark/>
          </w:tcPr>
          <w:p w14:paraId="75612DBB" w14:textId="77777777" w:rsidR="00065B21" w:rsidRPr="00065B21" w:rsidRDefault="00065B21" w:rsidP="00065B21">
            <w:pPr>
              <w:tabs>
                <w:tab w:val="left" w:pos="986"/>
              </w:tabs>
              <w:spacing w:after="160" w:line="278" w:lineRule="auto"/>
              <w:rPr>
                <w:b/>
                <w:bCs/>
              </w:rPr>
            </w:pPr>
            <w:r w:rsidRPr="00065B21">
              <w:rPr>
                <w:b/>
                <w:bCs/>
                <w:lang w:val="es-ES"/>
              </w:rPr>
              <w:t>-6.26*</w:t>
            </w:r>
          </w:p>
        </w:tc>
        <w:tc>
          <w:tcPr>
            <w:tcW w:w="1413" w:type="dxa"/>
            <w:hideMark/>
          </w:tcPr>
          <w:p w14:paraId="2C244D9B" w14:textId="77777777" w:rsidR="00065B21" w:rsidRPr="00065B21" w:rsidRDefault="00065B21" w:rsidP="00065B21">
            <w:pPr>
              <w:tabs>
                <w:tab w:val="left" w:pos="986"/>
              </w:tabs>
              <w:spacing w:after="160" w:line="278" w:lineRule="auto"/>
              <w:rPr>
                <w:b/>
                <w:bCs/>
              </w:rPr>
            </w:pPr>
            <w:r w:rsidRPr="00065B21">
              <w:rPr>
                <w:b/>
                <w:bCs/>
                <w:lang w:val="es-ES"/>
              </w:rPr>
              <w:t>548</w:t>
            </w:r>
          </w:p>
          <w:p w14:paraId="07C1F1BA" w14:textId="77777777" w:rsidR="00065B21" w:rsidRPr="00065B21" w:rsidRDefault="00065B21" w:rsidP="00065B21">
            <w:pPr>
              <w:tabs>
                <w:tab w:val="left" w:pos="986"/>
              </w:tabs>
              <w:spacing w:after="160" w:line="278" w:lineRule="auto"/>
            </w:pPr>
            <w:r w:rsidRPr="00065B21">
              <w:rPr>
                <w:b/>
                <w:bCs/>
                <w:lang w:val="es-ES"/>
              </w:rPr>
              <w:t>(406-740)</w:t>
            </w:r>
          </w:p>
        </w:tc>
        <w:tc>
          <w:tcPr>
            <w:tcW w:w="1016" w:type="dxa"/>
            <w:hideMark/>
          </w:tcPr>
          <w:p w14:paraId="36632BD0" w14:textId="77777777" w:rsidR="00065B21" w:rsidRPr="00065B21" w:rsidRDefault="00065B21" w:rsidP="00065B21">
            <w:pPr>
              <w:tabs>
                <w:tab w:val="left" w:pos="986"/>
              </w:tabs>
              <w:spacing w:after="160" w:line="278" w:lineRule="auto"/>
            </w:pPr>
            <w:r w:rsidRPr="00065B21">
              <w:rPr>
                <w:lang w:val="es-ES"/>
              </w:rPr>
              <w:t>-8.38</w:t>
            </w:r>
          </w:p>
        </w:tc>
        <w:tc>
          <w:tcPr>
            <w:tcW w:w="1413" w:type="dxa"/>
            <w:hideMark/>
          </w:tcPr>
          <w:p w14:paraId="159489BB" w14:textId="77777777" w:rsidR="00065B21" w:rsidRPr="00065B21" w:rsidRDefault="00065B21" w:rsidP="00065B21">
            <w:pPr>
              <w:tabs>
                <w:tab w:val="left" w:pos="986"/>
              </w:tabs>
              <w:spacing w:after="160" w:line="278" w:lineRule="auto"/>
            </w:pPr>
            <w:r w:rsidRPr="00065B21">
              <w:rPr>
                <w:lang w:val="es-ES"/>
              </w:rPr>
              <w:t xml:space="preserve">4.15 </w:t>
            </w:r>
          </w:p>
          <w:p w14:paraId="7E748320" w14:textId="77777777" w:rsidR="00065B21" w:rsidRPr="00065B21" w:rsidRDefault="00065B21" w:rsidP="00065B21">
            <w:pPr>
              <w:tabs>
                <w:tab w:val="left" w:pos="986"/>
              </w:tabs>
              <w:spacing w:after="160" w:line="278" w:lineRule="auto"/>
            </w:pPr>
            <w:r w:rsidRPr="00065B21">
              <w:rPr>
                <w:lang w:val="es-ES"/>
              </w:rPr>
              <w:t>(3.61-4.78)</w:t>
            </w:r>
          </w:p>
        </w:tc>
        <w:tc>
          <w:tcPr>
            <w:tcW w:w="865" w:type="dxa"/>
            <w:hideMark/>
          </w:tcPr>
          <w:p w14:paraId="56D76BAB" w14:textId="64E2E45F" w:rsidR="00065B21" w:rsidRPr="00065B21" w:rsidRDefault="00065B21" w:rsidP="00065B21">
            <w:pPr>
              <w:tabs>
                <w:tab w:val="left" w:pos="986"/>
              </w:tabs>
              <w:spacing w:after="160" w:line="278" w:lineRule="auto"/>
            </w:pPr>
            <w:r>
              <w:rPr>
                <w:lang w:val="es-ES"/>
              </w:rPr>
              <w:t>-</w:t>
            </w:r>
            <w:r w:rsidRPr="00065B21">
              <w:rPr>
                <w:lang w:val="es-ES"/>
              </w:rPr>
              <w:t>2.23</w:t>
            </w:r>
          </w:p>
        </w:tc>
      </w:tr>
      <w:tr w:rsidR="00065B21" w:rsidRPr="00065B21" w14:paraId="7648BE19" w14:textId="77777777" w:rsidTr="00065B21">
        <w:trPr>
          <w:trHeight w:val="567"/>
        </w:trPr>
        <w:tc>
          <w:tcPr>
            <w:tcW w:w="1508" w:type="dxa"/>
            <w:hideMark/>
          </w:tcPr>
          <w:p w14:paraId="3D8B584C" w14:textId="3D3C7933" w:rsidR="00065B21" w:rsidRPr="00065B21" w:rsidRDefault="00065B21" w:rsidP="00065B21">
            <w:pPr>
              <w:tabs>
                <w:tab w:val="left" w:pos="986"/>
              </w:tabs>
              <w:spacing w:after="160" w:line="278" w:lineRule="auto"/>
              <w:rPr>
                <w:b/>
                <w:bCs/>
              </w:rPr>
            </w:pPr>
            <w:r w:rsidRPr="00065B21">
              <w:rPr>
                <w:b/>
                <w:bCs/>
                <w:lang w:val="es-ES"/>
              </w:rPr>
              <w:t>EM1 + SCH</w:t>
            </w:r>
          </w:p>
        </w:tc>
        <w:tc>
          <w:tcPr>
            <w:tcW w:w="1016" w:type="dxa"/>
            <w:hideMark/>
          </w:tcPr>
          <w:p w14:paraId="25C72B8F" w14:textId="77777777" w:rsidR="00065B21" w:rsidRPr="00065B21" w:rsidRDefault="00065B21" w:rsidP="00065B21">
            <w:pPr>
              <w:tabs>
                <w:tab w:val="left" w:pos="986"/>
              </w:tabs>
              <w:spacing w:after="160" w:line="278" w:lineRule="auto"/>
            </w:pPr>
            <w:r w:rsidRPr="00065B21">
              <w:rPr>
                <w:lang w:val="es-ES"/>
              </w:rPr>
              <w:t>-8.87</w:t>
            </w:r>
          </w:p>
        </w:tc>
        <w:tc>
          <w:tcPr>
            <w:tcW w:w="1413" w:type="dxa"/>
            <w:hideMark/>
          </w:tcPr>
          <w:p w14:paraId="64DEDF85" w14:textId="77777777" w:rsidR="00065B21" w:rsidRPr="00065B21" w:rsidRDefault="00065B21" w:rsidP="00065B21">
            <w:pPr>
              <w:tabs>
                <w:tab w:val="left" w:pos="986"/>
              </w:tabs>
              <w:spacing w:after="160" w:line="278" w:lineRule="auto"/>
            </w:pPr>
            <w:r w:rsidRPr="00065B21">
              <w:rPr>
                <w:lang w:val="es-ES"/>
              </w:rPr>
              <w:t>1.36</w:t>
            </w:r>
          </w:p>
          <w:p w14:paraId="5531D199" w14:textId="77777777" w:rsidR="00065B21" w:rsidRPr="00065B21" w:rsidRDefault="00065B21" w:rsidP="00065B21">
            <w:pPr>
              <w:tabs>
                <w:tab w:val="left" w:pos="986"/>
              </w:tabs>
              <w:spacing w:after="160" w:line="278" w:lineRule="auto"/>
            </w:pPr>
            <w:r w:rsidRPr="00065B21">
              <w:rPr>
                <w:lang w:val="es-ES"/>
              </w:rPr>
              <w:t>(1.05-1.76)</w:t>
            </w:r>
          </w:p>
        </w:tc>
        <w:tc>
          <w:tcPr>
            <w:tcW w:w="1076" w:type="dxa"/>
            <w:hideMark/>
          </w:tcPr>
          <w:p w14:paraId="7342C414" w14:textId="77777777" w:rsidR="00065B21" w:rsidRPr="00065B21" w:rsidRDefault="00065B21" w:rsidP="00065B21">
            <w:pPr>
              <w:tabs>
                <w:tab w:val="left" w:pos="986"/>
              </w:tabs>
              <w:spacing w:after="160" w:line="278" w:lineRule="auto"/>
            </w:pPr>
            <w:r w:rsidRPr="00065B21">
              <w:rPr>
                <w:lang w:val="es-ES"/>
              </w:rPr>
              <w:t>-5.91</w:t>
            </w:r>
          </w:p>
        </w:tc>
        <w:tc>
          <w:tcPr>
            <w:tcW w:w="1413" w:type="dxa"/>
            <w:hideMark/>
          </w:tcPr>
          <w:p w14:paraId="636929E0" w14:textId="77777777" w:rsidR="00065B21" w:rsidRPr="00065B21" w:rsidRDefault="00065B21" w:rsidP="00065B21">
            <w:pPr>
              <w:tabs>
                <w:tab w:val="left" w:pos="986"/>
              </w:tabs>
              <w:spacing w:after="160" w:line="278" w:lineRule="auto"/>
            </w:pPr>
            <w:r w:rsidRPr="00065B21">
              <w:rPr>
                <w:lang w:val="es-ES"/>
              </w:rPr>
              <w:t>1222</w:t>
            </w:r>
          </w:p>
          <w:p w14:paraId="547864E5" w14:textId="77777777" w:rsidR="00065B21" w:rsidRPr="00065B21" w:rsidRDefault="00065B21" w:rsidP="00065B21">
            <w:pPr>
              <w:tabs>
                <w:tab w:val="left" w:pos="986"/>
              </w:tabs>
              <w:spacing w:after="160" w:line="278" w:lineRule="auto"/>
            </w:pPr>
            <w:r w:rsidRPr="00065B21">
              <w:rPr>
                <w:lang w:val="es-ES"/>
              </w:rPr>
              <w:t>(724-2063)</w:t>
            </w:r>
          </w:p>
        </w:tc>
        <w:tc>
          <w:tcPr>
            <w:tcW w:w="1016" w:type="dxa"/>
            <w:hideMark/>
          </w:tcPr>
          <w:p w14:paraId="29C37BF6" w14:textId="77777777" w:rsidR="00065B21" w:rsidRPr="00065B21" w:rsidRDefault="00065B21" w:rsidP="00065B21">
            <w:pPr>
              <w:tabs>
                <w:tab w:val="left" w:pos="986"/>
              </w:tabs>
              <w:spacing w:after="160" w:line="278" w:lineRule="auto"/>
            </w:pPr>
            <w:r w:rsidRPr="00065B21">
              <w:rPr>
                <w:lang w:val="es-ES"/>
              </w:rPr>
              <w:t>-8.13</w:t>
            </w:r>
          </w:p>
        </w:tc>
        <w:tc>
          <w:tcPr>
            <w:tcW w:w="1413" w:type="dxa"/>
            <w:hideMark/>
          </w:tcPr>
          <w:p w14:paraId="4B774CE1" w14:textId="77777777" w:rsidR="00065B21" w:rsidRPr="00065B21" w:rsidRDefault="00065B21" w:rsidP="00065B21">
            <w:pPr>
              <w:tabs>
                <w:tab w:val="left" w:pos="986"/>
              </w:tabs>
              <w:spacing w:after="160" w:line="278" w:lineRule="auto"/>
            </w:pPr>
            <w:r w:rsidRPr="00065B21">
              <w:rPr>
                <w:lang w:val="es-ES"/>
              </w:rPr>
              <w:t>7.37</w:t>
            </w:r>
          </w:p>
          <w:p w14:paraId="3ACD3CA3" w14:textId="77777777" w:rsidR="00065B21" w:rsidRPr="00065B21" w:rsidRDefault="00065B21" w:rsidP="00065B21">
            <w:pPr>
              <w:tabs>
                <w:tab w:val="left" w:pos="986"/>
              </w:tabs>
              <w:spacing w:after="160" w:line="278" w:lineRule="auto"/>
            </w:pPr>
            <w:r w:rsidRPr="00065B21">
              <w:rPr>
                <w:lang w:val="es-ES"/>
              </w:rPr>
              <w:t>(5.26-10.32)</w:t>
            </w:r>
          </w:p>
        </w:tc>
        <w:tc>
          <w:tcPr>
            <w:tcW w:w="865" w:type="dxa"/>
            <w:hideMark/>
          </w:tcPr>
          <w:p w14:paraId="6E9C1E71" w14:textId="6F5FF6DC" w:rsidR="00065B21" w:rsidRPr="00065B21" w:rsidRDefault="00065B21" w:rsidP="00065B21">
            <w:pPr>
              <w:tabs>
                <w:tab w:val="left" w:pos="986"/>
              </w:tabs>
              <w:spacing w:after="160" w:line="278" w:lineRule="auto"/>
            </w:pPr>
            <w:r>
              <w:rPr>
                <w:lang w:val="es-ES"/>
              </w:rPr>
              <w:t>-</w:t>
            </w:r>
            <w:r w:rsidRPr="00065B21">
              <w:rPr>
                <w:lang w:val="es-ES"/>
              </w:rPr>
              <w:t>2.35</w:t>
            </w:r>
          </w:p>
        </w:tc>
      </w:tr>
    </w:tbl>
    <w:p w14:paraId="6F2B8520" w14:textId="77777777" w:rsidR="00065B21" w:rsidRPr="00407CB9" w:rsidRDefault="00065B21" w:rsidP="00065B21">
      <w:pPr>
        <w:tabs>
          <w:tab w:val="left" w:pos="986"/>
        </w:tabs>
      </w:pPr>
    </w:p>
    <w:p w14:paraId="457E5BB1" w14:textId="3CEF88A5" w:rsidR="00407CB9" w:rsidRPr="00407CB9" w:rsidRDefault="00407CB9" w:rsidP="00407CB9">
      <w:pPr>
        <w:tabs>
          <w:tab w:val="left" w:pos="986"/>
        </w:tabs>
      </w:pPr>
      <w:proofErr w:type="spellStart"/>
      <w:r w:rsidRPr="00065B21">
        <w:rPr>
          <w:b/>
          <w:bCs/>
          <w:lang w:val="ca-ES"/>
        </w:rPr>
        <w:lastRenderedPageBreak/>
        <w:t>Table</w:t>
      </w:r>
      <w:proofErr w:type="spellEnd"/>
      <w:r w:rsidRPr="00065B21">
        <w:rPr>
          <w:b/>
          <w:bCs/>
          <w:lang w:val="ca-ES"/>
        </w:rPr>
        <w:t xml:space="preserve"> </w:t>
      </w:r>
      <w:r>
        <w:rPr>
          <w:b/>
          <w:bCs/>
          <w:lang w:val="ca-ES"/>
        </w:rPr>
        <w:t>S</w:t>
      </w:r>
      <w:r w:rsidRPr="00065B21">
        <w:rPr>
          <w:b/>
          <w:bCs/>
          <w:lang w:val="ca-ES"/>
        </w:rPr>
        <w:t xml:space="preserve">1. </w:t>
      </w:r>
      <w:r w:rsidRPr="00065B21">
        <w:t>Parameter values obtained by fitting data from competition experiments of the antagonist [</w:t>
      </w:r>
      <w:r w:rsidRPr="00065B21">
        <w:rPr>
          <w:vertAlign w:val="superscript"/>
        </w:rPr>
        <w:t>3</w:t>
      </w:r>
      <w:r w:rsidRPr="00065B21">
        <w:t>H]-naloxone binding to MOR vs. the agonist endomorphin-1 to the dimer receptor model.</w:t>
      </w:r>
      <w:r>
        <w:t xml:space="preserve"> </w:t>
      </w:r>
      <w:r w:rsidRPr="00407CB9">
        <w:t>Values are expressed as log (</w:t>
      </w:r>
      <w:r w:rsidRPr="00407CB9">
        <w:rPr>
          <w:lang w:val="es-ES"/>
        </w:rPr>
        <w:t>K</w:t>
      </w:r>
      <w:r w:rsidRPr="00407CB9">
        <w:rPr>
          <w:vertAlign w:val="subscript"/>
          <w:lang w:val="es-ES"/>
        </w:rPr>
        <w:t>D</w:t>
      </w:r>
      <w:r w:rsidRPr="00407CB9">
        <w:t xml:space="preserve">) and mean (confidence interval 95%) from 4 independent experiments performed in triplicate. The radioligand </w:t>
      </w:r>
      <w:r>
        <w:t xml:space="preserve">(A) </w:t>
      </w:r>
      <w:r w:rsidRPr="00407CB9">
        <w:t>affinity was K</w:t>
      </w:r>
      <w:r w:rsidRPr="00407CB9">
        <w:rPr>
          <w:vertAlign w:val="subscript"/>
        </w:rPr>
        <w:t xml:space="preserve">DA1 </w:t>
      </w:r>
      <w:r w:rsidRPr="00407CB9">
        <w:t xml:space="preserve">= 1.5 </w:t>
      </w:r>
      <w:proofErr w:type="spellStart"/>
      <w:r w:rsidRPr="00407CB9">
        <w:t>nM.</w:t>
      </w:r>
      <w:proofErr w:type="spellEnd"/>
      <w:r w:rsidRPr="00407CB9">
        <w:t xml:space="preserve"> K</w:t>
      </w:r>
      <w:r w:rsidRPr="00407CB9">
        <w:rPr>
          <w:vertAlign w:val="subscript"/>
        </w:rPr>
        <w:t>DB1</w:t>
      </w:r>
      <w:r w:rsidRPr="00407CB9">
        <w:t xml:space="preserve"> and K</w:t>
      </w:r>
      <w:r w:rsidRPr="00407CB9">
        <w:rPr>
          <w:vertAlign w:val="subscript"/>
        </w:rPr>
        <w:t>DB2</w:t>
      </w:r>
      <w:r w:rsidRPr="00407CB9">
        <w:t xml:space="preserve"> are, respectively, the equilibrium dissociation constants of the first and second binding of competitor </w:t>
      </w:r>
      <w:r>
        <w:t>(</w:t>
      </w:r>
      <w:r w:rsidRPr="00407CB9">
        <w:t>B</w:t>
      </w:r>
      <w:r>
        <w:t>)</w:t>
      </w:r>
      <w:r w:rsidRPr="00407CB9">
        <w:t xml:space="preserve"> endomorphin-1 (EM1) to the dimer. K</w:t>
      </w:r>
      <w:r w:rsidRPr="00407CB9">
        <w:rPr>
          <w:vertAlign w:val="subscript"/>
        </w:rPr>
        <w:t>DAB</w:t>
      </w:r>
      <w:r w:rsidRPr="00407CB9">
        <w:t xml:space="preserve"> is the hybrid equilibrium dissociation constant of B binding to a receptor dimer </w:t>
      </w:r>
      <w:proofErr w:type="spellStart"/>
      <w:r w:rsidRPr="00407CB9">
        <w:t>semioccupied</w:t>
      </w:r>
      <w:proofErr w:type="spellEnd"/>
      <w:r w:rsidRPr="00407CB9">
        <w:t xml:space="preserve"> by A ([</w:t>
      </w:r>
      <w:r w:rsidRPr="00407CB9">
        <w:rPr>
          <w:vertAlign w:val="superscript"/>
        </w:rPr>
        <w:t>3</w:t>
      </w:r>
      <w:r w:rsidRPr="00407CB9">
        <w:t>H]-naloxone). D</w:t>
      </w:r>
      <w:r w:rsidRPr="00407CB9">
        <w:rPr>
          <w:vertAlign w:val="subscript"/>
        </w:rPr>
        <w:t>CB</w:t>
      </w:r>
      <w:r w:rsidRPr="00407CB9">
        <w:t xml:space="preserve"> is the dimer cooperativity index for the binding of ligand B</w:t>
      </w:r>
      <w:r w:rsidR="00C40F82">
        <w:rPr>
          <w:lang w:val="en"/>
        </w:rPr>
        <w:t xml:space="preserve"> (see Methods)</w:t>
      </w:r>
      <w:r w:rsidRPr="00407CB9">
        <w:t xml:space="preserve">. Statistical analysis was performed using repeated measures one-way ANOVA followed by Dunnett’s multiple comparisons </w:t>
      </w:r>
      <w:r w:rsidRPr="00407CB9">
        <w:rPr>
          <w:i/>
          <w:iCs/>
        </w:rPr>
        <w:t xml:space="preserve">post hoc </w:t>
      </w:r>
      <w:r w:rsidRPr="00407CB9">
        <w:t xml:space="preserve">test (*p &lt; 0.05 vs. EM1). </w:t>
      </w:r>
    </w:p>
    <w:p w14:paraId="65B885AD" w14:textId="78C9BFD8" w:rsidR="00D7789D" w:rsidRPr="00E72308" w:rsidRDefault="00D7789D" w:rsidP="00353FC3">
      <w:pPr>
        <w:tabs>
          <w:tab w:val="left" w:pos="986"/>
        </w:tabs>
        <w:rPr>
          <w:b/>
          <w:bCs/>
        </w:rPr>
      </w:pPr>
    </w:p>
    <w:sectPr w:rsidR="00D7789D" w:rsidRPr="00E72308">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75D26B" w14:textId="77777777" w:rsidR="003D4A4C" w:rsidRDefault="003D4A4C" w:rsidP="00DF21AC">
      <w:pPr>
        <w:spacing w:after="0" w:line="240" w:lineRule="auto"/>
      </w:pPr>
      <w:r>
        <w:separator/>
      </w:r>
    </w:p>
  </w:endnote>
  <w:endnote w:type="continuationSeparator" w:id="0">
    <w:p w14:paraId="72FE2A7E" w14:textId="77777777" w:rsidR="003D4A4C" w:rsidRDefault="003D4A4C" w:rsidP="00DF2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96004250"/>
      <w:docPartObj>
        <w:docPartGallery w:val="Page Numbers (Bottom of Page)"/>
        <w:docPartUnique/>
      </w:docPartObj>
    </w:sdtPr>
    <w:sdtContent>
      <w:p w14:paraId="374AAB9E" w14:textId="021925C7" w:rsidR="00DF21AC" w:rsidRDefault="00DF21AC" w:rsidP="005B15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900633" w14:textId="77777777" w:rsidR="00DF21AC" w:rsidRDefault="00DF21AC" w:rsidP="00DF21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1514482"/>
      <w:docPartObj>
        <w:docPartGallery w:val="Page Numbers (Bottom of Page)"/>
        <w:docPartUnique/>
      </w:docPartObj>
    </w:sdtPr>
    <w:sdtContent>
      <w:p w14:paraId="78E88715" w14:textId="7CD9BCA9" w:rsidR="00DF21AC" w:rsidRDefault="00DF21AC" w:rsidP="005B15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DBA8D4" w14:textId="77777777" w:rsidR="00DF21AC" w:rsidRDefault="00DF21AC" w:rsidP="00DF21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C6E37B" w14:textId="77777777" w:rsidR="003D4A4C" w:rsidRDefault="003D4A4C" w:rsidP="00DF21AC">
      <w:pPr>
        <w:spacing w:after="0" w:line="240" w:lineRule="auto"/>
      </w:pPr>
      <w:r>
        <w:separator/>
      </w:r>
    </w:p>
  </w:footnote>
  <w:footnote w:type="continuationSeparator" w:id="0">
    <w:p w14:paraId="2A3BEAEC" w14:textId="77777777" w:rsidR="003D4A4C" w:rsidRDefault="003D4A4C" w:rsidP="00DF21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5E17A5"/>
    <w:multiLevelType w:val="hybridMultilevel"/>
    <w:tmpl w:val="72B85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5793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BE"/>
    <w:rsid w:val="00003849"/>
    <w:rsid w:val="00006CA1"/>
    <w:rsid w:val="00011D79"/>
    <w:rsid w:val="000208A8"/>
    <w:rsid w:val="00020BA4"/>
    <w:rsid w:val="00023BB5"/>
    <w:rsid w:val="00024C3D"/>
    <w:rsid w:val="00026225"/>
    <w:rsid w:val="00027FB9"/>
    <w:rsid w:val="0004398B"/>
    <w:rsid w:val="00045DD1"/>
    <w:rsid w:val="00051D78"/>
    <w:rsid w:val="000568EC"/>
    <w:rsid w:val="00062233"/>
    <w:rsid w:val="00063A46"/>
    <w:rsid w:val="00063F0F"/>
    <w:rsid w:val="000640DE"/>
    <w:rsid w:val="00065B21"/>
    <w:rsid w:val="000709C7"/>
    <w:rsid w:val="00073448"/>
    <w:rsid w:val="000771F1"/>
    <w:rsid w:val="0008118D"/>
    <w:rsid w:val="00081D65"/>
    <w:rsid w:val="000820F9"/>
    <w:rsid w:val="000B263F"/>
    <w:rsid w:val="000B2A39"/>
    <w:rsid w:val="000B7B81"/>
    <w:rsid w:val="000C107E"/>
    <w:rsid w:val="000C136C"/>
    <w:rsid w:val="000C26F3"/>
    <w:rsid w:val="000C7BDE"/>
    <w:rsid w:val="000D62D2"/>
    <w:rsid w:val="000D7292"/>
    <w:rsid w:val="000E1607"/>
    <w:rsid w:val="000E3442"/>
    <w:rsid w:val="000E53FF"/>
    <w:rsid w:val="000E7F05"/>
    <w:rsid w:val="000F0E3E"/>
    <w:rsid w:val="000F1468"/>
    <w:rsid w:val="000F171A"/>
    <w:rsid w:val="000F34DA"/>
    <w:rsid w:val="000F34E7"/>
    <w:rsid w:val="000F7A22"/>
    <w:rsid w:val="001035DD"/>
    <w:rsid w:val="001076FC"/>
    <w:rsid w:val="00111027"/>
    <w:rsid w:val="00111F3E"/>
    <w:rsid w:val="00115443"/>
    <w:rsid w:val="0011628E"/>
    <w:rsid w:val="0012466E"/>
    <w:rsid w:val="0012511F"/>
    <w:rsid w:val="001308C7"/>
    <w:rsid w:val="001336A2"/>
    <w:rsid w:val="00136DB7"/>
    <w:rsid w:val="00137F85"/>
    <w:rsid w:val="0014120E"/>
    <w:rsid w:val="00152B04"/>
    <w:rsid w:val="00160DF0"/>
    <w:rsid w:val="00164135"/>
    <w:rsid w:val="001675EC"/>
    <w:rsid w:val="0017457F"/>
    <w:rsid w:val="00177C5E"/>
    <w:rsid w:val="00180615"/>
    <w:rsid w:val="001812C5"/>
    <w:rsid w:val="001838D4"/>
    <w:rsid w:val="0018751E"/>
    <w:rsid w:val="00190A39"/>
    <w:rsid w:val="001A0BDC"/>
    <w:rsid w:val="001A0C3E"/>
    <w:rsid w:val="001A5267"/>
    <w:rsid w:val="001B1F4F"/>
    <w:rsid w:val="001B563C"/>
    <w:rsid w:val="001C4A3A"/>
    <w:rsid w:val="001E0A9E"/>
    <w:rsid w:val="001E2768"/>
    <w:rsid w:val="001E39F6"/>
    <w:rsid w:val="001E6155"/>
    <w:rsid w:val="001E7913"/>
    <w:rsid w:val="00201331"/>
    <w:rsid w:val="00204685"/>
    <w:rsid w:val="002156EC"/>
    <w:rsid w:val="0022798D"/>
    <w:rsid w:val="00243D91"/>
    <w:rsid w:val="002440A0"/>
    <w:rsid w:val="00250872"/>
    <w:rsid w:val="002542DB"/>
    <w:rsid w:val="00257382"/>
    <w:rsid w:val="00260D7A"/>
    <w:rsid w:val="00277699"/>
    <w:rsid w:val="00277D85"/>
    <w:rsid w:val="00281123"/>
    <w:rsid w:val="002823F6"/>
    <w:rsid w:val="002849B9"/>
    <w:rsid w:val="00285690"/>
    <w:rsid w:val="00287A93"/>
    <w:rsid w:val="00290135"/>
    <w:rsid w:val="002909D3"/>
    <w:rsid w:val="002958C3"/>
    <w:rsid w:val="002C29E1"/>
    <w:rsid w:val="003030AB"/>
    <w:rsid w:val="00303391"/>
    <w:rsid w:val="003051E4"/>
    <w:rsid w:val="00305D62"/>
    <w:rsid w:val="00306A6F"/>
    <w:rsid w:val="003071C6"/>
    <w:rsid w:val="00311A30"/>
    <w:rsid w:val="003129BE"/>
    <w:rsid w:val="0031569E"/>
    <w:rsid w:val="00315A5C"/>
    <w:rsid w:val="00325BD6"/>
    <w:rsid w:val="0034146E"/>
    <w:rsid w:val="00342BF9"/>
    <w:rsid w:val="00353FC3"/>
    <w:rsid w:val="00354C54"/>
    <w:rsid w:val="00360F7D"/>
    <w:rsid w:val="00364503"/>
    <w:rsid w:val="0036475D"/>
    <w:rsid w:val="00365BC5"/>
    <w:rsid w:val="00375AC2"/>
    <w:rsid w:val="003976F0"/>
    <w:rsid w:val="003A75FC"/>
    <w:rsid w:val="003C3969"/>
    <w:rsid w:val="003C7638"/>
    <w:rsid w:val="003D3E0F"/>
    <w:rsid w:val="003D4A4C"/>
    <w:rsid w:val="003D5609"/>
    <w:rsid w:val="003D5623"/>
    <w:rsid w:val="003F5207"/>
    <w:rsid w:val="0040233C"/>
    <w:rsid w:val="00405B6E"/>
    <w:rsid w:val="00406A5F"/>
    <w:rsid w:val="00407CB9"/>
    <w:rsid w:val="00422FA0"/>
    <w:rsid w:val="0042509F"/>
    <w:rsid w:val="00431CB3"/>
    <w:rsid w:val="00434C60"/>
    <w:rsid w:val="004361A3"/>
    <w:rsid w:val="004432B2"/>
    <w:rsid w:val="004443C9"/>
    <w:rsid w:val="00444965"/>
    <w:rsid w:val="00450446"/>
    <w:rsid w:val="00450FE9"/>
    <w:rsid w:val="004541D8"/>
    <w:rsid w:val="00461C5F"/>
    <w:rsid w:val="004635D6"/>
    <w:rsid w:val="00466775"/>
    <w:rsid w:val="0046768E"/>
    <w:rsid w:val="00471C4B"/>
    <w:rsid w:val="00475EC6"/>
    <w:rsid w:val="004762F2"/>
    <w:rsid w:val="0047668E"/>
    <w:rsid w:val="00480370"/>
    <w:rsid w:val="004820DD"/>
    <w:rsid w:val="00487218"/>
    <w:rsid w:val="00490C47"/>
    <w:rsid w:val="004A2E28"/>
    <w:rsid w:val="004A36DA"/>
    <w:rsid w:val="004A3859"/>
    <w:rsid w:val="004A7E3F"/>
    <w:rsid w:val="004B0F4B"/>
    <w:rsid w:val="004B5C15"/>
    <w:rsid w:val="004B5CD2"/>
    <w:rsid w:val="004B7456"/>
    <w:rsid w:val="004C024F"/>
    <w:rsid w:val="004D1039"/>
    <w:rsid w:val="004E082B"/>
    <w:rsid w:val="004E1F23"/>
    <w:rsid w:val="004E2ED3"/>
    <w:rsid w:val="004F14D0"/>
    <w:rsid w:val="004F26F3"/>
    <w:rsid w:val="004F2E5B"/>
    <w:rsid w:val="004F44F5"/>
    <w:rsid w:val="005061E1"/>
    <w:rsid w:val="00515551"/>
    <w:rsid w:val="00527F88"/>
    <w:rsid w:val="00533E1F"/>
    <w:rsid w:val="00537CF6"/>
    <w:rsid w:val="00551FEA"/>
    <w:rsid w:val="005533A0"/>
    <w:rsid w:val="005566BC"/>
    <w:rsid w:val="00557800"/>
    <w:rsid w:val="00564B77"/>
    <w:rsid w:val="0056582E"/>
    <w:rsid w:val="005711E3"/>
    <w:rsid w:val="005715BD"/>
    <w:rsid w:val="0057693C"/>
    <w:rsid w:val="00581886"/>
    <w:rsid w:val="00581EA5"/>
    <w:rsid w:val="00587FD0"/>
    <w:rsid w:val="00594A08"/>
    <w:rsid w:val="005A243B"/>
    <w:rsid w:val="005B1F74"/>
    <w:rsid w:val="005B4ECF"/>
    <w:rsid w:val="005C1790"/>
    <w:rsid w:val="005C274D"/>
    <w:rsid w:val="005C652B"/>
    <w:rsid w:val="005D32E2"/>
    <w:rsid w:val="005E3168"/>
    <w:rsid w:val="005F190A"/>
    <w:rsid w:val="005F2051"/>
    <w:rsid w:val="00601CB8"/>
    <w:rsid w:val="0060468C"/>
    <w:rsid w:val="00607ACF"/>
    <w:rsid w:val="006127E3"/>
    <w:rsid w:val="00626837"/>
    <w:rsid w:val="00631318"/>
    <w:rsid w:val="00632025"/>
    <w:rsid w:val="006431D0"/>
    <w:rsid w:val="00645CF7"/>
    <w:rsid w:val="00646CA2"/>
    <w:rsid w:val="0064776E"/>
    <w:rsid w:val="00650C3D"/>
    <w:rsid w:val="00650D96"/>
    <w:rsid w:val="006747E9"/>
    <w:rsid w:val="00676FC7"/>
    <w:rsid w:val="00681352"/>
    <w:rsid w:val="00687B7C"/>
    <w:rsid w:val="006A4195"/>
    <w:rsid w:val="006B064C"/>
    <w:rsid w:val="006B2814"/>
    <w:rsid w:val="006C0C68"/>
    <w:rsid w:val="006E6990"/>
    <w:rsid w:val="006F3DFE"/>
    <w:rsid w:val="00701413"/>
    <w:rsid w:val="0070246D"/>
    <w:rsid w:val="00703BDC"/>
    <w:rsid w:val="00706C3F"/>
    <w:rsid w:val="00706C8A"/>
    <w:rsid w:val="00712347"/>
    <w:rsid w:val="00712F2E"/>
    <w:rsid w:val="00723773"/>
    <w:rsid w:val="00733AE2"/>
    <w:rsid w:val="00734B10"/>
    <w:rsid w:val="007648B7"/>
    <w:rsid w:val="00771DE0"/>
    <w:rsid w:val="00773AF8"/>
    <w:rsid w:val="0077687A"/>
    <w:rsid w:val="0077740B"/>
    <w:rsid w:val="0078077C"/>
    <w:rsid w:val="00780EC4"/>
    <w:rsid w:val="007855C8"/>
    <w:rsid w:val="007948A9"/>
    <w:rsid w:val="00795BB3"/>
    <w:rsid w:val="00795CAD"/>
    <w:rsid w:val="007A3418"/>
    <w:rsid w:val="007A3EDB"/>
    <w:rsid w:val="007B187E"/>
    <w:rsid w:val="007E2CEE"/>
    <w:rsid w:val="007F3539"/>
    <w:rsid w:val="007F452F"/>
    <w:rsid w:val="007F45C9"/>
    <w:rsid w:val="007F4E52"/>
    <w:rsid w:val="007F5DFD"/>
    <w:rsid w:val="007F60F6"/>
    <w:rsid w:val="008047F5"/>
    <w:rsid w:val="00810C9D"/>
    <w:rsid w:val="00820BB2"/>
    <w:rsid w:val="00822CB6"/>
    <w:rsid w:val="00830244"/>
    <w:rsid w:val="008369BD"/>
    <w:rsid w:val="008431BF"/>
    <w:rsid w:val="008456CE"/>
    <w:rsid w:val="00852511"/>
    <w:rsid w:val="0086517B"/>
    <w:rsid w:val="00871C8A"/>
    <w:rsid w:val="00872BD4"/>
    <w:rsid w:val="008769B6"/>
    <w:rsid w:val="00884E01"/>
    <w:rsid w:val="00886CDF"/>
    <w:rsid w:val="00887137"/>
    <w:rsid w:val="00887EEE"/>
    <w:rsid w:val="00892A32"/>
    <w:rsid w:val="008A04AC"/>
    <w:rsid w:val="008A0E9D"/>
    <w:rsid w:val="008A66DC"/>
    <w:rsid w:val="008B2A63"/>
    <w:rsid w:val="008B6B0B"/>
    <w:rsid w:val="008C5115"/>
    <w:rsid w:val="008C6606"/>
    <w:rsid w:val="008D1EA2"/>
    <w:rsid w:val="008D5137"/>
    <w:rsid w:val="008E3346"/>
    <w:rsid w:val="008E43A2"/>
    <w:rsid w:val="008E4BB6"/>
    <w:rsid w:val="008E7888"/>
    <w:rsid w:val="008E7B36"/>
    <w:rsid w:val="008F2F2D"/>
    <w:rsid w:val="009146A5"/>
    <w:rsid w:val="00915120"/>
    <w:rsid w:val="00926E2C"/>
    <w:rsid w:val="00933365"/>
    <w:rsid w:val="009419AA"/>
    <w:rsid w:val="00964A40"/>
    <w:rsid w:val="00971D95"/>
    <w:rsid w:val="009727BB"/>
    <w:rsid w:val="00974F97"/>
    <w:rsid w:val="009756A4"/>
    <w:rsid w:val="00977E3F"/>
    <w:rsid w:val="009B2C36"/>
    <w:rsid w:val="009C38C0"/>
    <w:rsid w:val="009C5983"/>
    <w:rsid w:val="009C6879"/>
    <w:rsid w:val="009D0EB2"/>
    <w:rsid w:val="009D27DE"/>
    <w:rsid w:val="009D3006"/>
    <w:rsid w:val="009E0EB6"/>
    <w:rsid w:val="009E2D91"/>
    <w:rsid w:val="009E4413"/>
    <w:rsid w:val="00A07B37"/>
    <w:rsid w:val="00A07F04"/>
    <w:rsid w:val="00A13B3C"/>
    <w:rsid w:val="00A17D09"/>
    <w:rsid w:val="00A40DDD"/>
    <w:rsid w:val="00A42A13"/>
    <w:rsid w:val="00A5633D"/>
    <w:rsid w:val="00A57A10"/>
    <w:rsid w:val="00A609C1"/>
    <w:rsid w:val="00A7316E"/>
    <w:rsid w:val="00A73565"/>
    <w:rsid w:val="00A73A0D"/>
    <w:rsid w:val="00A81E87"/>
    <w:rsid w:val="00A842A7"/>
    <w:rsid w:val="00A90134"/>
    <w:rsid w:val="00A942D4"/>
    <w:rsid w:val="00AB200C"/>
    <w:rsid w:val="00AB3EAE"/>
    <w:rsid w:val="00AC05E7"/>
    <w:rsid w:val="00AC3E86"/>
    <w:rsid w:val="00AC43C7"/>
    <w:rsid w:val="00AC52D5"/>
    <w:rsid w:val="00AC62ED"/>
    <w:rsid w:val="00AD6AD7"/>
    <w:rsid w:val="00AE6CC8"/>
    <w:rsid w:val="00AF0F09"/>
    <w:rsid w:val="00AF16F3"/>
    <w:rsid w:val="00AF2C8C"/>
    <w:rsid w:val="00AF3C30"/>
    <w:rsid w:val="00AF3DD9"/>
    <w:rsid w:val="00AF3FAD"/>
    <w:rsid w:val="00B046DD"/>
    <w:rsid w:val="00B116C0"/>
    <w:rsid w:val="00B14A25"/>
    <w:rsid w:val="00B33A53"/>
    <w:rsid w:val="00B35F3F"/>
    <w:rsid w:val="00B367B5"/>
    <w:rsid w:val="00B37E01"/>
    <w:rsid w:val="00B53B28"/>
    <w:rsid w:val="00B54A27"/>
    <w:rsid w:val="00B551EE"/>
    <w:rsid w:val="00B629C6"/>
    <w:rsid w:val="00B66B2F"/>
    <w:rsid w:val="00B72D36"/>
    <w:rsid w:val="00B75E2A"/>
    <w:rsid w:val="00B815AD"/>
    <w:rsid w:val="00B85A16"/>
    <w:rsid w:val="00B86815"/>
    <w:rsid w:val="00B90D9A"/>
    <w:rsid w:val="00B941A0"/>
    <w:rsid w:val="00BA1982"/>
    <w:rsid w:val="00BB7536"/>
    <w:rsid w:val="00BD70EA"/>
    <w:rsid w:val="00BE2941"/>
    <w:rsid w:val="00BE5C0D"/>
    <w:rsid w:val="00BF0555"/>
    <w:rsid w:val="00BF17C6"/>
    <w:rsid w:val="00BF6EBB"/>
    <w:rsid w:val="00C10257"/>
    <w:rsid w:val="00C1252A"/>
    <w:rsid w:val="00C12C97"/>
    <w:rsid w:val="00C1499A"/>
    <w:rsid w:val="00C25887"/>
    <w:rsid w:val="00C31B50"/>
    <w:rsid w:val="00C31B6E"/>
    <w:rsid w:val="00C37139"/>
    <w:rsid w:val="00C40F82"/>
    <w:rsid w:val="00C533D1"/>
    <w:rsid w:val="00C550DB"/>
    <w:rsid w:val="00C60E18"/>
    <w:rsid w:val="00C60E9D"/>
    <w:rsid w:val="00C754FE"/>
    <w:rsid w:val="00C7634B"/>
    <w:rsid w:val="00C815E5"/>
    <w:rsid w:val="00C82D1C"/>
    <w:rsid w:val="00C84376"/>
    <w:rsid w:val="00C93018"/>
    <w:rsid w:val="00CA7DF2"/>
    <w:rsid w:val="00CB0E62"/>
    <w:rsid w:val="00CB4C80"/>
    <w:rsid w:val="00CB528B"/>
    <w:rsid w:val="00CC18DF"/>
    <w:rsid w:val="00CC262D"/>
    <w:rsid w:val="00CD2A43"/>
    <w:rsid w:val="00CE4CCF"/>
    <w:rsid w:val="00CE54F4"/>
    <w:rsid w:val="00CE5FB1"/>
    <w:rsid w:val="00CF3FAA"/>
    <w:rsid w:val="00CF6B57"/>
    <w:rsid w:val="00CF6EE6"/>
    <w:rsid w:val="00D01A68"/>
    <w:rsid w:val="00D1056A"/>
    <w:rsid w:val="00D143BF"/>
    <w:rsid w:val="00D22806"/>
    <w:rsid w:val="00D34AD6"/>
    <w:rsid w:val="00D34B3B"/>
    <w:rsid w:val="00D366F9"/>
    <w:rsid w:val="00D3761F"/>
    <w:rsid w:val="00D37BDF"/>
    <w:rsid w:val="00D42A89"/>
    <w:rsid w:val="00D451F0"/>
    <w:rsid w:val="00D526FE"/>
    <w:rsid w:val="00D53EAA"/>
    <w:rsid w:val="00D57107"/>
    <w:rsid w:val="00D6739F"/>
    <w:rsid w:val="00D730A7"/>
    <w:rsid w:val="00D7789D"/>
    <w:rsid w:val="00D81975"/>
    <w:rsid w:val="00D937D1"/>
    <w:rsid w:val="00DA0F19"/>
    <w:rsid w:val="00DA1969"/>
    <w:rsid w:val="00DA6713"/>
    <w:rsid w:val="00DA73F1"/>
    <w:rsid w:val="00DB2267"/>
    <w:rsid w:val="00DB2975"/>
    <w:rsid w:val="00DB2F64"/>
    <w:rsid w:val="00DC24B3"/>
    <w:rsid w:val="00DD654B"/>
    <w:rsid w:val="00DE3F7B"/>
    <w:rsid w:val="00DE4481"/>
    <w:rsid w:val="00DF21AC"/>
    <w:rsid w:val="00DF6B1E"/>
    <w:rsid w:val="00E1227C"/>
    <w:rsid w:val="00E130AF"/>
    <w:rsid w:val="00E138CC"/>
    <w:rsid w:val="00E1672F"/>
    <w:rsid w:val="00E1692E"/>
    <w:rsid w:val="00E17056"/>
    <w:rsid w:val="00E2507D"/>
    <w:rsid w:val="00E3015A"/>
    <w:rsid w:val="00E31CC1"/>
    <w:rsid w:val="00E326BE"/>
    <w:rsid w:val="00E334E5"/>
    <w:rsid w:val="00E3469A"/>
    <w:rsid w:val="00E35CBC"/>
    <w:rsid w:val="00E41470"/>
    <w:rsid w:val="00E434D2"/>
    <w:rsid w:val="00E53A8C"/>
    <w:rsid w:val="00E5747D"/>
    <w:rsid w:val="00E6429E"/>
    <w:rsid w:val="00E72308"/>
    <w:rsid w:val="00E832BD"/>
    <w:rsid w:val="00E86882"/>
    <w:rsid w:val="00E86FCB"/>
    <w:rsid w:val="00E913B7"/>
    <w:rsid w:val="00EA2CD4"/>
    <w:rsid w:val="00EA5E91"/>
    <w:rsid w:val="00EA780A"/>
    <w:rsid w:val="00EB50D3"/>
    <w:rsid w:val="00EC6FD8"/>
    <w:rsid w:val="00ED30CF"/>
    <w:rsid w:val="00ED7E87"/>
    <w:rsid w:val="00EE0710"/>
    <w:rsid w:val="00EE1653"/>
    <w:rsid w:val="00EF6811"/>
    <w:rsid w:val="00F0441A"/>
    <w:rsid w:val="00F050C4"/>
    <w:rsid w:val="00F13D73"/>
    <w:rsid w:val="00F22F0E"/>
    <w:rsid w:val="00F30E1E"/>
    <w:rsid w:val="00F3610F"/>
    <w:rsid w:val="00F40FB4"/>
    <w:rsid w:val="00F43407"/>
    <w:rsid w:val="00F50920"/>
    <w:rsid w:val="00F512A8"/>
    <w:rsid w:val="00F51570"/>
    <w:rsid w:val="00F54498"/>
    <w:rsid w:val="00F6505B"/>
    <w:rsid w:val="00F8474B"/>
    <w:rsid w:val="00F92466"/>
    <w:rsid w:val="00F93B29"/>
    <w:rsid w:val="00F9442A"/>
    <w:rsid w:val="00F97662"/>
    <w:rsid w:val="00FA5C24"/>
    <w:rsid w:val="00FB2953"/>
    <w:rsid w:val="00FC3E2A"/>
    <w:rsid w:val="00FC5062"/>
    <w:rsid w:val="00FC731C"/>
    <w:rsid w:val="00FE4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4A8D"/>
  <w15:chartTrackingRefBased/>
  <w15:docId w15:val="{17101B47-B895-8442-9439-A9D80430B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09F"/>
  </w:style>
  <w:style w:type="paragraph" w:styleId="Heading1">
    <w:name w:val="heading 1"/>
    <w:basedOn w:val="Normal"/>
    <w:next w:val="Normal"/>
    <w:link w:val="Heading1Char"/>
    <w:uiPriority w:val="9"/>
    <w:qFormat/>
    <w:rsid w:val="00312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9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9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9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9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9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9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9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9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9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9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9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9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9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9BE"/>
    <w:rPr>
      <w:rFonts w:eastAsiaTheme="majorEastAsia" w:cstheme="majorBidi"/>
      <w:color w:val="272727" w:themeColor="text1" w:themeTint="D8"/>
    </w:rPr>
  </w:style>
  <w:style w:type="paragraph" w:styleId="Title">
    <w:name w:val="Title"/>
    <w:basedOn w:val="Normal"/>
    <w:next w:val="Normal"/>
    <w:link w:val="TitleChar"/>
    <w:uiPriority w:val="10"/>
    <w:qFormat/>
    <w:rsid w:val="00312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9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9BE"/>
    <w:pPr>
      <w:spacing w:before="160"/>
      <w:jc w:val="center"/>
    </w:pPr>
    <w:rPr>
      <w:i/>
      <w:iCs/>
      <w:color w:val="404040" w:themeColor="text1" w:themeTint="BF"/>
    </w:rPr>
  </w:style>
  <w:style w:type="character" w:customStyle="1" w:styleId="QuoteChar">
    <w:name w:val="Quote Char"/>
    <w:basedOn w:val="DefaultParagraphFont"/>
    <w:link w:val="Quote"/>
    <w:uiPriority w:val="29"/>
    <w:rsid w:val="003129BE"/>
    <w:rPr>
      <w:i/>
      <w:iCs/>
      <w:color w:val="404040" w:themeColor="text1" w:themeTint="BF"/>
    </w:rPr>
  </w:style>
  <w:style w:type="paragraph" w:styleId="ListParagraph">
    <w:name w:val="List Paragraph"/>
    <w:basedOn w:val="Normal"/>
    <w:uiPriority w:val="34"/>
    <w:qFormat/>
    <w:rsid w:val="003129BE"/>
    <w:pPr>
      <w:ind w:left="720"/>
      <w:contextualSpacing/>
    </w:pPr>
  </w:style>
  <w:style w:type="character" w:styleId="IntenseEmphasis">
    <w:name w:val="Intense Emphasis"/>
    <w:basedOn w:val="DefaultParagraphFont"/>
    <w:uiPriority w:val="21"/>
    <w:qFormat/>
    <w:rsid w:val="003129BE"/>
    <w:rPr>
      <w:i/>
      <w:iCs/>
      <w:color w:val="0F4761" w:themeColor="accent1" w:themeShade="BF"/>
    </w:rPr>
  </w:style>
  <w:style w:type="paragraph" w:styleId="IntenseQuote">
    <w:name w:val="Intense Quote"/>
    <w:basedOn w:val="Normal"/>
    <w:next w:val="Normal"/>
    <w:link w:val="IntenseQuoteChar"/>
    <w:uiPriority w:val="30"/>
    <w:qFormat/>
    <w:rsid w:val="00312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9BE"/>
    <w:rPr>
      <w:i/>
      <w:iCs/>
      <w:color w:val="0F4761" w:themeColor="accent1" w:themeShade="BF"/>
    </w:rPr>
  </w:style>
  <w:style w:type="character" w:styleId="IntenseReference">
    <w:name w:val="Intense Reference"/>
    <w:basedOn w:val="DefaultParagraphFont"/>
    <w:uiPriority w:val="32"/>
    <w:qFormat/>
    <w:rsid w:val="003129BE"/>
    <w:rPr>
      <w:b/>
      <w:bCs/>
      <w:smallCaps/>
      <w:color w:val="0F4761" w:themeColor="accent1" w:themeShade="BF"/>
      <w:spacing w:val="5"/>
    </w:rPr>
  </w:style>
  <w:style w:type="paragraph" w:styleId="NormalWeb">
    <w:name w:val="Normal (Web)"/>
    <w:basedOn w:val="Normal"/>
    <w:uiPriority w:val="99"/>
    <w:semiHidden/>
    <w:unhideWhenUsed/>
    <w:rsid w:val="0077687A"/>
    <w:rPr>
      <w:rFonts w:ascii="Times New Roman" w:hAnsi="Times New Roman" w:cs="Times New Roman"/>
    </w:rPr>
  </w:style>
  <w:style w:type="paragraph" w:styleId="Bibliography">
    <w:name w:val="Bibliography"/>
    <w:basedOn w:val="Normal"/>
    <w:next w:val="Normal"/>
    <w:uiPriority w:val="37"/>
    <w:unhideWhenUsed/>
    <w:rsid w:val="006E6990"/>
    <w:pPr>
      <w:tabs>
        <w:tab w:val="left" w:pos="500"/>
      </w:tabs>
      <w:spacing w:after="0" w:line="240" w:lineRule="auto"/>
      <w:ind w:left="504" w:hanging="504"/>
    </w:pPr>
  </w:style>
  <w:style w:type="character" w:styleId="CommentReference">
    <w:name w:val="annotation reference"/>
    <w:basedOn w:val="DefaultParagraphFont"/>
    <w:uiPriority w:val="99"/>
    <w:semiHidden/>
    <w:unhideWhenUsed/>
    <w:rsid w:val="00D1056A"/>
    <w:rPr>
      <w:sz w:val="16"/>
      <w:szCs w:val="16"/>
    </w:rPr>
  </w:style>
  <w:style w:type="character" w:styleId="Hyperlink">
    <w:name w:val="Hyperlink"/>
    <w:basedOn w:val="DefaultParagraphFont"/>
    <w:rsid w:val="00D1056A"/>
    <w:rPr>
      <w:color w:val="156082" w:themeColor="accent1"/>
    </w:rPr>
  </w:style>
  <w:style w:type="character" w:customStyle="1" w:styleId="text-token-text-primary">
    <w:name w:val="text-token-text-primary"/>
    <w:basedOn w:val="DefaultParagraphFont"/>
    <w:rsid w:val="00D01A68"/>
  </w:style>
  <w:style w:type="paragraph" w:styleId="CommentText">
    <w:name w:val="annotation text"/>
    <w:basedOn w:val="Normal"/>
    <w:link w:val="CommentTextChar"/>
    <w:uiPriority w:val="99"/>
    <w:unhideWhenUsed/>
    <w:rsid w:val="001E6155"/>
    <w:pPr>
      <w:spacing w:line="240" w:lineRule="auto"/>
    </w:pPr>
    <w:rPr>
      <w:sz w:val="20"/>
      <w:szCs w:val="20"/>
    </w:rPr>
  </w:style>
  <w:style w:type="character" w:customStyle="1" w:styleId="CommentTextChar">
    <w:name w:val="Comment Text Char"/>
    <w:basedOn w:val="DefaultParagraphFont"/>
    <w:link w:val="CommentText"/>
    <w:uiPriority w:val="99"/>
    <w:rsid w:val="001E6155"/>
    <w:rPr>
      <w:sz w:val="20"/>
      <w:szCs w:val="20"/>
    </w:rPr>
  </w:style>
  <w:style w:type="character" w:styleId="Strong">
    <w:name w:val="Strong"/>
    <w:basedOn w:val="DefaultParagraphFont"/>
    <w:uiPriority w:val="22"/>
    <w:qFormat/>
    <w:rsid w:val="004B5CD2"/>
    <w:rPr>
      <w:b/>
      <w:bCs/>
    </w:rPr>
  </w:style>
  <w:style w:type="character" w:styleId="Emphasis">
    <w:name w:val="Emphasis"/>
    <w:basedOn w:val="DefaultParagraphFont"/>
    <w:uiPriority w:val="20"/>
    <w:qFormat/>
    <w:rsid w:val="004B5CD2"/>
    <w:rPr>
      <w:i/>
      <w:iCs/>
    </w:rPr>
  </w:style>
  <w:style w:type="paragraph" w:styleId="Footer">
    <w:name w:val="footer"/>
    <w:basedOn w:val="Normal"/>
    <w:link w:val="FooterChar"/>
    <w:uiPriority w:val="99"/>
    <w:unhideWhenUsed/>
    <w:rsid w:val="00DF21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1AC"/>
  </w:style>
  <w:style w:type="character" w:styleId="PageNumber">
    <w:name w:val="page number"/>
    <w:basedOn w:val="DefaultParagraphFont"/>
    <w:uiPriority w:val="99"/>
    <w:semiHidden/>
    <w:unhideWhenUsed/>
    <w:rsid w:val="00DF21AC"/>
  </w:style>
  <w:style w:type="table" w:styleId="TableGrid">
    <w:name w:val="Table Grid"/>
    <w:basedOn w:val="TableNormal"/>
    <w:uiPriority w:val="39"/>
    <w:rsid w:val="0006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74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E33D0-7578-0444-9908-E0E904096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825</Words>
  <Characters>4856</Characters>
  <Application>Microsoft Office Word</Application>
  <DocSecurity>0</DocSecurity>
  <Lines>77</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 Sergi (NIH/NIDA) [E]</dc:creator>
  <cp:keywords/>
  <dc:description/>
  <cp:lastModifiedBy>Ferre, Sergi (NIH/NIDA) [E]</cp:lastModifiedBy>
  <cp:revision>6</cp:revision>
  <dcterms:created xsi:type="dcterms:W3CDTF">2026-08-04T13:01:00Z</dcterms:created>
  <dcterms:modified xsi:type="dcterms:W3CDTF">2026-08-04T13:06:00Z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id="EDWJyUxv"/&gt;&lt;style id="http://www.zotero.org/styles/neuropsychopharmacology" hasBibliography="1" bibliographyStyleHasBeenSet="1"/&gt;&lt;prefs&gt;&lt;pref name="fieldType" value="Field"/&gt;&lt;/prefs&gt;&lt;/data&gt;</vt:lpwstr>
  </property>
</Properties>
</file>