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xmlns:a="http://schemas.openxmlformats.org/drawingml/2006/main" xmlns:pic="http://schemas.openxmlformats.org/drawingml/2006/pictur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w:p w14:paraId="7FFD480E" w14:textId="7FFD4BE9">
      <w:pPr>
        <w:spacing w:after="200"/>
        <w:jc w:val="center"/>
      </w:pPr>
      <w:r>
        <w:rPr>
          <w:rFonts w:ascii="Times New Roman" w:hAnsi="Times New Roman" w:eastAsia="Times New Roman"/>
          <w:b/>
          <w:sz w:val="32"/>
        </w:rPr>
        <w:t>Life's Essential 8 Health Behaviors and All-Cause Mortality Across CKM Stages: Accounting for Construct Overlap in NHANES 2005–2014</w:t>
      </w:r>
    </w:p>
    <w:p w14:paraId="7FFD4812" w14:textId="7FFD50D6">
      <w:pPr>
        <w:spacing w:after="120"/>
        <w:jc w:val="center"/>
      </w:pPr>
      <w:r>
        <w:rPr>
          <w:rFonts w:ascii="Times New Roman" w:hAnsi="Times New Roman" w:eastAsia="Times New Roman"/>
          <w:color w:val="000000"/>
          <w:sz w:val="22"/>
        </w:rPr>
        <w:t>Yang Zhang1,2†; Yanyuan Wu3†; Hongxi Zhang1,2*; Xiaochen Liu1,2*</w:t>
      </w:r>
    </w:p>
    <w:p w14:paraId="7FFD4BDB" w14:textId="7FFD50D7">
      <w:pPr>
        <w:spacing w:after="60"/>
        <w:jc w:val="center"/>
      </w:pPr>
      <w:r>
        <w:rPr>
          <w:rFonts w:ascii="Times New Roman" w:hAnsi="Times New Roman" w:eastAsia="Times New Roman"/>
          <w:color w:val="000000"/>
          <w:sz w:val="20"/>
        </w:rPr>
        <w:t>1 Third Clinical College, Liaoning University of Traditional Chinese Medicine, Shenyang, Liaoning, China</w:t>
      </w:r>
    </w:p>
    <w:p w14:paraId="7FFD4BDD" w14:textId="7FFD50D8">
      <w:pPr>
        <w:spacing w:after="60"/>
        <w:jc w:val="center"/>
      </w:pPr>
      <w:r>
        <w:rPr>
          <w:rFonts w:ascii="Times New Roman" w:hAnsi="Times New Roman" w:eastAsia="Times New Roman"/>
          <w:color w:val="000000"/>
          <w:sz w:val="20"/>
        </w:rPr>
        <w:t>2 Third Affiliated Hospital, Liaoning University of Traditional Chinese Medicine, Shenyang, Liaoning, China</w:t>
      </w:r>
    </w:p>
    <w:p w14:paraId="7FFD4BDF" w14:textId="7FFD50D9">
      <w:pPr>
        <w:spacing w:after="60"/>
        <w:jc w:val="center"/>
      </w:pPr>
      <w:r>
        <w:rPr>
          <w:rFonts w:ascii="Times New Roman" w:hAnsi="Times New Roman" w:eastAsia="Times New Roman"/>
          <w:color w:val="000000"/>
          <w:sz w:val="20"/>
        </w:rPr>
        <w:t>3 Zhejiang Cancer Hospital, Hangzhou Institute of Medicine (HIM), Chinese Academy of Sciences, Hangzhou, Zhejiang 310022, China</w:t>
      </w:r>
    </w:p>
    <w:p w14:paraId="7FFD4BE1" w14:textId="7FFD50DA">
      <w:pPr>
        <w:spacing w:after="160"/>
        <w:jc w:val="center"/>
      </w:pPr>
      <w:r>
        <w:rPr>
          <w:rFonts w:ascii="Times New Roman" w:hAnsi="Times New Roman" w:eastAsia="Times New Roman"/>
          <w:color w:val="000000"/>
          <w:sz w:val="18"/>
        </w:rPr>
        <w:t>†Yang Zhang and Yanyuan Wu contributed equally and share first authorship; *Hongxi Zhang and Xiaochen Liu share corresponding authorship. Correspondence: Xiaochen Liu (liuxiaochen@cmu.edu.cn); Hongxi Zhang (zhanghongxi999@sina.com)</w:t>
      </w:r>
    </w:p>
    <w:p w14:paraId="4C5DB660" w14:textId="7FFD4BEF">
      <w:pPr>
        <w:pStyle w:val="12"/>
        <w:keepNext/>
        <w:pageBreakBefore w:val="0"/>
        <w:spacing w:before="120" w:after="240" w:line="240" w:lineRule="auto"/>
        <w:ind w:firstLine="0"/>
        <w:jc w:val="center"/>
        <w:outlineLvl w:val="0"/>
      </w:pPr>
      <w:r>
        <w:rPr>
          <w:rFonts w:ascii="Times New Roman" w:hAnsi="Times New Roman" w:eastAsia="Times New Roman"/>
          <w:b/>
          <w:sz w:val="28"/>
        </w:rPr>
        <w:t>Supplementary Information</w:t>
      </w:r>
    </w:p>
    <w:p w14:paraId="7FFD4BE3" w14:textId="7FFD50DB">
      <w:pPr>
        <w:spacing w:after="160"/>
        <w:jc w:val="center"/>
      </w:pPr>
      <w:r>
        <w:rPr>
          <w:rFonts w:ascii="Times New Roman" w:hAnsi="Times New Roman" w:eastAsia="Times New Roman"/>
          <w:color w:val="000000"/>
          <w:sz w:val="20"/>
        </w:rPr>
        <w:t xml:space="preserve">This Supplementary Information contains four supplementary figures and nine supplementary tables.</w:t>
      </w:r>
    </w:p>
    <w:p w14:paraId="7FFD4BE5" w14:textId="7FFD50DC">
      <w:pPr>
        <w:pStyle w:val="12"/>
        <w:pageBreakBefore/>
        <w:spacing w:after="160"/>
        <w:ind w:firstLine="0"/>
      </w:pPr>
      <w:r>
        <w:rPr>
          <w:rFonts w:ascii="Times New Roman" w:hAnsi="Times New Roman" w:eastAsia="Times New Roman"/>
          <w:b/>
          <w:color w:val="000000"/>
          <w:sz w:val="28"/>
        </w:rPr>
        <w:t xml:space="preserve">Supplementary Figures</w:t>
      </w:r>
    </w:p>
    <w:p w14:paraId="6E541D74" w14:textId="7FFD50E7">
      <w:pPr>
        <w:keepLines/>
        <w:spacing w:before="120" w:after="120" w:line="240" w:lineRule="auto"/>
        <w:ind w:firstLine="0"/>
        <w:jc w:val="center"/>
        <w:rPr>
          <w:rFonts w:eastAsia="Times New Roman"/>
        </w:rPr>
      </w:pPr>
      <w:r>
        <w:rPr>
          <w:rFonts w:eastAsia="Times New Roman"/>
        </w:rPr>
        <w:drawing>
          <wp:inline distT="0" distB="0" distL="0" distR="0">
            <wp:extent cx="5759450" cy="2843530"/>
            <wp:effectExtent l="0" t="0" r="0" b="0"/>
            <wp:docPr id="3" name="Five-year mortality risk difference per 10-point increase in health behavior score across three broad CKM categories; the interval for CKM stage 3 crosses zero" descr="Standardized 5-year mortality risk difference per 10-point higher health behavior score across three CKM stage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ve-year mortality risk difference per 10-point increase in health behavior score across three broad CKM categories; the interval for CKM stage 3 crosses zero" descr="Five-year mortality risk difference per 10-point increase in health behavior score across three broad CKM categories; the interval for CKM stage 3 crosses zero"/>
                    <pic:cNvPicPr>
                      <a:picLocks noChangeAspect="1"/>
                    </pic:cNvPicPr>
                  </pic:nvPicPr>
                  <pic:blipFill>
                    <a:blip r:embed="rId7" cstate="print"/>
                    <a:stretch>
                      <a:fillRect/>
                    </a:stretch>
                  </pic:blipFill>
                  <pic:spPr>
                    <a:xfrm>
                      <a:off x="0" y="0"/>
                      <a:ext cx="5760000" cy="2844000"/>
                    </a:xfrm>
                    <a:prstGeom prst="rect">
                      <a:avLst/>
                    </a:prstGeom>
                  </pic:spPr>
                </pic:pic>
              </a:graphicData>
            </a:graphic>
          </wp:inline>
        </w:drawing>
      </w:r>
    </w:p>
    <w:p w14:paraId="722F81EA" w14:textId="7FFD4BF3">
      <w:pPr>
        <w:rPr>
          <w:rFonts w:eastAsia="Times New Roman"/>
        </w:rPr>
      </w:pPr>
      <w:r>
        <w:rPr>
          <w:rFonts w:eastAsia="Times New Roman"/>
        </w:rPr>
        <w:br w:type="page"/>
      </w:r>
    </w:p>
    <w:p w14:paraId="089CEB09" w14:textId="7FFD50A8">
      <w:pPr>
        <w:pStyle w:val="15"/>
        <w:keepLines/>
        <w:widowControl/>
        <w:spacing w:before="0" w:after="120" w:line="240" w:lineRule="auto"/>
        <w:ind w:firstLine="0"/>
        <w:jc w:val="left"/>
        <w:rPr>
          <w:rFonts w:ascii="Times New Roman" w:hAnsi="Times New Roman" w:eastAsia="Times New Roman"/>
          <w:sz w:val="20"/>
        </w:rPr>
      </w:pPr>
      <w:r>
        <w:rPr>
          <w:rFonts w:ascii="Times New Roman" w:hAnsi="Times New Roman" w:eastAsia="Times New Roman"/>
          <w:b/>
          <w:sz w:val="20"/>
        </w:rPr>
        <w:t xml:space="preserve">Supplementary Figure S1. Standardized 5-year mortality risk difference associated with a 10-point higher health behavior score. The analysis included 5,949 participants with 893 deaths. Within each CKM stage group, the health behavior score was increased by 10 points and truncated at 100, then compared with the observed-score scenario. Points and intervals represent covariate-marginally standardized 5-year mortality risk differences and 95% CIs; uncertainty was estimated using 500 Rao–Wu complex survey bootstrap replicates with complete model refitting. The dashed line indicates a risk difference of zero.</w:t>
      </w:r>
    </w:p>
    <w:p w14:paraId="5E29A849" w14:textId="7FFD50E6">
      <w:pPr>
        <w:keepLines/>
        <w:widowControl/>
        <w:spacing w:before="0" w:after="120" w:line="240" w:lineRule="auto"/>
        <w:ind w:firstLine="0"/>
        <w:jc w:val="center"/>
        <w:rPr>
          <w:rFonts w:eastAsia="Times New Roman"/>
        </w:rPr>
      </w:pPr>
      <w:r>
        <w:rPr>
          <w:rFonts w:eastAsia="Times New Roman"/>
        </w:rPr>
        <w:drawing>
          <wp:inline distT="0" distB="0" distL="0" distR="0">
            <wp:extent cx="5759450" cy="3563620"/>
            <wp:effectExtent l="0" t="0" r="6350" b="8255"/>
            <wp:docPr id="4" name="Five-year mortality risk, sample size, and number of deaths across combinations of broad CKM category and health behavior score tertile" descr="Five-year mortality risk, sample size, and deaths across nine combinations of CKM stage group and health behavior score ter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ve-year mortality risk, sample size, and number of deaths across combinations of broad CKM category and health behavior score tertile" descr="Five-year mortality risk, sample size, and number of deaths across combinations of broad CKM category and health behavior score tertile"/>
                    <pic:cNvPicPr>
                      <a:picLocks noChangeAspect="1"/>
                    </pic:cNvPicPr>
                  </pic:nvPicPr>
                  <pic:blipFill>
                    <a:blip r:embed="rId8" cstate="print"/>
                    <a:stretch>
                      <a:fillRect/>
                    </a:stretch>
                  </pic:blipFill>
                  <pic:spPr>
                    <a:xfrm>
                      <a:off x="0" y="0"/>
                      <a:ext cx="5760000" cy="3564000"/>
                    </a:xfrm>
                    <a:prstGeom prst="rect">
                      <a:avLst/>
                    </a:prstGeom>
                  </pic:spPr>
                </pic:pic>
              </a:graphicData>
            </a:graphic>
          </wp:inline>
        </w:drawing>
      </w:r>
    </w:p>
    <w:p w14:paraId="12DD2A5C" w14:textId="7FFD4BF6">
      <w:pPr>
        <w:rPr>
          <w:rFonts w:eastAsia="Times New Roman"/>
        </w:rPr>
      </w:pPr>
      <w:r>
        <w:rPr>
          <w:rFonts w:eastAsia="Times New Roman"/>
        </w:rPr>
        <w:br w:type="page"/>
      </w:r>
    </w:p>
    <w:p w14:paraId="77E94B49" w14:textId="7FFD50A9">
      <w:pPr>
        <w:pStyle w:val="15"/>
        <w:keepLines/>
        <w:widowControl/>
        <w:spacing w:before="0" w:after="120" w:line="240" w:lineRule="auto"/>
        <w:ind w:firstLine="0"/>
        <w:jc w:val="left"/>
        <w:rPr>
          <w:rFonts w:ascii="Times New Roman" w:hAnsi="Times New Roman" w:eastAsia="Times New Roman"/>
          <w:sz w:val="20"/>
        </w:rPr>
      </w:pPr>
      <w:r>
        <w:rPr>
          <w:rFonts w:ascii="Times New Roman" w:hAnsi="Times New Roman" w:eastAsia="Times New Roman"/>
          <w:b/>
          <w:sz w:val="20"/>
        </w:rPr>
        <w:t xml:space="preserve">Supplementary Figure S2. Five-year mortality risk across combinations of CKM stage group and health behavior score tertile. The figure shows nine cells formed by CKM stage group and behavior-score tertile among 5,949 participants, with the sample size, number of deaths, and descriptive 5-year cumulative mortality risk for each cell. This analysis was not used for confirmatory between-group comparisons; some cells in CKM stage 3 had small sample sizes and wide intervals.</w:t>
      </w:r>
    </w:p>
    <w:p w14:paraId="2808DC34" w14:textId="7FFD50E5">
      <w:pPr>
        <w:keepLines/>
        <w:widowControl/>
        <w:spacing w:before="0" w:after="120" w:line="240" w:lineRule="auto"/>
        <w:ind w:firstLine="0"/>
        <w:jc w:val="center"/>
        <w:rPr>
          <w:rFonts w:eastAsia="Times New Roman"/>
        </w:rPr>
      </w:pPr>
      <w:r>
        <w:rPr>
          <w:rFonts w:eastAsia="Times New Roman"/>
        </w:rPr>
        <w:drawing>
          <wp:inline distT="0" distB="0" distL="0" distR="0">
            <wp:extent cx="5759450" cy="3851910"/>
            <wp:effectExtent l="0" t="0" r="0" b="0"/>
            <wp:docPr id="6" name="Hazard ratios for the complete four-component score and leave-one-component-out scores across three broad CKM categories" descr="Hazard ratios for the complete four-component behavior score and leave-one-component-out scores across three CKM stage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azard ratios for the complete four-component score and leave-one-component-out scores across three broad CKM categories" descr="Hazard ratios for the complete four-component score and leave-one-component-out scores across three broad CKM categories"/>
                    <pic:cNvPicPr>
                      <a:picLocks noChangeAspect="1"/>
                    </pic:cNvPicPr>
                  </pic:nvPicPr>
                  <pic:blipFill>
                    <a:blip r:embed="rId9" cstate="print"/>
                    <a:stretch>
                      <a:fillRect/>
                    </a:stretch>
                  </pic:blipFill>
                  <pic:spPr>
                    <a:xfrm>
                      <a:off x="0" y="0"/>
                      <a:ext cx="5760000" cy="3852000"/>
                    </a:xfrm>
                    <a:prstGeom prst="rect">
                      <a:avLst/>
                    </a:prstGeom>
                  </pic:spPr>
                </pic:pic>
              </a:graphicData>
            </a:graphic>
          </wp:inline>
        </w:drawing>
      </w:r>
    </w:p>
    <w:p w14:paraId="242B9D3D" w14:textId="7FFD4BF9">
      <w:pPr>
        <w:rPr>
          <w:rFonts w:eastAsia="Times New Roman"/>
        </w:rPr>
      </w:pPr>
      <w:r>
        <w:rPr>
          <w:rFonts w:eastAsia="Times New Roman"/>
        </w:rPr>
        <w:br w:type="page"/>
      </w:r>
    </w:p>
    <w:p w14:paraId="383BE1B0" w14:textId="7FFD50AA">
      <w:pPr>
        <w:pStyle w:val="15"/>
        <w:keepLines/>
        <w:widowControl/>
        <w:spacing w:before="0" w:after="120" w:line="240" w:lineRule="auto"/>
        <w:ind w:firstLine="0"/>
        <w:jc w:val="left"/>
      </w:pPr>
      <w:r>
        <w:rPr>
          <w:rFonts w:ascii="Times New Roman" w:hAnsi="Times New Roman" w:eastAsia="Times New Roman"/>
          <w:b/>
          <w:sz w:val="20"/>
        </w:rPr>
        <w:t xml:space="preserve">Supplementary Figure S3. Construct-overlap sensitivity analysis with leave-one-component-out scores. The figure shows adjusted HRs and 95% CIs per 10-point higher score for the complete four-component health behavior score and scores obtained after removing diet, physical activity, nicotine exposure, or sleep in turn across the three CKM stage groups. The primary analytic sample included 5,949 participants. Leave-one-component-out models included participants for whom the corresponding score could be constructed and all primary adjustment covariates were complete, and used the same complex survey-weighted Cox model as the primary analysis. The vertical line indicates HR=1.</w:t>
      </w:r>
    </w:p>
    <w:p w14:paraId="6C4DDD13" w14:textId="7FFD50E4">
      <w:pPr>
        <w:keepLines/>
        <w:spacing w:before="120" w:after="120" w:line="240" w:lineRule="auto"/>
        <w:ind w:firstLine="0"/>
        <w:jc w:val="center"/>
      </w:pPr>
      <w:r>
        <w:rPr>
          <w:rFonts w:eastAsia="Times New Roman"/>
        </w:rPr>
        <w:drawing>
          <wp:inline distT="0" distB="0" distL="0" distR="0">
            <wp:extent cx="5759450" cy="3347720"/>
            <wp:effectExtent l="0" t="0" r="0" b="0"/>
            <wp:docPr id="7" name="Three-degree-of-freedom global Wald tests in the overall sample and after excluding each survey cycle in turn" descr="Global three-degree-of-freedom Wald tests for the overall sample and leave-one-NHANES-cycle-out analy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ree-degree-of-freedom global Wald tests in the overall sample and after excluding each survey cycle in turn" descr="Three-degree-of-freedom global Wald tests in the overall sample and after excluding each survey cycle in turn"/>
                    <pic:cNvPicPr>
                      <a:picLocks noChangeAspect="1"/>
                    </pic:cNvPicPr>
                  </pic:nvPicPr>
                  <pic:blipFill>
                    <a:blip r:embed="rId10" cstate="print"/>
                    <a:stretch>
                      <a:fillRect/>
                    </a:stretch>
                  </pic:blipFill>
                  <pic:spPr>
                    <a:xfrm>
                      <a:off x="0" y="0"/>
                      <a:ext cx="5760000" cy="3348000"/>
                    </a:xfrm>
                    <a:prstGeom prst="rect">
                      <a:avLst/>
                    </a:prstGeom>
                  </pic:spPr>
                </pic:pic>
              </a:graphicData>
            </a:graphic>
          </wp:inline>
        </w:drawing>
      </w:r>
    </w:p>
    <w:p w14:paraId="02270E54" w14:textId="7FFD50AB">
      <w:pPr>
        <w:pStyle w:val="15"/>
        <w:keepLines/>
        <w:widowControl/>
        <w:spacing w:before="0" w:after="120" w:line="240" w:lineRule="auto"/>
        <w:ind w:firstLine="0"/>
        <w:jc w:val="left"/>
      </w:pPr>
      <w:r>
        <w:rPr>
          <w:rFonts w:ascii="Times New Roman" w:hAnsi="Times New Roman" w:eastAsia="Times New Roman"/>
          <w:b/>
          <w:sz w:val="20"/>
        </w:rPr>
        <w:t xml:space="preserve">Supplementary Figure S4. Stability of the global association after omitting each NHANES survey cycle. The figure shows results for the overall sample (5,949 participants and 893 deaths) and after omitting one survey cycle at a time for the 3-degree-of-freedom Wald test that the three stage-specific slopes in the complex survey-weighted Cox model were jointly equal to zero. Weights were rescaled across the four remaining cycles in each subset. This analysis evaluated sensitivity of the findings to any single survey cycle.</w:t>
      </w:r>
    </w:p>
    <w:p w14:paraId="7FFD4BE7" w14:textId="7FFD50DD">
      <w:pPr>
        <w:pStyle w:val="12"/>
        <w:pageBreakBefore/>
        <w:spacing w:after="160"/>
        <w:ind w:firstLine="0"/>
      </w:pPr>
      <w:r>
        <w:rPr>
          <w:rFonts w:ascii="Times New Roman" w:hAnsi="Times New Roman" w:eastAsia="Times New Roman"/>
          <w:b/>
          <w:color w:val="000000"/>
          <w:sz w:val="28"/>
        </w:rPr>
        <w:t xml:space="preserve">Supplementary Tables</w:t>
      </w:r>
    </w:p>
    <w:p w14:paraId="7D8FA0C9" w14:textId="7FFD50AC">
      <w:pPr>
        <w:pStyle w:val="15"/>
        <w:keepNext/>
        <w:spacing w:before="160" w:after="80" w:line="240" w:lineRule="auto"/>
        <w:ind w:firstLine="0"/>
        <w:jc w:val="left"/>
      </w:pPr>
      <w:r>
        <w:rPr>
          <w:rFonts w:ascii="Times New Roman" w:hAnsi="Times New Roman" w:eastAsia="Times New Roman"/>
          <w:b/>
          <w:sz w:val="20"/>
        </w:rPr>
        <w:t xml:space="preserve">Supplementary Table S1. Participant screening and sample flow</w:t>
      </w:r>
    </w:p>
    <w:tbl>
      <w:tblPr>
        <w:tblStyle w:val="5"/>
        <w:tblW w:w="5000" w:type="pct"/>
        <w:tblInd w:w="0"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55" w:type="dxa"/>
          <w:left w:w="55" w:type="dxa"/>
          <w:bottom w:w="55" w:type="dxa"/>
          <w:right w:w="55" w:type="dxa"/>
        </w:tblCellMar>
        <w:tblCaption w:val="Supplementary Table S1. Participant screening and sample flow"/>
      </w:tblPr>
      <w:tblGrid>
        <w:gridCol w:w="8433"/>
        <w:gridCol w:w="3809"/>
        <w:gridCol w:w="2438"/>
      </w:tblGrid>
      <w:tr w14:paraId="53F3A3E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rPr>
          <w:cantSplit/>
          <w:tblHeader/>
        </w:trPr>
        <w:tc>
          <w:tcPr>
            <w:tcW w:w="0" w:type="auto"/>
            <w:tcBorders>
              <w:bottom w:val="single" w:color="000000" w:sz="6" w:space="0"/>
            </w:tcBorders>
            <w:vAlign w:val="center"/>
          </w:tcPr>
          <w:p w14:paraId="0A183D21" w14:textId="7FFD4EDF">
            <w:pPr>
              <w:spacing w:before="0" w:after="0" w:line="240" w:lineRule="auto"/>
              <w:ind w:firstLine="0"/>
              <w:jc w:val="center"/>
            </w:pPr>
            <w:r>
              <w:rPr>
                <w:rFonts w:ascii="Times New Roman" w:hAnsi="Times New Roman" w:eastAsia="Times New Roman"/>
                <w:b/>
                <w:sz w:val="20"/>
              </w:rPr>
              <w:t xml:space="preserve">Screening step</w:t>
            </w:r>
          </w:p>
        </w:tc>
        <w:tc>
          <w:tcPr>
            <w:tcW w:w="0" w:type="auto"/>
            <w:tcBorders>
              <w:bottom w:val="single" w:color="000000" w:sz="6" w:space="0"/>
            </w:tcBorders>
            <w:vAlign w:val="center"/>
          </w:tcPr>
          <w:p w14:paraId="5EEDC313" w14:textId="7FFD4EE0">
            <w:pPr>
              <w:spacing w:before="0" w:after="0" w:line="240" w:lineRule="auto"/>
              <w:ind w:firstLine="0"/>
              <w:jc w:val="center"/>
            </w:pPr>
            <w:r>
              <w:rPr>
                <w:rFonts w:ascii="Times New Roman" w:hAnsi="Times New Roman" w:eastAsia="Times New Roman"/>
                <w:b/>
                <w:sz w:val="20"/>
              </w:rPr>
              <w:t xml:space="preserve">Unweighted participants</w:t>
            </w:r>
          </w:p>
        </w:tc>
        <w:tc>
          <w:tcPr>
            <w:tcW w:w="0" w:type="auto"/>
            <w:tcBorders>
              <w:bottom w:val="single" w:color="000000" w:sz="6" w:space="0"/>
            </w:tcBorders>
            <w:vAlign w:val="center"/>
          </w:tcPr>
          <w:p w14:paraId="6261908F" w14:textId="7FFD4EE2">
            <w:pPr>
              <w:spacing w:before="0" w:after="0" w:line="240" w:lineRule="auto"/>
              <w:ind w:firstLine="0"/>
              <w:jc w:val="center"/>
            </w:pPr>
            <w:r>
              <w:rPr>
                <w:rFonts w:ascii="Times New Roman" w:hAnsi="Times New Roman" w:eastAsia="Times New Roman"/>
                <w:b/>
                <w:sz w:val="20"/>
              </w:rPr>
              <w:t xml:space="preserve">Deaths</w:t>
            </w:r>
          </w:p>
        </w:tc>
      </w:tr>
      <w:tr w14:paraId="2C4DCA6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44E49D1B" w14:textId="7FFD4EE5">
            <w:pPr>
              <w:spacing w:before="0" w:after="0" w:line="240" w:lineRule="auto"/>
              <w:ind w:firstLine="0"/>
            </w:pPr>
            <w:r>
              <w:rPr>
                <w:rFonts w:ascii="Times New Roman" w:hAnsi="Times New Roman" w:eastAsia="Times New Roman"/>
                <w:sz w:val="20"/>
              </w:rPr>
              <w:t xml:space="preserve">Initial demographic sample</w:t>
            </w:r>
          </w:p>
        </w:tc>
        <w:tc>
          <w:tcPr>
            <w:tcW w:w="0" w:type="auto"/>
          </w:tcPr>
          <w:p w14:paraId="116BDEC4" w14:textId="7FFD4C03">
            <w:pPr>
              <w:spacing w:before="0" w:after="0" w:line="240" w:lineRule="auto"/>
              <w:ind w:firstLine="0"/>
            </w:pPr>
            <w:r>
              <w:rPr>
                <w:rFonts w:ascii="Times New Roman" w:hAnsi="Times New Roman" w:eastAsia="Times New Roman"/>
                <w:sz w:val="20"/>
              </w:rPr>
              <w:t>50,965</w:t>
            </w:r>
          </w:p>
        </w:tc>
        <w:tc>
          <w:tcPr>
            <w:tcW w:w="0" w:type="auto"/>
          </w:tcPr>
          <w:p w14:paraId="724DC364" w14:textId="7FFD4C04">
            <w:pPr>
              <w:spacing w:before="0" w:after="0" w:line="240" w:lineRule="auto"/>
              <w:ind w:firstLine="0"/>
            </w:pPr>
            <w:r>
              <w:rPr>
                <w:rFonts w:ascii="Times New Roman" w:hAnsi="Times New Roman" w:eastAsia="Times New Roman"/>
                <w:sz w:val="20"/>
              </w:rPr>
              <w:t>4,109</w:t>
            </w:r>
          </w:p>
        </w:tc>
      </w:tr>
      <w:tr w14:paraId="6B9F65E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3F5A29EE" w14:textId="7FFD4EE6">
            <w:pPr>
              <w:spacing w:before="0" w:after="0" w:line="240" w:lineRule="auto"/>
              <w:ind w:firstLine="0"/>
            </w:pPr>
            <w:r>
              <w:rPr>
                <w:rFonts w:ascii="Times New Roman" w:hAnsi="Times New Roman" w:eastAsia="Times New Roman"/>
                <w:sz w:val="20"/>
              </w:rPr>
              <w:t xml:space="preserve">Age 30–79 years</w:t>
            </w:r>
          </w:p>
        </w:tc>
        <w:tc>
          <w:tcPr>
            <w:tcW w:w="0" w:type="auto"/>
          </w:tcPr>
          <w:p w14:paraId="010773DE" w14:textId="7FFD4C06">
            <w:pPr>
              <w:spacing w:before="0" w:after="0" w:line="240" w:lineRule="auto"/>
              <w:ind w:firstLine="0"/>
            </w:pPr>
            <w:r>
              <w:rPr>
                <w:rFonts w:ascii="Times New Roman" w:hAnsi="Times New Roman" w:eastAsia="Times New Roman"/>
                <w:sz w:val="20"/>
              </w:rPr>
              <w:t>21,532</w:t>
            </w:r>
          </w:p>
        </w:tc>
        <w:tc>
          <w:tcPr>
            <w:tcW w:w="0" w:type="auto"/>
          </w:tcPr>
          <w:p w14:paraId="15F4CE6A" w14:textId="7FFD4C07">
            <w:pPr>
              <w:spacing w:before="0" w:after="0" w:line="240" w:lineRule="auto"/>
              <w:ind w:firstLine="0"/>
            </w:pPr>
            <w:r>
              <w:rPr>
                <w:rFonts w:ascii="Times New Roman" w:hAnsi="Times New Roman" w:eastAsia="Times New Roman"/>
                <w:sz w:val="20"/>
              </w:rPr>
              <w:t>2,628</w:t>
            </w:r>
          </w:p>
        </w:tc>
      </w:tr>
      <w:tr w14:paraId="29A898B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5D15AA32" w14:textId="7FFD4EE8">
            <w:pPr>
              <w:spacing w:before="0" w:after="0" w:line="240" w:lineRule="auto"/>
              <w:ind w:firstLine="0"/>
            </w:pPr>
            <w:r>
              <w:rPr>
                <w:rFonts w:ascii="Times New Roman" w:hAnsi="Times New Roman" w:eastAsia="Times New Roman"/>
                <w:sz w:val="20"/>
              </w:rPr>
              <w:t xml:space="preserve">Eligible mortality follow-up</w:t>
            </w:r>
          </w:p>
        </w:tc>
        <w:tc>
          <w:tcPr>
            <w:tcW w:w="0" w:type="auto"/>
          </w:tcPr>
          <w:p w14:paraId="232F1CB4" w14:textId="7FFD4C09">
            <w:pPr>
              <w:spacing w:before="0" w:after="0" w:line="240" w:lineRule="auto"/>
              <w:ind w:firstLine="0"/>
            </w:pPr>
            <w:r>
              <w:rPr>
                <w:rFonts w:ascii="Times New Roman" w:hAnsi="Times New Roman" w:eastAsia="Times New Roman"/>
                <w:sz w:val="20"/>
              </w:rPr>
              <w:t>20,826</w:t>
            </w:r>
          </w:p>
        </w:tc>
        <w:tc>
          <w:tcPr>
            <w:tcW w:w="0" w:type="auto"/>
          </w:tcPr>
          <w:p w14:paraId="616CE561" w14:textId="7FFD4C0A">
            <w:pPr>
              <w:spacing w:before="0" w:after="0" w:line="240" w:lineRule="auto"/>
              <w:ind w:firstLine="0"/>
            </w:pPr>
            <w:r>
              <w:rPr>
                <w:rFonts w:ascii="Times New Roman" w:hAnsi="Times New Roman" w:eastAsia="Times New Roman"/>
                <w:sz w:val="20"/>
              </w:rPr>
              <w:t>2,506</w:t>
            </w:r>
          </w:p>
        </w:tc>
      </w:tr>
      <w:tr w14:paraId="7DFD67E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43F7CCEB" w14:textId="7FFD4EE9">
            <w:pPr>
              <w:spacing w:before="0" w:after="0" w:line="240" w:lineRule="auto"/>
              <w:ind w:firstLine="0"/>
            </w:pPr>
            <w:r>
              <w:rPr>
                <w:rFonts w:ascii="Times New Roman" w:hAnsi="Times New Roman" w:eastAsia="Times New Roman"/>
                <w:sz w:val="20"/>
              </w:rPr>
              <w:t xml:space="preserve">Complex survey design variables available</w:t>
            </w:r>
          </w:p>
        </w:tc>
        <w:tc>
          <w:tcPr>
            <w:tcW w:w="0" w:type="auto"/>
          </w:tcPr>
          <w:p w14:paraId="147D39CD" w14:textId="7FFD4C0C">
            <w:pPr>
              <w:spacing w:before="0" w:after="0" w:line="240" w:lineRule="auto"/>
              <w:ind w:firstLine="0"/>
            </w:pPr>
            <w:r>
              <w:rPr>
                <w:rFonts w:ascii="Times New Roman" w:hAnsi="Times New Roman" w:eastAsia="Times New Roman"/>
                <w:sz w:val="20"/>
              </w:rPr>
              <w:t>17,347</w:t>
            </w:r>
          </w:p>
        </w:tc>
        <w:tc>
          <w:tcPr>
            <w:tcW w:w="0" w:type="auto"/>
          </w:tcPr>
          <w:p w14:paraId="231F2C90" w14:textId="7FFD4C0D">
            <w:pPr>
              <w:spacing w:before="0" w:after="0" w:line="240" w:lineRule="auto"/>
              <w:ind w:firstLine="0"/>
            </w:pPr>
            <w:r>
              <w:rPr>
                <w:rFonts w:ascii="Times New Roman" w:hAnsi="Times New Roman" w:eastAsia="Times New Roman"/>
                <w:sz w:val="20"/>
              </w:rPr>
              <w:t>2,076</w:t>
            </w:r>
          </w:p>
        </w:tc>
      </w:tr>
      <w:tr w14:paraId="2B774C5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7D87EFB7" w14:textId="7FFD4EEA">
            <w:pPr>
              <w:spacing w:before="0" w:after="0" w:line="240" w:lineRule="auto"/>
              <w:ind w:firstLine="0"/>
            </w:pPr>
            <w:r>
              <w:rPr>
                <w:rFonts w:ascii="Times New Roman" w:hAnsi="Times New Roman" w:eastAsia="Times New Roman"/>
                <w:sz w:val="20"/>
              </w:rPr>
              <w:t xml:space="preserve">CKM stage and four-component behavior score available</w:t>
            </w:r>
          </w:p>
        </w:tc>
        <w:tc>
          <w:tcPr>
            <w:tcW w:w="0" w:type="auto"/>
          </w:tcPr>
          <w:p w14:paraId="630447C6" w14:textId="7FFD4C0F">
            <w:pPr>
              <w:spacing w:before="0" w:after="0" w:line="240" w:lineRule="auto"/>
              <w:ind w:firstLine="0"/>
            </w:pPr>
            <w:r>
              <w:rPr>
                <w:rFonts w:ascii="Times New Roman" w:hAnsi="Times New Roman" w:eastAsia="Times New Roman"/>
                <w:sz w:val="20"/>
              </w:rPr>
              <w:t>6,418</w:t>
            </w:r>
          </w:p>
        </w:tc>
        <w:tc>
          <w:tcPr>
            <w:tcW w:w="0" w:type="auto"/>
          </w:tcPr>
          <w:p w14:paraId="3642605B" w14:textId="7FFD4C10">
            <w:pPr>
              <w:spacing w:before="0" w:after="0" w:line="240" w:lineRule="auto"/>
              <w:ind w:firstLine="0"/>
            </w:pPr>
            <w:r>
              <w:rPr>
                <w:rFonts w:ascii="Times New Roman" w:hAnsi="Times New Roman" w:eastAsia="Times New Roman"/>
                <w:sz w:val="20"/>
              </w:rPr>
              <w:t>950</w:t>
            </w:r>
          </w:p>
        </w:tc>
      </w:tr>
      <w:tr w14:paraId="0A0DC3E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1AB871CF" w14:textId="7FFD4EEB">
            <w:pPr>
              <w:spacing w:before="0" w:after="0" w:line="240" w:lineRule="auto"/>
              <w:ind w:firstLine="0"/>
            </w:pPr>
            <w:r>
              <w:rPr>
                <w:rFonts w:ascii="Times New Roman" w:hAnsi="Times New Roman" w:eastAsia="Times New Roman"/>
                <w:sz w:val="20"/>
              </w:rPr>
              <w:t xml:space="preserve">Final complete-case analytic sample</w:t>
            </w:r>
          </w:p>
        </w:tc>
        <w:tc>
          <w:tcPr>
            <w:tcW w:w="0" w:type="auto"/>
          </w:tcPr>
          <w:p w14:paraId="30F2E1A0" w14:textId="7FFD4C12">
            <w:pPr>
              <w:spacing w:before="0" w:after="0" w:line="240" w:lineRule="auto"/>
              <w:ind w:firstLine="0"/>
            </w:pPr>
            <w:r>
              <w:rPr>
                <w:rFonts w:ascii="Times New Roman" w:hAnsi="Times New Roman" w:eastAsia="Times New Roman"/>
                <w:sz w:val="20"/>
              </w:rPr>
              <w:t>5,949</w:t>
            </w:r>
          </w:p>
        </w:tc>
        <w:tc>
          <w:tcPr>
            <w:tcW w:w="0" w:type="auto"/>
          </w:tcPr>
          <w:p w14:paraId="70C67F47" w14:textId="7FFD4C13">
            <w:pPr>
              <w:spacing w:before="0" w:after="0" w:line="240" w:lineRule="auto"/>
              <w:ind w:firstLine="0"/>
            </w:pPr>
            <w:r>
              <w:rPr>
                <w:rFonts w:ascii="Times New Roman" w:hAnsi="Times New Roman" w:eastAsia="Times New Roman"/>
                <w:sz w:val="20"/>
              </w:rPr>
              <w:t>893</w:t>
            </w:r>
          </w:p>
        </w:tc>
      </w:tr>
    </w:tbl>
    <w:p w14:paraId="4D221B9C" w14:textId="7FFD4ED6">
      <w:pPr>
        <w:pStyle w:val="15"/>
        <w:widowControl/>
        <w:spacing w:before="60" w:after="120" w:line="240" w:lineRule="auto"/>
        <w:ind w:firstLine="0"/>
        <w:jc w:val="left"/>
      </w:pPr>
      <w:r>
        <w:rPr>
          <w:rFonts w:ascii="Times New Roman" w:hAnsi="Times New Roman" w:eastAsia="Times New Roman"/>
          <w:b/>
          <w:sz w:val="20"/>
        </w:rPr>
        <w:t xml:space="preserve">Note: Participant counts are unweighted; deaths are the numbers with a mortality outcome at the corresponding screening step.</w:t>
      </w:r>
    </w:p>
    <w:p w14:paraId="2468F101" w14:textId="7FFD50AD">
      <w:pPr>
        <w:pStyle w:val="15"/>
        <w:keepNext/>
        <w:spacing w:before="160" w:after="80" w:line="240" w:lineRule="auto"/>
        <w:ind w:firstLine="0"/>
        <w:jc w:val="left"/>
      </w:pPr>
      <w:r>
        <w:rPr>
          <w:rFonts w:ascii="Times New Roman" w:hAnsi="Times New Roman" w:eastAsia="Times New Roman"/>
          <w:b/>
          <w:sz w:val="20"/>
        </w:rPr>
        <w:t xml:space="preserve">Supplementary Table S2. Standardized 5-year mortality risk differences and descriptive risks in the nine-cell analysis</w:t>
      </w:r>
    </w:p>
    <w:tbl>
      <w:tblPr>
        <w:tblStyle w:val="5"/>
        <w:tblW w:w="5000" w:type="pct"/>
        <w:tblInd w:w="0"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55" w:type="dxa"/>
          <w:left w:w="55" w:type="dxa"/>
          <w:bottom w:w="55" w:type="dxa"/>
          <w:right w:w="55" w:type="dxa"/>
        </w:tblCellMar>
        <w:tblCaption w:val="Supplementary Table S2. Standardized 5-year mortality risk differences and descriptive risks in the nine-cell analysis"/>
      </w:tblPr>
      <w:tblGrid>
        <w:gridCol w:w="3767"/>
        <w:gridCol w:w="3426"/>
        <w:gridCol w:w="1186"/>
        <w:gridCol w:w="2235"/>
        <w:gridCol w:w="1119"/>
        <w:gridCol w:w="2947"/>
      </w:tblGrid>
      <w:tr w14:paraId="2ACE4AF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rPr>
          <w:cantSplit/>
          <w:tblHeader/>
        </w:trPr>
        <w:tc>
          <w:tcPr>
            <w:tcW w:w="0" w:type="auto"/>
            <w:tcBorders>
              <w:bottom w:val="single" w:color="000000" w:sz="6" w:space="0"/>
            </w:tcBorders>
            <w:vAlign w:val="center"/>
          </w:tcPr>
          <w:p w14:paraId="68F26A95" w14:textId="7FFD4EEC">
            <w:pPr>
              <w:spacing w:before="0" w:after="0" w:line="240" w:lineRule="auto"/>
              <w:ind w:firstLine="0"/>
              <w:jc w:val="center"/>
            </w:pPr>
            <w:r>
              <w:rPr>
                <w:rFonts w:ascii="Times New Roman" w:hAnsi="Times New Roman" w:eastAsia="Times New Roman"/>
                <w:b/>
                <w:sz w:val="20"/>
              </w:rPr>
              <w:t xml:space="preserve">CKM stage group/behavior level</w:t>
            </w:r>
          </w:p>
        </w:tc>
        <w:tc>
          <w:tcPr>
            <w:tcW w:w="0" w:type="auto"/>
            <w:tcBorders>
              <w:bottom w:val="single" w:color="000000" w:sz="6" w:space="0"/>
            </w:tcBorders>
            <w:vAlign w:val="center"/>
          </w:tcPr>
          <w:p w14:paraId="36EFD150" w14:textId="7FFD4EED">
            <w:pPr>
              <w:spacing w:before="0" w:after="0" w:line="240" w:lineRule="auto"/>
              <w:ind w:firstLine="0"/>
              <w:jc w:val="center"/>
            </w:pPr>
            <w:r>
              <w:rPr>
                <w:rFonts w:ascii="Times New Roman" w:hAnsi="Times New Roman" w:eastAsia="Times New Roman"/>
                <w:b/>
                <w:sz w:val="20"/>
              </w:rPr>
              <w:t xml:space="preserve">Measure</w:t>
            </w:r>
          </w:p>
        </w:tc>
        <w:tc>
          <w:tcPr>
            <w:tcW w:w="0" w:type="auto"/>
            <w:tcBorders>
              <w:bottom w:val="single" w:color="000000" w:sz="6" w:space="0"/>
            </w:tcBorders>
            <w:vAlign w:val="center"/>
          </w:tcPr>
          <w:p w14:paraId="293DB538" w14:textId="7FFD4EEF">
            <w:pPr>
              <w:spacing w:before="0" w:after="0" w:line="240" w:lineRule="auto"/>
              <w:ind w:firstLine="0"/>
              <w:jc w:val="center"/>
            </w:pPr>
            <w:r>
              <w:rPr>
                <w:rFonts w:ascii="Times New Roman" w:hAnsi="Times New Roman" w:eastAsia="Times New Roman"/>
                <w:b/>
                <w:sz w:val="20"/>
              </w:rPr>
              <w:t xml:space="preserve">Estimate</w:t>
            </w:r>
          </w:p>
        </w:tc>
        <w:tc>
          <w:tcPr>
            <w:tcW w:w="0" w:type="auto"/>
            <w:tcBorders>
              <w:bottom w:val="single" w:color="000000" w:sz="6" w:space="0"/>
            </w:tcBorders>
            <w:vAlign w:val="center"/>
          </w:tcPr>
          <w:p w14:paraId="3F5DDFF0" w14:textId="7FFD4EF2">
            <w:pPr>
              <w:spacing w:before="0" w:after="0" w:line="240" w:lineRule="auto"/>
              <w:ind w:firstLine="0"/>
              <w:jc w:val="center"/>
            </w:pPr>
            <w:r>
              <w:rPr>
                <w:rFonts w:ascii="Times New Roman" w:hAnsi="Times New Roman" w:eastAsia="Times New Roman"/>
                <w:b/>
                <w:sz w:val="20"/>
              </w:rPr>
              <w:t xml:space="preserve">95% CI</w:t>
            </w:r>
          </w:p>
        </w:tc>
        <w:tc>
          <w:tcPr>
            <w:tcW w:w="0" w:type="auto"/>
            <w:tcBorders>
              <w:bottom w:val="single" w:color="000000" w:sz="6" w:space="0"/>
            </w:tcBorders>
            <w:vAlign w:val="center"/>
          </w:tcPr>
          <w:p w14:paraId="0F64D5AE" w14:textId="7FFD4EF5">
            <w:pPr>
              <w:spacing w:before="0" w:after="0" w:line="240" w:lineRule="auto"/>
              <w:ind w:firstLine="0"/>
              <w:jc w:val="center"/>
            </w:pPr>
            <w:r>
              <w:rPr>
                <w:rFonts w:ascii="Times New Roman" w:hAnsi="Times New Roman" w:eastAsia="Times New Roman"/>
                <w:b/>
                <w:sz w:val="20"/>
              </w:rPr>
              <w:t xml:space="preserve">P value</w:t>
            </w:r>
          </w:p>
        </w:tc>
        <w:tc>
          <w:tcPr>
            <w:tcW w:w="0" w:type="auto"/>
            <w:tcBorders>
              <w:bottom w:val="single" w:color="000000" w:sz="6" w:space="0"/>
            </w:tcBorders>
            <w:vAlign w:val="center"/>
          </w:tcPr>
          <w:p w14:paraId="2A661F5F" w14:textId="7FFD50B5">
            <w:pPr>
              <w:spacing w:before="0" w:after="0" w:line="240" w:lineRule="auto"/>
              <w:ind w:firstLine="0"/>
              <w:jc w:val="center"/>
            </w:pPr>
            <w:r>
              <w:rPr>
                <w:rFonts w:ascii="Times New Roman" w:hAnsi="Times New Roman" w:eastAsia="Times New Roman"/>
                <w:b/>
                <w:sz w:val="20"/>
              </w:rPr>
              <w:t xml:space="preserve">Stratum sample size/deaths</w:t>
            </w:r>
          </w:p>
        </w:tc>
      </w:tr>
      <w:tr w14:paraId="3DC3DFD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471EBC33" w14:textId="7FFD5031">
            <w:pPr>
              <w:spacing w:before="0" w:after="0" w:line="240" w:lineRule="auto"/>
              <w:ind w:firstLine="0"/>
            </w:pPr>
            <w:r>
              <w:rPr>
                <w:rFonts w:ascii="Times New Roman" w:hAnsi="Times New Roman" w:eastAsia="Times New Roman"/>
                <w:sz w:val="20"/>
              </w:rPr>
              <w:t xml:space="preserve">CKM stages 0–2</w:t>
            </w:r>
          </w:p>
        </w:tc>
        <w:tc>
          <w:tcPr>
            <w:tcW w:w="0" w:type="auto"/>
          </w:tcPr>
          <w:p w14:paraId="0126BB89" w14:textId="7FFD4EFD">
            <w:pPr>
              <w:spacing w:before="0" w:after="0" w:line="240" w:lineRule="auto"/>
              <w:ind w:firstLine="0"/>
            </w:pPr>
            <w:r>
              <w:rPr>
                <w:rFonts w:ascii="Times New Roman" w:hAnsi="Times New Roman" w:eastAsia="Times New Roman"/>
                <w:sz w:val="20"/>
              </w:rPr>
              <w:t xml:space="preserve">5-year risk difference (percentage points)</w:t>
            </w:r>
          </w:p>
        </w:tc>
        <w:tc>
          <w:tcPr>
            <w:tcW w:w="0" w:type="auto"/>
          </w:tcPr>
          <w:p w14:paraId="45F5236D" w14:textId="7FFD50CD">
            <w:pPr>
              <w:spacing w:before="0" w:after="0" w:line="240" w:lineRule="auto"/>
              <w:ind w:firstLine="0"/>
            </w:pPr>
            <w:r>
              <w:rPr>
                <w:rFonts w:ascii="Times New Roman" w:hAnsi="Times New Roman" w:eastAsia="Times New Roman"/>
                <w:sz w:val="20"/>
              </w:rPr>
              <w:t xml:space="preserve">−0.300</w:t>
            </w:r>
          </w:p>
        </w:tc>
        <w:tc>
          <w:tcPr>
            <w:tcW w:w="0" w:type="auto"/>
          </w:tcPr>
          <w:p w14:paraId="685CF054" w14:textId="7FFD50CE">
            <w:pPr>
              <w:spacing w:before="0" w:after="0" w:line="240" w:lineRule="auto"/>
              <w:ind w:firstLine="0"/>
            </w:pPr>
            <w:r>
              <w:rPr>
                <w:rFonts w:ascii="Times New Roman" w:hAnsi="Times New Roman" w:eastAsia="Times New Roman"/>
                <w:sz w:val="20"/>
              </w:rPr>
              <w:t xml:space="preserve">−0.461 to −0.140</w:t>
            </w:r>
          </w:p>
        </w:tc>
        <w:tc>
          <w:tcPr>
            <w:tcW w:w="0" w:type="auto"/>
          </w:tcPr>
          <w:p w14:paraId="507CA2C0" w14:textId="7FFD4C20">
            <w:pPr>
              <w:spacing w:before="0" w:after="0" w:line="240" w:lineRule="auto"/>
              <w:ind w:firstLine="0"/>
            </w:pPr>
            <w:r>
              <w:rPr>
                <w:rFonts w:ascii="Times New Roman" w:hAnsi="Times New Roman" w:eastAsia="Times New Roman"/>
                <w:sz w:val="20"/>
              </w:rPr>
              <w:t>&lt;0.001</w:t>
            </w:r>
          </w:p>
        </w:tc>
        <w:tc>
          <w:tcPr>
            <w:tcW w:w="0" w:type="auto"/>
          </w:tcPr>
          <w:p w14:paraId="587C9097" w14:textId="7FFD4C21">
            <w:pPr>
              <w:spacing w:before="0" w:after="0" w:line="240" w:lineRule="auto"/>
              <w:ind w:firstLine="0"/>
            </w:pPr>
            <w:r>
              <w:rPr>
                <w:rFonts w:ascii="Times New Roman" w:hAnsi="Times New Roman" w:eastAsia="Times New Roman"/>
                <w:sz w:val="20"/>
              </w:rPr>
              <w:t>3,890/213</w:t>
            </w:r>
          </w:p>
        </w:tc>
      </w:tr>
      <w:tr w14:paraId="60D146B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1E6E7BDE" w14:textId="7FFD503F">
            <w:pPr>
              <w:spacing w:before="0" w:after="0" w:line="240" w:lineRule="auto"/>
              <w:ind w:firstLine="0"/>
            </w:pPr>
            <w:r>
              <w:rPr>
                <w:rFonts w:ascii="Times New Roman" w:hAnsi="Times New Roman" w:eastAsia="Times New Roman"/>
                <w:sz w:val="20"/>
              </w:rPr>
              <w:t xml:space="preserve">CKM stage 3</w:t>
            </w:r>
          </w:p>
        </w:tc>
        <w:tc>
          <w:tcPr>
            <w:tcW w:w="0" w:type="auto"/>
          </w:tcPr>
          <w:p w14:paraId="0F92C1CD" w14:textId="7FFD4EFE">
            <w:pPr>
              <w:spacing w:before="0" w:after="0" w:line="240" w:lineRule="auto"/>
              <w:ind w:firstLine="0"/>
            </w:pPr>
            <w:r>
              <w:rPr>
                <w:rFonts w:ascii="Times New Roman" w:hAnsi="Times New Roman" w:eastAsia="Times New Roman"/>
                <w:sz w:val="20"/>
              </w:rPr>
              <w:t xml:space="preserve">5-year risk difference (percentage points)</w:t>
            </w:r>
          </w:p>
        </w:tc>
        <w:tc>
          <w:tcPr>
            <w:tcW w:w="0" w:type="auto"/>
          </w:tcPr>
          <w:p w14:paraId="0C219A43" w14:textId="7FFD50CF">
            <w:pPr>
              <w:spacing w:before="0" w:after="0" w:line="240" w:lineRule="auto"/>
              <w:ind w:firstLine="0"/>
            </w:pPr>
            <w:r>
              <w:rPr>
                <w:rFonts w:ascii="Times New Roman" w:hAnsi="Times New Roman" w:eastAsia="Times New Roman"/>
                <w:sz w:val="20"/>
              </w:rPr>
              <w:t xml:space="preserve">−0.589</w:t>
            </w:r>
          </w:p>
        </w:tc>
        <w:tc>
          <w:tcPr>
            <w:tcW w:w="0" w:type="auto"/>
          </w:tcPr>
          <w:p w14:paraId="0027A614" w14:textId="7FFD50D0">
            <w:pPr>
              <w:spacing w:before="0" w:after="0" w:line="240" w:lineRule="auto"/>
              <w:ind w:firstLine="0"/>
            </w:pPr>
            <w:r>
              <w:rPr>
                <w:rFonts w:ascii="Times New Roman" w:hAnsi="Times New Roman" w:eastAsia="Times New Roman"/>
                <w:sz w:val="20"/>
              </w:rPr>
              <w:t xml:space="preserve">−2.022 to 0.844</w:t>
            </w:r>
          </w:p>
        </w:tc>
        <w:tc>
          <w:tcPr>
            <w:tcW w:w="0" w:type="auto"/>
          </w:tcPr>
          <w:p w14:paraId="0C1B076A" w14:textId="7FFD4C26">
            <w:pPr>
              <w:spacing w:before="0" w:after="0" w:line="240" w:lineRule="auto"/>
              <w:ind w:firstLine="0"/>
            </w:pPr>
            <w:r>
              <w:rPr>
                <w:rFonts w:ascii="Times New Roman" w:hAnsi="Times New Roman" w:eastAsia="Times New Roman"/>
                <w:sz w:val="20"/>
              </w:rPr>
              <w:t>0.420</w:t>
            </w:r>
          </w:p>
        </w:tc>
        <w:tc>
          <w:tcPr>
            <w:tcW w:w="0" w:type="auto"/>
          </w:tcPr>
          <w:p w14:paraId="03F81F31" w14:textId="7FFD4C27">
            <w:pPr>
              <w:spacing w:before="0" w:after="0" w:line="240" w:lineRule="auto"/>
              <w:ind w:firstLine="0"/>
            </w:pPr>
            <w:r>
              <w:rPr>
                <w:rFonts w:ascii="Times New Roman" w:hAnsi="Times New Roman" w:eastAsia="Times New Roman"/>
                <w:sz w:val="20"/>
              </w:rPr>
              <w:t>493/155</w:t>
            </w:r>
          </w:p>
        </w:tc>
      </w:tr>
      <w:tr w14:paraId="658585A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57921C8B" w14:textId="7FFD504E">
            <w:pPr>
              <w:spacing w:before="0" w:after="0" w:line="240" w:lineRule="auto"/>
              <w:ind w:firstLine="0"/>
            </w:pPr>
            <w:r>
              <w:rPr>
                <w:rFonts w:ascii="Times New Roman" w:hAnsi="Times New Roman" w:eastAsia="Times New Roman"/>
                <w:sz w:val="20"/>
              </w:rPr>
              <w:t xml:space="preserve">CKM stage 4</w:t>
            </w:r>
          </w:p>
        </w:tc>
        <w:tc>
          <w:tcPr>
            <w:tcW w:w="0" w:type="auto"/>
          </w:tcPr>
          <w:p w14:paraId="1B5DD970" w14:textId="7FFD4EFF">
            <w:pPr>
              <w:spacing w:before="0" w:after="0" w:line="240" w:lineRule="auto"/>
              <w:ind w:firstLine="0"/>
            </w:pPr>
            <w:r>
              <w:rPr>
                <w:rFonts w:ascii="Times New Roman" w:hAnsi="Times New Roman" w:eastAsia="Times New Roman"/>
                <w:sz w:val="20"/>
              </w:rPr>
              <w:t xml:space="preserve">5-year risk difference (percentage points)</w:t>
            </w:r>
          </w:p>
        </w:tc>
        <w:tc>
          <w:tcPr>
            <w:tcW w:w="0" w:type="auto"/>
          </w:tcPr>
          <w:p w14:paraId="7A6B6876" w14:textId="7FFD50D1">
            <w:pPr>
              <w:spacing w:before="0" w:after="0" w:line="240" w:lineRule="auto"/>
              <w:ind w:firstLine="0"/>
            </w:pPr>
            <w:r>
              <w:rPr>
                <w:rFonts w:ascii="Times New Roman" w:hAnsi="Times New Roman" w:eastAsia="Times New Roman"/>
                <w:sz w:val="20"/>
              </w:rPr>
              <w:t xml:space="preserve">−1.885</w:t>
            </w:r>
          </w:p>
        </w:tc>
        <w:tc>
          <w:tcPr>
            <w:tcW w:w="0" w:type="auto"/>
          </w:tcPr>
          <w:p w14:paraId="059381B7" w14:textId="7FFD50D2">
            <w:pPr>
              <w:spacing w:before="0" w:after="0" w:line="240" w:lineRule="auto"/>
              <w:ind w:firstLine="0"/>
            </w:pPr>
            <w:r>
              <w:rPr>
                <w:rFonts w:ascii="Times New Roman" w:hAnsi="Times New Roman" w:eastAsia="Times New Roman"/>
                <w:sz w:val="20"/>
              </w:rPr>
              <w:t xml:space="preserve">−2.364 to −1.405</w:t>
            </w:r>
          </w:p>
        </w:tc>
        <w:tc>
          <w:tcPr>
            <w:tcW w:w="0" w:type="auto"/>
          </w:tcPr>
          <w:p w14:paraId="06E3ECED" w14:textId="7FFD4C2C">
            <w:pPr>
              <w:spacing w:before="0" w:after="0" w:line="240" w:lineRule="auto"/>
              <w:ind w:firstLine="0"/>
            </w:pPr>
            <w:r>
              <w:rPr>
                <w:rFonts w:ascii="Times New Roman" w:hAnsi="Times New Roman" w:eastAsia="Times New Roman"/>
                <w:sz w:val="20"/>
              </w:rPr>
              <w:t>&lt;0.001</w:t>
            </w:r>
          </w:p>
        </w:tc>
        <w:tc>
          <w:tcPr>
            <w:tcW w:w="0" w:type="auto"/>
          </w:tcPr>
          <w:p w14:paraId="7104F059" w14:textId="7FFD4C2D">
            <w:pPr>
              <w:spacing w:before="0" w:after="0" w:line="240" w:lineRule="auto"/>
              <w:ind w:firstLine="0"/>
            </w:pPr>
            <w:r>
              <w:rPr>
                <w:rFonts w:ascii="Times New Roman" w:hAnsi="Times New Roman" w:eastAsia="Times New Roman"/>
                <w:sz w:val="20"/>
              </w:rPr>
              <w:t>1,566/525</w:t>
            </w:r>
          </w:p>
        </w:tc>
      </w:tr>
      <w:tr w14:paraId="4CB21F2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4E648911" w14:textId="7FFD4F09">
            <w:pPr>
              <w:spacing w:before="0" w:after="0" w:line="240" w:lineRule="auto"/>
              <w:ind w:firstLine="0"/>
            </w:pPr>
            <w:r>
              <w:rPr>
                <w:rFonts w:ascii="Times New Roman" w:hAnsi="Times New Roman" w:eastAsia="Times New Roman"/>
                <w:sz w:val="20"/>
              </w:rPr>
              <w:t xml:space="preserve">CKM stages 0–2, low tertile</w:t>
            </w:r>
          </w:p>
        </w:tc>
        <w:tc>
          <w:tcPr>
            <w:tcW w:w="0" w:type="auto"/>
          </w:tcPr>
          <w:p w14:paraId="01EB3CA1" w14:textId="7FFD4F00">
            <w:pPr>
              <w:spacing w:before="0" w:after="0" w:line="240" w:lineRule="auto"/>
              <w:ind w:firstLine="0"/>
            </w:pPr>
            <w:r>
              <w:rPr>
                <w:rFonts w:ascii="Times New Roman" w:hAnsi="Times New Roman" w:eastAsia="Times New Roman"/>
                <w:sz w:val="20"/>
              </w:rPr>
              <w:t xml:space="preserve">5-year mortality risk (%)</w:t>
            </w:r>
          </w:p>
        </w:tc>
        <w:tc>
          <w:tcPr>
            <w:tcW w:w="0" w:type="auto"/>
          </w:tcPr>
          <w:p w14:paraId="38818BBC" w14:textId="7FFD4C30">
            <w:pPr>
              <w:spacing w:before="0" w:after="0" w:line="240" w:lineRule="auto"/>
              <w:ind w:firstLine="0"/>
            </w:pPr>
            <w:r>
              <w:rPr>
                <w:rFonts w:ascii="Times New Roman" w:hAnsi="Times New Roman" w:eastAsia="Times New Roman"/>
                <w:sz w:val="20"/>
              </w:rPr>
              <w:t>3.84</w:t>
            </w:r>
          </w:p>
        </w:tc>
        <w:tc>
          <w:tcPr>
            <w:tcW w:w="0" w:type="auto"/>
          </w:tcPr>
          <w:p w14:paraId="5CDA7B52" w14:textId="7FFD505F">
            <w:pPr>
              <w:spacing w:before="0" w:after="0" w:line="240" w:lineRule="auto"/>
              <w:ind w:firstLine="0"/>
            </w:pPr>
            <w:r>
              <w:rPr>
                <w:rFonts w:ascii="Times New Roman" w:hAnsi="Times New Roman" w:eastAsia="Times New Roman"/>
                <w:sz w:val="20"/>
              </w:rPr>
              <w:t xml:space="preserve">2.53–5.14</w:t>
            </w:r>
          </w:p>
        </w:tc>
        <w:tc>
          <w:tcPr>
            <w:tcW w:w="0" w:type="auto"/>
          </w:tcPr>
          <w:p w14:paraId="44B9E955" w14:textId="7FFD4C32">
            <w:pPr>
              <w:spacing w:before="0" w:after="0" w:line="240" w:lineRule="auto"/>
              <w:ind w:firstLine="0"/>
            </w:pPr>
            <w:r>
              <w:rPr>
                <w:rFonts w:ascii="Times New Roman" w:hAnsi="Times New Roman" w:eastAsia="Times New Roman"/>
                <w:sz w:val="20"/>
              </w:rPr>
              <w:t>—</w:t>
            </w:r>
          </w:p>
        </w:tc>
        <w:tc>
          <w:tcPr>
            <w:tcW w:w="0" w:type="auto"/>
          </w:tcPr>
          <w:p w14:paraId="2B3934FA" w14:textId="7FFD4C33">
            <w:pPr>
              <w:spacing w:before="0" w:after="0" w:line="240" w:lineRule="auto"/>
              <w:ind w:firstLine="0"/>
            </w:pPr>
            <w:r>
              <w:rPr>
                <w:rFonts w:ascii="Times New Roman" w:hAnsi="Times New Roman" w:eastAsia="Times New Roman"/>
                <w:sz w:val="20"/>
              </w:rPr>
              <w:t>1211/102</w:t>
            </w:r>
          </w:p>
        </w:tc>
      </w:tr>
      <w:tr w14:paraId="61BBC95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68620E2E" w14:textId="7FFD4F0A">
            <w:pPr>
              <w:spacing w:before="0" w:after="0" w:line="240" w:lineRule="auto"/>
              <w:ind w:firstLine="0"/>
            </w:pPr>
            <w:r>
              <w:rPr>
                <w:rFonts w:ascii="Times New Roman" w:hAnsi="Times New Roman" w:eastAsia="Times New Roman"/>
                <w:sz w:val="20"/>
              </w:rPr>
              <w:t xml:space="preserve">CKM stages 0–2, middle tertile</w:t>
            </w:r>
          </w:p>
        </w:tc>
        <w:tc>
          <w:tcPr>
            <w:tcW w:w="0" w:type="auto"/>
          </w:tcPr>
          <w:p w14:paraId="14C6F3F3" w14:textId="7FFD4F01">
            <w:pPr>
              <w:spacing w:before="0" w:after="0" w:line="240" w:lineRule="auto"/>
              <w:ind w:firstLine="0"/>
            </w:pPr>
            <w:r>
              <w:rPr>
                <w:rFonts w:ascii="Times New Roman" w:hAnsi="Times New Roman" w:eastAsia="Times New Roman"/>
                <w:sz w:val="20"/>
              </w:rPr>
              <w:t xml:space="preserve">5-year mortality risk (%)</w:t>
            </w:r>
          </w:p>
        </w:tc>
        <w:tc>
          <w:tcPr>
            <w:tcW w:w="0" w:type="auto"/>
          </w:tcPr>
          <w:p w14:paraId="2F8960B5" w14:textId="7FFD4C36">
            <w:pPr>
              <w:spacing w:before="0" w:after="0" w:line="240" w:lineRule="auto"/>
              <w:ind w:firstLine="0"/>
            </w:pPr>
            <w:r>
              <w:rPr>
                <w:rFonts w:ascii="Times New Roman" w:hAnsi="Times New Roman" w:eastAsia="Times New Roman"/>
                <w:sz w:val="20"/>
              </w:rPr>
              <w:t>1.68</w:t>
            </w:r>
          </w:p>
        </w:tc>
        <w:tc>
          <w:tcPr>
            <w:tcW w:w="0" w:type="auto"/>
          </w:tcPr>
          <w:p w14:paraId="444FD8C5" w14:textId="7FFD5060">
            <w:pPr>
              <w:spacing w:before="0" w:after="0" w:line="240" w:lineRule="auto"/>
              <w:ind w:firstLine="0"/>
            </w:pPr>
            <w:r>
              <w:rPr>
                <w:rFonts w:ascii="Times New Roman" w:hAnsi="Times New Roman" w:eastAsia="Times New Roman"/>
                <w:sz w:val="20"/>
              </w:rPr>
              <w:t xml:space="preserve">0.87–2.49</w:t>
            </w:r>
          </w:p>
        </w:tc>
        <w:tc>
          <w:tcPr>
            <w:tcW w:w="0" w:type="auto"/>
          </w:tcPr>
          <w:p w14:paraId="463BCF50" w14:textId="7FFD4C38">
            <w:pPr>
              <w:spacing w:before="0" w:after="0" w:line="240" w:lineRule="auto"/>
              <w:ind w:firstLine="0"/>
            </w:pPr>
            <w:r>
              <w:rPr>
                <w:rFonts w:ascii="Times New Roman" w:hAnsi="Times New Roman" w:eastAsia="Times New Roman"/>
                <w:sz w:val="20"/>
              </w:rPr>
              <w:t>—</w:t>
            </w:r>
          </w:p>
        </w:tc>
        <w:tc>
          <w:tcPr>
            <w:tcW w:w="0" w:type="auto"/>
          </w:tcPr>
          <w:p w14:paraId="7F8D106B" w14:textId="7FFD4C39">
            <w:pPr>
              <w:spacing w:before="0" w:after="0" w:line="240" w:lineRule="auto"/>
              <w:ind w:firstLine="0"/>
            </w:pPr>
            <w:r>
              <w:rPr>
                <w:rFonts w:ascii="Times New Roman" w:hAnsi="Times New Roman" w:eastAsia="Times New Roman"/>
                <w:sz w:val="20"/>
              </w:rPr>
              <w:t>1359/73</w:t>
            </w:r>
          </w:p>
        </w:tc>
      </w:tr>
      <w:tr w14:paraId="530EBF4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7C27DACE" w14:textId="7FFD4F0B">
            <w:pPr>
              <w:spacing w:before="0" w:after="0" w:line="240" w:lineRule="auto"/>
              <w:ind w:firstLine="0"/>
            </w:pPr>
            <w:r>
              <w:rPr>
                <w:rFonts w:ascii="Times New Roman" w:hAnsi="Times New Roman" w:eastAsia="Times New Roman"/>
                <w:sz w:val="20"/>
              </w:rPr>
              <w:t xml:space="preserve">CKM stages 0–2, high tertile</w:t>
            </w:r>
          </w:p>
        </w:tc>
        <w:tc>
          <w:tcPr>
            <w:tcW w:w="0" w:type="auto"/>
          </w:tcPr>
          <w:p w14:paraId="200206A0" w14:textId="7FFD4F02">
            <w:pPr>
              <w:spacing w:before="0" w:after="0" w:line="240" w:lineRule="auto"/>
              <w:ind w:firstLine="0"/>
            </w:pPr>
            <w:r>
              <w:rPr>
                <w:rFonts w:ascii="Times New Roman" w:hAnsi="Times New Roman" w:eastAsia="Times New Roman"/>
                <w:sz w:val="20"/>
              </w:rPr>
              <w:t xml:space="preserve">5-year mortality risk (%)</w:t>
            </w:r>
          </w:p>
        </w:tc>
        <w:tc>
          <w:tcPr>
            <w:tcW w:w="0" w:type="auto"/>
          </w:tcPr>
          <w:p w14:paraId="08C4F049" w14:textId="7FFD4C3C">
            <w:pPr>
              <w:spacing w:before="0" w:after="0" w:line="240" w:lineRule="auto"/>
              <w:ind w:firstLine="0"/>
            </w:pPr>
            <w:r>
              <w:rPr>
                <w:rFonts w:ascii="Times New Roman" w:hAnsi="Times New Roman" w:eastAsia="Times New Roman"/>
                <w:sz w:val="20"/>
              </w:rPr>
              <w:t>0.45</w:t>
            </w:r>
          </w:p>
        </w:tc>
        <w:tc>
          <w:tcPr>
            <w:tcW w:w="0" w:type="auto"/>
          </w:tcPr>
          <w:p w14:paraId="0642D0ED" w14:textId="7FFD5061">
            <w:pPr>
              <w:spacing w:before="0" w:after="0" w:line="240" w:lineRule="auto"/>
              <w:ind w:firstLine="0"/>
            </w:pPr>
            <w:r>
              <w:rPr>
                <w:rFonts w:ascii="Times New Roman" w:hAnsi="Times New Roman" w:eastAsia="Times New Roman"/>
                <w:sz w:val="20"/>
              </w:rPr>
              <w:t xml:space="preserve">0.00–0.93</w:t>
            </w:r>
          </w:p>
        </w:tc>
        <w:tc>
          <w:tcPr>
            <w:tcW w:w="0" w:type="auto"/>
          </w:tcPr>
          <w:p w14:paraId="4C55D49C" w14:textId="7FFD4C3E">
            <w:pPr>
              <w:spacing w:before="0" w:after="0" w:line="240" w:lineRule="auto"/>
              <w:ind w:firstLine="0"/>
            </w:pPr>
            <w:r>
              <w:rPr>
                <w:rFonts w:ascii="Times New Roman" w:hAnsi="Times New Roman" w:eastAsia="Times New Roman"/>
                <w:sz w:val="20"/>
              </w:rPr>
              <w:t>—</w:t>
            </w:r>
          </w:p>
        </w:tc>
        <w:tc>
          <w:tcPr>
            <w:tcW w:w="0" w:type="auto"/>
          </w:tcPr>
          <w:p w14:paraId="13CA4D93" w14:textId="7FFD4C3F">
            <w:pPr>
              <w:spacing w:before="0" w:after="0" w:line="240" w:lineRule="auto"/>
              <w:ind w:firstLine="0"/>
            </w:pPr>
            <w:r>
              <w:rPr>
                <w:rFonts w:ascii="Times New Roman" w:hAnsi="Times New Roman" w:eastAsia="Times New Roman"/>
                <w:sz w:val="20"/>
              </w:rPr>
              <w:t>1320/38</w:t>
            </w:r>
          </w:p>
        </w:tc>
      </w:tr>
      <w:tr w14:paraId="486331B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77CC7CC0" w14:textId="7FFD4F0C">
            <w:pPr>
              <w:spacing w:before="0" w:after="0" w:line="240" w:lineRule="auto"/>
              <w:ind w:firstLine="0"/>
            </w:pPr>
            <w:r>
              <w:rPr>
                <w:rFonts w:ascii="Times New Roman" w:hAnsi="Times New Roman" w:eastAsia="Times New Roman"/>
                <w:sz w:val="20"/>
              </w:rPr>
              <w:t xml:space="preserve">CKM stage 3, low tertile</w:t>
            </w:r>
          </w:p>
        </w:tc>
        <w:tc>
          <w:tcPr>
            <w:tcW w:w="0" w:type="auto"/>
          </w:tcPr>
          <w:p w14:paraId="7ADAC4E9" w14:textId="7FFD4F03">
            <w:pPr>
              <w:spacing w:before="0" w:after="0" w:line="240" w:lineRule="auto"/>
              <w:ind w:firstLine="0"/>
            </w:pPr>
            <w:r>
              <w:rPr>
                <w:rFonts w:ascii="Times New Roman" w:hAnsi="Times New Roman" w:eastAsia="Times New Roman"/>
                <w:sz w:val="20"/>
              </w:rPr>
              <w:t xml:space="preserve">5-year mortality risk (%)</w:t>
            </w:r>
          </w:p>
        </w:tc>
        <w:tc>
          <w:tcPr>
            <w:tcW w:w="0" w:type="auto"/>
          </w:tcPr>
          <w:p w14:paraId="35C125E4" w14:textId="7FFD4C42">
            <w:pPr>
              <w:spacing w:before="0" w:after="0" w:line="240" w:lineRule="auto"/>
              <w:ind w:firstLine="0"/>
            </w:pPr>
            <w:r>
              <w:rPr>
                <w:rFonts w:ascii="Times New Roman" w:hAnsi="Times New Roman" w:eastAsia="Times New Roman"/>
                <w:sz w:val="20"/>
              </w:rPr>
              <w:t>10.61</w:t>
            </w:r>
          </w:p>
        </w:tc>
        <w:tc>
          <w:tcPr>
            <w:tcW w:w="0" w:type="auto"/>
          </w:tcPr>
          <w:p w14:paraId="4DD7706C" w14:textId="7FFD5062">
            <w:pPr>
              <w:spacing w:before="0" w:after="0" w:line="240" w:lineRule="auto"/>
              <w:ind w:firstLine="0"/>
            </w:pPr>
            <w:r>
              <w:rPr>
                <w:rFonts w:ascii="Times New Roman" w:hAnsi="Times New Roman" w:eastAsia="Times New Roman"/>
                <w:sz w:val="20"/>
              </w:rPr>
              <w:t xml:space="preserve">3.04–17.58</w:t>
            </w:r>
          </w:p>
        </w:tc>
        <w:tc>
          <w:tcPr>
            <w:tcW w:w="0" w:type="auto"/>
          </w:tcPr>
          <w:p w14:paraId="5D00BBD8" w14:textId="7FFD4C44">
            <w:pPr>
              <w:spacing w:before="0" w:after="0" w:line="240" w:lineRule="auto"/>
              <w:ind w:firstLine="0"/>
            </w:pPr>
            <w:r>
              <w:rPr>
                <w:rFonts w:ascii="Times New Roman" w:hAnsi="Times New Roman" w:eastAsia="Times New Roman"/>
                <w:sz w:val="20"/>
              </w:rPr>
              <w:t>—</w:t>
            </w:r>
          </w:p>
        </w:tc>
        <w:tc>
          <w:tcPr>
            <w:tcW w:w="0" w:type="auto"/>
          </w:tcPr>
          <w:p w14:paraId="00333ACB" w14:textId="7FFD4C45">
            <w:pPr>
              <w:spacing w:before="0" w:after="0" w:line="240" w:lineRule="auto"/>
              <w:ind w:firstLine="0"/>
            </w:pPr>
            <w:r>
              <w:rPr>
                <w:rFonts w:ascii="Times New Roman" w:hAnsi="Times New Roman" w:eastAsia="Times New Roman"/>
                <w:sz w:val="20"/>
              </w:rPr>
              <w:t>214/72</w:t>
            </w:r>
          </w:p>
        </w:tc>
      </w:tr>
      <w:tr w14:paraId="7DE3B69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2078487A" w14:textId="7FFD4F0D">
            <w:pPr>
              <w:spacing w:before="0" w:after="0" w:line="240" w:lineRule="auto"/>
              <w:ind w:firstLine="0"/>
            </w:pPr>
            <w:r>
              <w:rPr>
                <w:rFonts w:ascii="Times New Roman" w:hAnsi="Times New Roman" w:eastAsia="Times New Roman"/>
                <w:sz w:val="20"/>
              </w:rPr>
              <w:t xml:space="preserve">CKM stage 3, middle tertile</w:t>
            </w:r>
          </w:p>
        </w:tc>
        <w:tc>
          <w:tcPr>
            <w:tcW w:w="0" w:type="auto"/>
          </w:tcPr>
          <w:p w14:paraId="41813B40" w14:textId="7FFD4F04">
            <w:pPr>
              <w:spacing w:before="0" w:after="0" w:line="240" w:lineRule="auto"/>
              <w:ind w:firstLine="0"/>
            </w:pPr>
            <w:r>
              <w:rPr>
                <w:rFonts w:ascii="Times New Roman" w:hAnsi="Times New Roman" w:eastAsia="Times New Roman"/>
                <w:sz w:val="20"/>
              </w:rPr>
              <w:t xml:space="preserve">5-year mortality risk (%)</w:t>
            </w:r>
          </w:p>
        </w:tc>
        <w:tc>
          <w:tcPr>
            <w:tcW w:w="0" w:type="auto"/>
          </w:tcPr>
          <w:p w14:paraId="15CAD24E" w14:textId="7FFD4C48">
            <w:pPr>
              <w:spacing w:before="0" w:after="0" w:line="240" w:lineRule="auto"/>
              <w:ind w:firstLine="0"/>
            </w:pPr>
            <w:r>
              <w:rPr>
                <w:rFonts w:ascii="Times New Roman" w:hAnsi="Times New Roman" w:eastAsia="Times New Roman"/>
                <w:sz w:val="20"/>
              </w:rPr>
              <w:t>21.37</w:t>
            </w:r>
          </w:p>
        </w:tc>
        <w:tc>
          <w:tcPr>
            <w:tcW w:w="0" w:type="auto"/>
          </w:tcPr>
          <w:p w14:paraId="20F2BBD3" w14:textId="7FFD5063">
            <w:pPr>
              <w:spacing w:before="0" w:after="0" w:line="240" w:lineRule="auto"/>
              <w:ind w:firstLine="0"/>
            </w:pPr>
            <w:r>
              <w:rPr>
                <w:rFonts w:ascii="Times New Roman" w:hAnsi="Times New Roman" w:eastAsia="Times New Roman"/>
                <w:sz w:val="20"/>
              </w:rPr>
              <w:t xml:space="preserve">0.01–38.17</w:t>
            </w:r>
          </w:p>
        </w:tc>
        <w:tc>
          <w:tcPr>
            <w:tcW w:w="0" w:type="auto"/>
          </w:tcPr>
          <w:p w14:paraId="1B1C5E0E" w14:textId="7FFD4C4A">
            <w:pPr>
              <w:spacing w:before="0" w:after="0" w:line="240" w:lineRule="auto"/>
              <w:ind w:firstLine="0"/>
            </w:pPr>
            <w:r>
              <w:rPr>
                <w:rFonts w:ascii="Times New Roman" w:hAnsi="Times New Roman" w:eastAsia="Times New Roman"/>
                <w:sz w:val="20"/>
              </w:rPr>
              <w:t>—</w:t>
            </w:r>
          </w:p>
        </w:tc>
        <w:tc>
          <w:tcPr>
            <w:tcW w:w="0" w:type="auto"/>
          </w:tcPr>
          <w:p w14:paraId="2A50EEBE" w14:textId="7FFD4C4B">
            <w:pPr>
              <w:spacing w:before="0" w:after="0" w:line="240" w:lineRule="auto"/>
              <w:ind w:firstLine="0"/>
            </w:pPr>
            <w:r>
              <w:rPr>
                <w:rFonts w:ascii="Times New Roman" w:hAnsi="Times New Roman" w:eastAsia="Times New Roman"/>
                <w:sz w:val="20"/>
              </w:rPr>
              <w:t>172/59</w:t>
            </w:r>
          </w:p>
        </w:tc>
      </w:tr>
      <w:tr w14:paraId="412B094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23E03784" w14:textId="7FFD4F0E">
            <w:pPr>
              <w:spacing w:before="0" w:after="0" w:line="240" w:lineRule="auto"/>
              <w:ind w:firstLine="0"/>
            </w:pPr>
            <w:r>
              <w:rPr>
                <w:rFonts w:ascii="Times New Roman" w:hAnsi="Times New Roman" w:eastAsia="Times New Roman"/>
                <w:sz w:val="20"/>
              </w:rPr>
              <w:t xml:space="preserve">CKM stage 3, high tertile</w:t>
            </w:r>
          </w:p>
        </w:tc>
        <w:tc>
          <w:tcPr>
            <w:tcW w:w="0" w:type="auto"/>
          </w:tcPr>
          <w:p w14:paraId="6BBE7E12" w14:textId="7FFD4F05">
            <w:pPr>
              <w:spacing w:before="0" w:after="0" w:line="240" w:lineRule="auto"/>
              <w:ind w:firstLine="0"/>
            </w:pPr>
            <w:r>
              <w:rPr>
                <w:rFonts w:ascii="Times New Roman" w:hAnsi="Times New Roman" w:eastAsia="Times New Roman"/>
                <w:sz w:val="20"/>
              </w:rPr>
              <w:t xml:space="preserve">5-year mortality risk (%)</w:t>
            </w:r>
          </w:p>
        </w:tc>
        <w:tc>
          <w:tcPr>
            <w:tcW w:w="0" w:type="auto"/>
          </w:tcPr>
          <w:p w14:paraId="05F75E72" w14:textId="7FFD4C4E">
            <w:pPr>
              <w:spacing w:before="0" w:after="0" w:line="240" w:lineRule="auto"/>
              <w:ind w:firstLine="0"/>
            </w:pPr>
            <w:r>
              <w:rPr>
                <w:rFonts w:ascii="Times New Roman" w:hAnsi="Times New Roman" w:eastAsia="Times New Roman"/>
                <w:sz w:val="20"/>
              </w:rPr>
              <w:t>7.47</w:t>
            </w:r>
          </w:p>
        </w:tc>
        <w:tc>
          <w:tcPr>
            <w:tcW w:w="0" w:type="auto"/>
          </w:tcPr>
          <w:p w14:paraId="7DEEF016" w14:textId="7FFD5064">
            <w:pPr>
              <w:spacing w:before="0" w:after="0" w:line="240" w:lineRule="auto"/>
              <w:ind w:firstLine="0"/>
            </w:pPr>
            <w:r>
              <w:rPr>
                <w:rFonts w:ascii="Times New Roman" w:hAnsi="Times New Roman" w:eastAsia="Times New Roman"/>
                <w:sz w:val="20"/>
              </w:rPr>
              <w:t xml:space="preserve">0.00–15.81</w:t>
            </w:r>
          </w:p>
        </w:tc>
        <w:tc>
          <w:tcPr>
            <w:tcW w:w="0" w:type="auto"/>
          </w:tcPr>
          <w:p w14:paraId="527D706E" w14:textId="7FFD4C50">
            <w:pPr>
              <w:spacing w:before="0" w:after="0" w:line="240" w:lineRule="auto"/>
              <w:ind w:firstLine="0"/>
            </w:pPr>
            <w:r>
              <w:rPr>
                <w:rFonts w:ascii="Times New Roman" w:hAnsi="Times New Roman" w:eastAsia="Times New Roman"/>
                <w:sz w:val="20"/>
              </w:rPr>
              <w:t>—</w:t>
            </w:r>
          </w:p>
        </w:tc>
        <w:tc>
          <w:tcPr>
            <w:tcW w:w="0" w:type="auto"/>
          </w:tcPr>
          <w:p w14:paraId="314F1024" w14:textId="7FFD4C51">
            <w:pPr>
              <w:spacing w:before="0" w:after="0" w:line="240" w:lineRule="auto"/>
              <w:ind w:firstLine="0"/>
            </w:pPr>
            <w:r>
              <w:rPr>
                <w:rFonts w:ascii="Times New Roman" w:hAnsi="Times New Roman" w:eastAsia="Times New Roman"/>
                <w:sz w:val="20"/>
              </w:rPr>
              <w:t>107/24</w:t>
            </w:r>
          </w:p>
        </w:tc>
      </w:tr>
      <w:tr w14:paraId="16FB427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2B1088BE" w14:textId="7FFD4F0F">
            <w:pPr>
              <w:spacing w:before="0" w:after="0" w:line="240" w:lineRule="auto"/>
              <w:ind w:firstLine="0"/>
            </w:pPr>
            <w:r>
              <w:rPr>
                <w:rFonts w:ascii="Times New Roman" w:hAnsi="Times New Roman" w:eastAsia="Times New Roman"/>
                <w:sz w:val="20"/>
              </w:rPr>
              <w:t xml:space="preserve">CKM stage 4, low tertile</w:t>
            </w:r>
          </w:p>
        </w:tc>
        <w:tc>
          <w:tcPr>
            <w:tcW w:w="0" w:type="auto"/>
          </w:tcPr>
          <w:p w14:paraId="345ABC96" w14:textId="7FFD4F06">
            <w:pPr>
              <w:spacing w:before="0" w:after="0" w:line="240" w:lineRule="auto"/>
              <w:ind w:firstLine="0"/>
            </w:pPr>
            <w:r>
              <w:rPr>
                <w:rFonts w:ascii="Times New Roman" w:hAnsi="Times New Roman" w:eastAsia="Times New Roman"/>
                <w:sz w:val="20"/>
              </w:rPr>
              <w:t xml:space="preserve">5-year mortality risk (%)</w:t>
            </w:r>
          </w:p>
        </w:tc>
        <w:tc>
          <w:tcPr>
            <w:tcW w:w="0" w:type="auto"/>
          </w:tcPr>
          <w:p w14:paraId="18019EFC" w14:textId="7FFD4C54">
            <w:pPr>
              <w:spacing w:before="0" w:after="0" w:line="240" w:lineRule="auto"/>
              <w:ind w:firstLine="0"/>
            </w:pPr>
            <w:r>
              <w:rPr>
                <w:rFonts w:ascii="Times New Roman" w:hAnsi="Times New Roman" w:eastAsia="Times New Roman"/>
                <w:sz w:val="20"/>
              </w:rPr>
              <w:t>14.64</w:t>
            </w:r>
          </w:p>
        </w:tc>
        <w:tc>
          <w:tcPr>
            <w:tcW w:w="0" w:type="auto"/>
          </w:tcPr>
          <w:p w14:paraId="113CF0E2" w14:textId="7FFD5065">
            <w:pPr>
              <w:spacing w:before="0" w:after="0" w:line="240" w:lineRule="auto"/>
              <w:ind w:firstLine="0"/>
            </w:pPr>
            <w:r>
              <w:rPr>
                <w:rFonts w:ascii="Times New Roman" w:hAnsi="Times New Roman" w:eastAsia="Times New Roman"/>
                <w:sz w:val="20"/>
              </w:rPr>
              <w:t xml:space="preserve">11.85–17.34</w:t>
            </w:r>
          </w:p>
        </w:tc>
        <w:tc>
          <w:tcPr>
            <w:tcW w:w="0" w:type="auto"/>
          </w:tcPr>
          <w:p w14:paraId="69F1BE94" w14:textId="7FFD4C56">
            <w:pPr>
              <w:spacing w:before="0" w:after="0" w:line="240" w:lineRule="auto"/>
              <w:ind w:firstLine="0"/>
            </w:pPr>
            <w:r>
              <w:rPr>
                <w:rFonts w:ascii="Times New Roman" w:hAnsi="Times New Roman" w:eastAsia="Times New Roman"/>
                <w:sz w:val="20"/>
              </w:rPr>
              <w:t>—</w:t>
            </w:r>
          </w:p>
        </w:tc>
        <w:tc>
          <w:tcPr>
            <w:tcW w:w="0" w:type="auto"/>
          </w:tcPr>
          <w:p w14:paraId="7A29219B" w14:textId="7FFD4C57">
            <w:pPr>
              <w:spacing w:before="0" w:after="0" w:line="240" w:lineRule="auto"/>
              <w:ind w:firstLine="0"/>
            </w:pPr>
            <w:r>
              <w:rPr>
                <w:rFonts w:ascii="Times New Roman" w:hAnsi="Times New Roman" w:eastAsia="Times New Roman"/>
                <w:sz w:val="20"/>
              </w:rPr>
              <w:t>853/316</w:t>
            </w:r>
          </w:p>
        </w:tc>
      </w:tr>
      <w:tr w14:paraId="4932871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40311B75" w14:textId="7FFD4F10">
            <w:pPr>
              <w:spacing w:before="0" w:after="0" w:line="240" w:lineRule="auto"/>
              <w:ind w:firstLine="0"/>
            </w:pPr>
            <w:r>
              <w:rPr>
                <w:rFonts w:ascii="Times New Roman" w:hAnsi="Times New Roman" w:eastAsia="Times New Roman"/>
                <w:sz w:val="20"/>
              </w:rPr>
              <w:t xml:space="preserve">CKM stage 4, middle tertile</w:t>
            </w:r>
          </w:p>
        </w:tc>
        <w:tc>
          <w:tcPr>
            <w:tcW w:w="0" w:type="auto"/>
          </w:tcPr>
          <w:p w14:paraId="36F71DA3" w14:textId="7FFD4F07">
            <w:pPr>
              <w:spacing w:before="0" w:after="0" w:line="240" w:lineRule="auto"/>
              <w:ind w:firstLine="0"/>
            </w:pPr>
            <w:r>
              <w:rPr>
                <w:rFonts w:ascii="Times New Roman" w:hAnsi="Times New Roman" w:eastAsia="Times New Roman"/>
                <w:sz w:val="20"/>
              </w:rPr>
              <w:t xml:space="preserve">5-year mortality risk (%)</w:t>
            </w:r>
          </w:p>
        </w:tc>
        <w:tc>
          <w:tcPr>
            <w:tcW w:w="0" w:type="auto"/>
          </w:tcPr>
          <w:p w14:paraId="4138D0A7" w14:textId="7FFD4C5A">
            <w:pPr>
              <w:spacing w:before="0" w:after="0" w:line="240" w:lineRule="auto"/>
              <w:ind w:firstLine="0"/>
            </w:pPr>
            <w:r>
              <w:rPr>
                <w:rFonts w:ascii="Times New Roman" w:hAnsi="Times New Roman" w:eastAsia="Times New Roman"/>
                <w:sz w:val="20"/>
              </w:rPr>
              <w:t>9.77</w:t>
            </w:r>
          </w:p>
        </w:tc>
        <w:tc>
          <w:tcPr>
            <w:tcW w:w="0" w:type="auto"/>
          </w:tcPr>
          <w:p w14:paraId="3BA979B9" w14:textId="7FFD5066">
            <w:pPr>
              <w:spacing w:before="0" w:after="0" w:line="240" w:lineRule="auto"/>
              <w:ind w:firstLine="0"/>
            </w:pPr>
            <w:r>
              <w:rPr>
                <w:rFonts w:ascii="Times New Roman" w:hAnsi="Times New Roman" w:eastAsia="Times New Roman"/>
                <w:sz w:val="20"/>
              </w:rPr>
              <w:t xml:space="preserve">6.13–13.26</w:t>
            </w:r>
          </w:p>
        </w:tc>
        <w:tc>
          <w:tcPr>
            <w:tcW w:w="0" w:type="auto"/>
          </w:tcPr>
          <w:p w14:paraId="6FAF8CFD" w14:textId="7FFD4C5C">
            <w:pPr>
              <w:spacing w:before="0" w:after="0" w:line="240" w:lineRule="auto"/>
              <w:ind w:firstLine="0"/>
            </w:pPr>
            <w:r>
              <w:rPr>
                <w:rFonts w:ascii="Times New Roman" w:hAnsi="Times New Roman" w:eastAsia="Times New Roman"/>
                <w:sz w:val="20"/>
              </w:rPr>
              <w:t>—</w:t>
            </w:r>
          </w:p>
        </w:tc>
        <w:tc>
          <w:tcPr>
            <w:tcW w:w="0" w:type="auto"/>
          </w:tcPr>
          <w:p w14:paraId="3CC0BD7F" w14:textId="7FFD4C5D">
            <w:pPr>
              <w:spacing w:before="0" w:after="0" w:line="240" w:lineRule="auto"/>
              <w:ind w:firstLine="0"/>
            </w:pPr>
            <w:r>
              <w:rPr>
                <w:rFonts w:ascii="Times New Roman" w:hAnsi="Times New Roman" w:eastAsia="Times New Roman"/>
                <w:sz w:val="20"/>
              </w:rPr>
              <w:t>455/134</w:t>
            </w:r>
          </w:p>
        </w:tc>
      </w:tr>
      <w:tr w14:paraId="3BC999F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0" w:type="auto"/>
          </w:tcPr>
          <w:p w14:paraId="3274F138" w14:textId="7FFD4F11">
            <w:pPr>
              <w:spacing w:before="0" w:after="0" w:line="240" w:lineRule="auto"/>
              <w:ind w:firstLine="0"/>
            </w:pPr>
            <w:r>
              <w:rPr>
                <w:rFonts w:ascii="Times New Roman" w:hAnsi="Times New Roman" w:eastAsia="Times New Roman"/>
                <w:sz w:val="20"/>
              </w:rPr>
              <w:t xml:space="preserve">CKM stage 4, high tertile</w:t>
            </w:r>
          </w:p>
        </w:tc>
        <w:tc>
          <w:tcPr>
            <w:tcW w:w="0" w:type="auto"/>
          </w:tcPr>
          <w:p w14:paraId="4B56BAD9" w14:textId="7FFD4F08">
            <w:pPr>
              <w:spacing w:before="0" w:after="0" w:line="240" w:lineRule="auto"/>
              <w:ind w:firstLine="0"/>
            </w:pPr>
            <w:r>
              <w:rPr>
                <w:rFonts w:ascii="Times New Roman" w:hAnsi="Times New Roman" w:eastAsia="Times New Roman"/>
                <w:sz w:val="20"/>
              </w:rPr>
              <w:t xml:space="preserve">5-year mortality risk (%)</w:t>
            </w:r>
          </w:p>
        </w:tc>
        <w:tc>
          <w:tcPr>
            <w:tcW w:w="0" w:type="auto"/>
          </w:tcPr>
          <w:p w14:paraId="594AF7F0" w14:textId="7FFD4C60">
            <w:pPr>
              <w:spacing w:before="0" w:after="0" w:line="240" w:lineRule="auto"/>
              <w:ind w:firstLine="0"/>
            </w:pPr>
            <w:r>
              <w:rPr>
                <w:rFonts w:ascii="Times New Roman" w:hAnsi="Times New Roman" w:eastAsia="Times New Roman"/>
                <w:sz w:val="20"/>
              </w:rPr>
              <w:t>7.71</w:t>
            </w:r>
          </w:p>
        </w:tc>
        <w:tc>
          <w:tcPr>
            <w:tcW w:w="0" w:type="auto"/>
          </w:tcPr>
          <w:p w14:paraId="2C169B9D" w14:textId="7FFD5067">
            <w:pPr>
              <w:spacing w:before="0" w:after="0" w:line="240" w:lineRule="auto"/>
              <w:ind w:firstLine="0"/>
            </w:pPr>
            <w:r>
              <w:rPr>
                <w:rFonts w:ascii="Times New Roman" w:hAnsi="Times New Roman" w:eastAsia="Times New Roman"/>
                <w:sz w:val="20"/>
              </w:rPr>
              <w:t xml:space="preserve">3.26–11.95</w:t>
            </w:r>
          </w:p>
        </w:tc>
        <w:tc>
          <w:tcPr>
            <w:tcW w:w="0" w:type="auto"/>
          </w:tcPr>
          <w:p w14:paraId="7A5C9F50" w14:textId="7FFD4C62">
            <w:pPr>
              <w:spacing w:before="0" w:after="0" w:line="240" w:lineRule="auto"/>
              <w:ind w:firstLine="0"/>
            </w:pPr>
            <w:r>
              <w:rPr>
                <w:rFonts w:ascii="Times New Roman" w:hAnsi="Times New Roman" w:eastAsia="Times New Roman"/>
                <w:sz w:val="20"/>
              </w:rPr>
              <w:t>—</w:t>
            </w:r>
          </w:p>
        </w:tc>
        <w:tc>
          <w:tcPr>
            <w:tcW w:w="0" w:type="auto"/>
          </w:tcPr>
          <w:p w14:paraId="4E58B2A1" w14:textId="7FFD4C63">
            <w:pPr>
              <w:spacing w:before="0" w:after="0" w:line="240" w:lineRule="auto"/>
              <w:ind w:firstLine="0"/>
            </w:pPr>
            <w:r>
              <w:rPr>
                <w:rFonts w:ascii="Times New Roman" w:hAnsi="Times New Roman" w:eastAsia="Times New Roman"/>
                <w:sz w:val="20"/>
              </w:rPr>
              <w:t>258/75</w:t>
            </w:r>
          </w:p>
        </w:tc>
      </w:tr>
    </w:tbl>
    <w:p w14:paraId="40254E09" w14:textId="7FFD4ED7">
      <w:pPr>
        <w:pStyle w:val="15"/>
        <w:widowControl/>
        <w:spacing w:before="60" w:after="120" w:line="240" w:lineRule="auto"/>
        <w:ind w:firstLine="0"/>
        <w:jc w:val="left"/>
        <w:rPr>
          <w:rFonts w:ascii="Times New Roman" w:hAnsi="Times New Roman" w:eastAsia="Times New Roman"/>
          <w:sz w:val="20"/>
        </w:rPr>
      </w:pPr>
      <w:r>
        <w:rPr>
          <w:rFonts w:ascii="Times New Roman" w:hAnsi="Times New Roman" w:eastAsia="Times New Roman"/>
          <w:b/>
          <w:sz w:val="20"/>
        </w:rPr>
        <w:t xml:space="preserve">Note: The risk difference is the absolute change associated with increasing the behavior score by 10 points within the same CKM stage group relative to the observed-score scenario. Risks in the nine-cell analysis are descriptive only.</w:t>
      </w:r>
    </w:p>
    <w:p w14:paraId="2FA36687" w14:textId="7FFD50AE">
      <w:pPr>
        <w:pStyle w:val="15"/>
        <w:keepNext/>
        <w:spacing w:before="160" w:after="80" w:line="240" w:lineRule="auto"/>
        <w:ind w:firstLine="0"/>
        <w:jc w:val="left"/>
      </w:pPr>
      <w:r>
        <w:rPr>
          <w:rFonts w:ascii="Times New Roman" w:hAnsi="Times New Roman" w:eastAsia="Times New Roman"/>
          <w:b/>
          <w:sz w:val="20"/>
        </w:rPr>
        <w:t xml:space="preserve">Supplementary Table S3. Key sensitivity analysis results</w:t>
      </w:r>
    </w:p>
    <w:tbl>
      <w:tblPr>
        <w:tblStyle w:val="5"/>
        <w:tblW w:w="5000" w:type="pct"/>
        <w:tblInd w:w="0"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0" w:type="dxa"/>
          <w:left w:w="55" w:type="dxa"/>
          <w:bottom w:w="0" w:type="dxa"/>
          <w:right w:w="55" w:type="dxa"/>
        </w:tblCellMar>
        <w:tblCaption w:val="Supplementary Table S3. Key sensitivity analysis results"/>
      </w:tblPr>
      <w:tblGrid>
        <w:gridCol w:w="2945"/>
        <w:gridCol w:w="2337"/>
        <w:gridCol w:w="1723"/>
        <w:gridCol w:w="1684"/>
        <w:gridCol w:w="862"/>
        <w:gridCol w:w="1486"/>
        <w:gridCol w:w="1958"/>
        <w:gridCol w:w="1685"/>
      </w:tblGrid>
      <w:tr w14:paraId="2B7840A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rPr>
          <w:cantSplit/>
          <w:tblHeader/>
        </w:trPr>
        <w:tc>
          <w:tcPr>
            <w:tcW w:w="1003" w:type="pct"/>
            <w:tcBorders>
              <w:bottom w:val="single" w:color="000000" w:sz="6" w:space="0"/>
            </w:tcBorders>
            <w:vAlign w:val="center"/>
          </w:tcPr>
          <w:p w14:paraId="2AA11A6B" w14:textId="7FFD4F14">
            <w:pPr>
              <w:spacing w:before="0" w:after="0" w:line="240" w:lineRule="auto"/>
              <w:ind w:firstLine="0"/>
              <w:jc w:val="center"/>
            </w:pPr>
            <w:r>
              <w:rPr>
                <w:rFonts w:ascii="Times New Roman" w:hAnsi="Times New Roman" w:eastAsia="Times New Roman"/>
                <w:b/>
                <w:sz w:val="20"/>
              </w:rPr>
              <w:t xml:space="preserve">Sensitivity analysis</w:t>
            </w:r>
          </w:p>
        </w:tc>
        <w:tc>
          <w:tcPr>
            <w:tcW w:w="796" w:type="pct"/>
            <w:tcBorders>
              <w:bottom w:val="single" w:color="000000" w:sz="6" w:space="0"/>
            </w:tcBorders>
            <w:vAlign w:val="center"/>
          </w:tcPr>
          <w:p w14:paraId="017F3864" w14:textId="7FFD4F1A">
            <w:pPr>
              <w:spacing w:before="0" w:after="0" w:line="240" w:lineRule="auto"/>
              <w:ind w:firstLine="0"/>
              <w:jc w:val="center"/>
            </w:pPr>
            <w:r>
              <w:rPr>
                <w:rFonts w:ascii="Times New Roman" w:hAnsi="Times New Roman" w:eastAsia="Times New Roman"/>
                <w:b/>
                <w:sz w:val="20"/>
              </w:rPr>
              <w:t xml:space="preserve">CKM stage group</w:t>
            </w:r>
          </w:p>
        </w:tc>
        <w:tc>
          <w:tcPr>
            <w:tcW w:w="587" w:type="pct"/>
            <w:tcBorders>
              <w:bottom w:val="single" w:color="000000" w:sz="6" w:space="0"/>
            </w:tcBorders>
            <w:vAlign w:val="center"/>
          </w:tcPr>
          <w:p w14:paraId="08A30CAE" w14:textId="7FFD4F1F">
            <w:pPr>
              <w:spacing w:before="0" w:after="0" w:line="240" w:lineRule="auto"/>
              <w:ind w:firstLine="0"/>
              <w:jc w:val="center"/>
            </w:pPr>
            <w:r>
              <w:rPr>
                <w:rFonts w:ascii="Times New Roman" w:hAnsi="Times New Roman" w:eastAsia="Times New Roman"/>
                <w:b/>
                <w:sz w:val="20"/>
              </w:rPr>
              <w:t xml:space="preserve">Effect estimate/statistic</w:t>
            </w:r>
          </w:p>
        </w:tc>
        <w:tc>
          <w:tcPr>
            <w:tcW w:w="0" w:type="auto"/>
            <w:tcBorders>
              <w:bottom w:val="single" w:color="000000" w:sz="6" w:space="0"/>
            </w:tcBorders>
            <w:vAlign w:val="center"/>
          </w:tcPr>
          <w:p w14:paraId="722A131A" w14:textId="7FFD4EF3">
            <w:pPr>
              <w:spacing w:before="0" w:after="0" w:line="240" w:lineRule="auto"/>
              <w:ind w:firstLine="0"/>
              <w:jc w:val="center"/>
            </w:pPr>
            <w:r>
              <w:rPr>
                <w:rFonts w:ascii="Times New Roman" w:hAnsi="Times New Roman" w:eastAsia="Times New Roman"/>
                <w:b/>
                <w:sz w:val="20"/>
              </w:rPr>
              <w:t xml:space="preserve">95% CI</w:t>
            </w:r>
          </w:p>
        </w:tc>
        <w:tc>
          <w:tcPr>
            <w:tcW w:w="0" w:type="auto"/>
            <w:tcBorders>
              <w:bottom w:val="single" w:color="000000" w:sz="6" w:space="0"/>
            </w:tcBorders>
            <w:vAlign w:val="center"/>
          </w:tcPr>
          <w:p w14:paraId="532BB203" w14:textId="7FFD4EF6">
            <w:pPr>
              <w:spacing w:before="0" w:after="0" w:line="240" w:lineRule="auto"/>
              <w:ind w:firstLine="0"/>
              <w:jc w:val="center"/>
            </w:pPr>
            <w:r>
              <w:rPr>
                <w:rFonts w:ascii="Times New Roman" w:hAnsi="Times New Roman" w:eastAsia="Times New Roman"/>
                <w:b/>
                <w:sz w:val="20"/>
              </w:rPr>
              <w:t xml:space="preserve">P value</w:t>
            </w:r>
          </w:p>
        </w:tc>
        <w:tc>
          <w:tcPr>
            <w:tcW w:w="506" w:type="pct"/>
            <w:tcBorders>
              <w:bottom w:val="single" w:color="000000" w:sz="6" w:space="0"/>
            </w:tcBorders>
            <w:vAlign w:val="center"/>
          </w:tcPr>
          <w:p w14:paraId="4E58EBFD" w14:textId="7FFD50B6">
            <w:pPr>
              <w:spacing w:before="0" w:after="0" w:line="240" w:lineRule="auto"/>
              <w:ind w:firstLine="0"/>
              <w:jc w:val="center"/>
            </w:pPr>
            <w:r>
              <w:rPr>
                <w:rFonts w:ascii="Times New Roman" w:hAnsi="Times New Roman" w:eastAsia="Times New Roman"/>
                <w:b/>
                <w:sz w:val="20"/>
              </w:rPr>
              <w:t xml:space="preserve">Holm-adjusted P value</w:t>
            </w:r>
          </w:p>
        </w:tc>
        <w:tc>
          <w:tcPr>
            <w:tcW w:w="667" w:type="pct"/>
            <w:tcBorders>
              <w:bottom w:val="single" w:color="000000" w:sz="6" w:space="0"/>
            </w:tcBorders>
            <w:vAlign w:val="center"/>
          </w:tcPr>
          <w:p w14:paraId="44622D04" w14:textId="7FFD4F21">
            <w:pPr>
              <w:spacing w:before="0" w:after="0" w:line="240" w:lineRule="auto"/>
              <w:ind w:firstLine="0"/>
              <w:jc w:val="center"/>
            </w:pPr>
            <w:r>
              <w:rPr>
                <w:rFonts w:ascii="Times New Roman" w:hAnsi="Times New Roman" w:eastAsia="Times New Roman"/>
                <w:b/>
                <w:sz w:val="20"/>
              </w:rPr>
              <w:t xml:space="preserve">Relative change in log HR</w:t>
            </w:r>
          </w:p>
        </w:tc>
        <w:tc>
          <w:tcPr>
            <w:tcW w:w="0" w:type="auto"/>
            <w:tcBorders>
              <w:bottom w:val="single" w:color="000000" w:sz="6" w:space="0"/>
            </w:tcBorders>
            <w:vAlign w:val="center"/>
          </w:tcPr>
          <w:p w14:paraId="0565BFB5" w14:textId="7FFD4F22">
            <w:pPr>
              <w:spacing w:before="0" w:after="0" w:line="240" w:lineRule="auto"/>
              <w:ind w:firstLine="0"/>
              <w:jc w:val="center"/>
            </w:pPr>
            <w:r>
              <w:rPr>
                <w:rFonts w:ascii="Times New Roman" w:hAnsi="Times New Roman" w:eastAsia="Times New Roman"/>
                <w:b/>
                <w:sz w:val="20"/>
              </w:rPr>
              <w:t xml:space="preserve">Sensitive to construct overlap</w:t>
            </w:r>
          </w:p>
        </w:tc>
      </w:tr>
      <w:tr w14:paraId="035D5BD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3F54D521" w14:textId="7FFD4F23">
            <w:pPr>
              <w:spacing w:before="0" w:after="0" w:line="240" w:lineRule="auto"/>
              <w:ind w:firstLine="0"/>
            </w:pPr>
            <w:r>
              <w:rPr>
                <w:rFonts w:ascii="Times New Roman" w:hAnsi="Times New Roman" w:eastAsia="Times New Roman"/>
                <w:sz w:val="20"/>
              </w:rPr>
              <w:t xml:space="preserve">Restricted cubic spline nonlinearity test</w:t>
            </w:r>
          </w:p>
        </w:tc>
        <w:tc>
          <w:tcPr>
            <w:tcW w:w="796" w:type="pct"/>
          </w:tcPr>
          <w:p w14:paraId="34812F00" w14:textId="7FFD4F25">
            <w:pPr>
              <w:spacing w:before="0" w:after="0" w:line="240" w:lineRule="auto"/>
              <w:ind w:firstLine="0"/>
              <w:jc w:val="center"/>
            </w:pPr>
            <w:r>
              <w:rPr>
                <w:rFonts w:ascii="Times New Roman" w:hAnsi="Times New Roman" w:eastAsia="Times New Roman"/>
                <w:sz w:val="20"/>
              </w:rPr>
              <w:t xml:space="preserve">Overall</w:t>
            </w:r>
          </w:p>
        </w:tc>
        <w:tc>
          <w:tcPr>
            <w:tcW w:w="587" w:type="pct"/>
          </w:tcPr>
          <w:p w14:paraId="5AF4EEF0" w14:textId="7FFD4C70">
            <w:pPr>
              <w:spacing w:before="0" w:after="0" w:line="240" w:lineRule="auto"/>
              <w:ind w:firstLine="0"/>
              <w:jc w:val="center"/>
            </w:pPr>
            <w:r>
              <w:rPr>
                <w:rFonts w:ascii="Times New Roman" w:hAnsi="Times New Roman" w:eastAsia="Times New Roman"/>
                <w:sz w:val="20"/>
              </w:rPr>
              <w:t>F=9.23</w:t>
            </w:r>
          </w:p>
        </w:tc>
        <w:tc>
          <w:tcPr>
            <w:tcW w:w="0" w:type="auto"/>
          </w:tcPr>
          <w:p w14:paraId="017F4229" w14:textId="7FFD4C71">
            <w:pPr>
              <w:spacing w:before="0" w:after="0" w:line="240" w:lineRule="auto"/>
              <w:ind w:firstLine="0"/>
              <w:jc w:val="center"/>
            </w:pPr>
            <w:r>
              <w:rPr>
                <w:rFonts w:ascii="Times New Roman" w:hAnsi="Times New Roman" w:eastAsia="Times New Roman"/>
                <w:sz w:val="20"/>
              </w:rPr>
              <w:t>—</w:t>
            </w:r>
          </w:p>
        </w:tc>
        <w:tc>
          <w:tcPr>
            <w:tcW w:w="0" w:type="auto"/>
          </w:tcPr>
          <w:p w14:paraId="0A19D1A0" w14:textId="7FFD4C72">
            <w:pPr>
              <w:spacing w:before="0" w:after="0" w:line="240" w:lineRule="auto"/>
              <w:ind w:firstLine="0"/>
              <w:jc w:val="center"/>
            </w:pPr>
            <w:r>
              <w:rPr>
                <w:rFonts w:ascii="Times New Roman" w:hAnsi="Times New Roman" w:eastAsia="Times New Roman"/>
                <w:sz w:val="20"/>
              </w:rPr>
              <w:t>&lt;0.001</w:t>
            </w:r>
          </w:p>
        </w:tc>
        <w:tc>
          <w:tcPr>
            <w:tcW w:w="506" w:type="pct"/>
          </w:tcPr>
          <w:p w14:paraId="1B8B997B" w14:textId="7FFD4C73">
            <w:pPr>
              <w:spacing w:before="0" w:after="0" w:line="240" w:lineRule="auto"/>
              <w:ind w:firstLine="0"/>
              <w:jc w:val="center"/>
            </w:pPr>
            <w:r>
              <w:rPr>
                <w:rFonts w:ascii="Times New Roman" w:hAnsi="Times New Roman" w:eastAsia="Times New Roman"/>
                <w:sz w:val="20"/>
              </w:rPr>
              <w:t>—</w:t>
            </w:r>
          </w:p>
        </w:tc>
        <w:tc>
          <w:tcPr>
            <w:tcW w:w="667" w:type="pct"/>
          </w:tcPr>
          <w:p w14:paraId="558BC50F" w14:textId="7FFD4C74">
            <w:pPr>
              <w:spacing w:before="0" w:after="0" w:line="240" w:lineRule="auto"/>
              <w:ind w:firstLine="0"/>
              <w:jc w:val="center"/>
            </w:pPr>
            <w:r>
              <w:rPr>
                <w:rFonts w:ascii="Times New Roman" w:hAnsi="Times New Roman" w:eastAsia="Times New Roman"/>
                <w:sz w:val="20"/>
              </w:rPr>
              <w:t>—</w:t>
            </w:r>
          </w:p>
        </w:tc>
        <w:tc>
          <w:tcPr>
            <w:tcW w:w="0" w:type="auto"/>
          </w:tcPr>
          <w:p w14:paraId="6E13A993" w14:textId="7FFD4C75">
            <w:pPr>
              <w:spacing w:before="0" w:after="0" w:line="240" w:lineRule="auto"/>
              <w:ind w:firstLine="0"/>
              <w:jc w:val="center"/>
            </w:pPr>
            <w:r>
              <w:rPr>
                <w:rFonts w:ascii="Times New Roman" w:hAnsi="Times New Roman" w:eastAsia="Times New Roman"/>
                <w:sz w:val="20"/>
              </w:rPr>
              <w:t>—</w:t>
            </w:r>
          </w:p>
        </w:tc>
      </w:tr>
      <w:tr w14:paraId="252E3F8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2F986507" w14:textId="7FFD4F33">
            <w:pPr>
              <w:spacing w:before="0" w:after="0" w:line="240" w:lineRule="auto"/>
              <w:ind w:firstLine="0"/>
            </w:pPr>
            <w:r>
              <w:rPr>
                <w:rFonts w:ascii="Times New Roman" w:hAnsi="Times New Roman" w:eastAsia="Times New Roman"/>
                <w:sz w:val="20"/>
              </w:rPr>
              <w:t xml:space="preserve">Excluding nicotine</w:t>
            </w:r>
          </w:p>
        </w:tc>
        <w:tc>
          <w:tcPr>
            <w:tcW w:w="796" w:type="pct"/>
          </w:tcPr>
          <w:p w14:paraId="046879F0" w14:textId="7FFD5032">
            <w:pPr>
              <w:spacing w:before="0" w:after="0" w:line="240" w:lineRule="auto"/>
              <w:ind w:firstLine="0"/>
              <w:jc w:val="center"/>
            </w:pPr>
            <w:r>
              <w:rPr>
                <w:rFonts w:ascii="Times New Roman" w:hAnsi="Times New Roman" w:eastAsia="Times New Roman"/>
                <w:sz w:val="20"/>
              </w:rPr>
              <w:t xml:space="preserve">CKM stages 0–2</w:t>
            </w:r>
          </w:p>
        </w:tc>
        <w:tc>
          <w:tcPr>
            <w:tcW w:w="587" w:type="pct"/>
          </w:tcPr>
          <w:p w14:paraId="371AAF19" w14:textId="7FFD4C78">
            <w:pPr>
              <w:spacing w:before="0" w:after="0" w:line="240" w:lineRule="auto"/>
              <w:ind w:firstLine="0"/>
              <w:jc w:val="center"/>
            </w:pPr>
            <w:r>
              <w:rPr>
                <w:rFonts w:ascii="Times New Roman" w:hAnsi="Times New Roman" w:eastAsia="Times New Roman"/>
                <w:sz w:val="20"/>
              </w:rPr>
              <w:t>HR 0.880</w:t>
            </w:r>
          </w:p>
        </w:tc>
        <w:tc>
          <w:tcPr>
            <w:tcW w:w="0" w:type="auto"/>
          </w:tcPr>
          <w:p w14:paraId="15BC33CB" w14:textId="7FFD5068">
            <w:pPr>
              <w:spacing w:before="0" w:after="0" w:line="240" w:lineRule="auto"/>
              <w:ind w:firstLine="0"/>
              <w:jc w:val="center"/>
            </w:pPr>
            <w:r>
              <w:rPr>
                <w:rFonts w:ascii="Times New Roman" w:hAnsi="Times New Roman" w:eastAsia="Times New Roman"/>
                <w:sz w:val="20"/>
              </w:rPr>
              <w:t xml:space="preserve">0.790–0.980</w:t>
            </w:r>
          </w:p>
        </w:tc>
        <w:tc>
          <w:tcPr>
            <w:tcW w:w="0" w:type="auto"/>
          </w:tcPr>
          <w:p w14:paraId="701BA0D3" w14:textId="7FFD4C7A">
            <w:pPr>
              <w:spacing w:before="0" w:after="0" w:line="240" w:lineRule="auto"/>
              <w:ind w:firstLine="0"/>
              <w:jc w:val="center"/>
            </w:pPr>
            <w:r>
              <w:rPr>
                <w:rFonts w:ascii="Times New Roman" w:hAnsi="Times New Roman" w:eastAsia="Times New Roman"/>
                <w:sz w:val="20"/>
              </w:rPr>
              <w:t>0.020</w:t>
            </w:r>
          </w:p>
        </w:tc>
        <w:tc>
          <w:tcPr>
            <w:tcW w:w="506" w:type="pct"/>
          </w:tcPr>
          <w:p w14:paraId="6EF5B3B0" w14:textId="7FFD4C7B">
            <w:pPr>
              <w:spacing w:before="0" w:after="0" w:line="240" w:lineRule="auto"/>
              <w:ind w:firstLine="0"/>
              <w:jc w:val="center"/>
            </w:pPr>
            <w:r>
              <w:rPr>
                <w:rFonts w:ascii="Times New Roman" w:hAnsi="Times New Roman" w:eastAsia="Times New Roman"/>
                <w:sz w:val="20"/>
              </w:rPr>
              <w:t>0.040</w:t>
            </w:r>
          </w:p>
        </w:tc>
        <w:tc>
          <w:tcPr>
            <w:tcW w:w="667" w:type="pct"/>
          </w:tcPr>
          <w:p w14:paraId="62FB5C80" w14:textId="7FFD4C7C">
            <w:pPr>
              <w:spacing w:before="0" w:after="0" w:line="240" w:lineRule="auto"/>
              <w:ind w:firstLine="0"/>
              <w:jc w:val="center"/>
            </w:pPr>
            <w:r>
              <w:rPr>
                <w:rFonts w:ascii="Times New Roman" w:hAnsi="Times New Roman" w:eastAsia="Times New Roman"/>
                <w:sz w:val="20"/>
              </w:rPr>
              <w:t>40.1%</w:t>
            </w:r>
          </w:p>
        </w:tc>
        <w:tc>
          <w:tcPr>
            <w:tcW w:w="0" w:type="auto"/>
          </w:tcPr>
          <w:p w14:paraId="60187430" w14:textId="7FFD4F4F">
            <w:pPr>
              <w:spacing w:before="0" w:after="0" w:line="240" w:lineRule="auto"/>
              <w:ind w:firstLine="0"/>
              <w:jc w:val="center"/>
            </w:pPr>
            <w:r>
              <w:rPr>
                <w:rFonts w:ascii="Times New Roman" w:hAnsi="Times New Roman" w:eastAsia="Times New Roman"/>
                <w:sz w:val="20"/>
              </w:rPr>
              <w:t xml:space="preserve">No</w:t>
            </w:r>
          </w:p>
        </w:tc>
      </w:tr>
      <w:tr w14:paraId="735AE58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7A484C66" w14:textId="7FFD4F34">
            <w:pPr>
              <w:spacing w:before="0" w:after="0" w:line="240" w:lineRule="auto"/>
              <w:ind w:firstLine="0"/>
            </w:pPr>
            <w:r>
              <w:rPr>
                <w:rFonts w:ascii="Times New Roman" w:hAnsi="Times New Roman" w:eastAsia="Times New Roman"/>
                <w:sz w:val="20"/>
              </w:rPr>
              <w:t xml:space="preserve">Excluding nicotine</w:t>
            </w:r>
          </w:p>
        </w:tc>
        <w:tc>
          <w:tcPr>
            <w:tcW w:w="796" w:type="pct"/>
          </w:tcPr>
          <w:p w14:paraId="42A7D8E5" w14:textId="7FFD5040">
            <w:pPr>
              <w:spacing w:before="0" w:after="0" w:line="240" w:lineRule="auto"/>
              <w:ind w:firstLine="0"/>
              <w:jc w:val="center"/>
            </w:pPr>
            <w:r>
              <w:rPr>
                <w:rFonts w:ascii="Times New Roman" w:hAnsi="Times New Roman" w:eastAsia="Times New Roman"/>
                <w:sz w:val="20"/>
              </w:rPr>
              <w:t xml:space="preserve">CKM stage 3</w:t>
            </w:r>
          </w:p>
        </w:tc>
        <w:tc>
          <w:tcPr>
            <w:tcW w:w="587" w:type="pct"/>
          </w:tcPr>
          <w:p w14:paraId="3C389BFD" w14:textId="7FFD4C80">
            <w:pPr>
              <w:spacing w:before="0" w:after="0" w:line="240" w:lineRule="auto"/>
              <w:ind w:firstLine="0"/>
              <w:jc w:val="center"/>
            </w:pPr>
            <w:r>
              <w:rPr>
                <w:rFonts w:ascii="Times New Roman" w:hAnsi="Times New Roman" w:eastAsia="Times New Roman"/>
                <w:sz w:val="20"/>
              </w:rPr>
              <w:t>HR 0.972</w:t>
            </w:r>
          </w:p>
        </w:tc>
        <w:tc>
          <w:tcPr>
            <w:tcW w:w="0" w:type="auto"/>
          </w:tcPr>
          <w:p w14:paraId="62C507BC" w14:textId="7FFD5069">
            <w:pPr>
              <w:spacing w:before="0" w:after="0" w:line="240" w:lineRule="auto"/>
              <w:ind w:firstLine="0"/>
              <w:jc w:val="center"/>
            </w:pPr>
            <w:r>
              <w:rPr>
                <w:rFonts w:ascii="Times New Roman" w:hAnsi="Times New Roman" w:eastAsia="Times New Roman"/>
                <w:sz w:val="20"/>
              </w:rPr>
              <w:t xml:space="preserve">0.856–1.103</w:t>
            </w:r>
          </w:p>
        </w:tc>
        <w:tc>
          <w:tcPr>
            <w:tcW w:w="0" w:type="auto"/>
          </w:tcPr>
          <w:p w14:paraId="3BC6946F" w14:textId="7FFD4C82">
            <w:pPr>
              <w:spacing w:before="0" w:after="0" w:line="240" w:lineRule="auto"/>
              <w:ind w:firstLine="0"/>
              <w:jc w:val="center"/>
            </w:pPr>
            <w:r>
              <w:rPr>
                <w:rFonts w:ascii="Times New Roman" w:hAnsi="Times New Roman" w:eastAsia="Times New Roman"/>
                <w:sz w:val="20"/>
              </w:rPr>
              <w:t>0.659</w:t>
            </w:r>
          </w:p>
        </w:tc>
        <w:tc>
          <w:tcPr>
            <w:tcW w:w="506" w:type="pct"/>
          </w:tcPr>
          <w:p w14:paraId="4C3937B2" w14:textId="7FFD4C83">
            <w:pPr>
              <w:spacing w:before="0" w:after="0" w:line="240" w:lineRule="auto"/>
              <w:ind w:firstLine="0"/>
              <w:jc w:val="center"/>
            </w:pPr>
            <w:r>
              <w:rPr>
                <w:rFonts w:ascii="Times New Roman" w:hAnsi="Times New Roman" w:eastAsia="Times New Roman"/>
                <w:sz w:val="20"/>
              </w:rPr>
              <w:t>0.659</w:t>
            </w:r>
          </w:p>
        </w:tc>
        <w:tc>
          <w:tcPr>
            <w:tcW w:w="667" w:type="pct"/>
          </w:tcPr>
          <w:p w14:paraId="4A1A8B8B" w14:textId="7FFD4C84">
            <w:pPr>
              <w:spacing w:before="0" w:after="0" w:line="240" w:lineRule="auto"/>
              <w:ind w:firstLine="0"/>
              <w:jc w:val="center"/>
            </w:pPr>
            <w:r>
              <w:rPr>
                <w:rFonts w:ascii="Times New Roman" w:hAnsi="Times New Roman" w:eastAsia="Times New Roman"/>
                <w:sz w:val="20"/>
              </w:rPr>
              <w:t>42.0%</w:t>
            </w:r>
          </w:p>
        </w:tc>
        <w:tc>
          <w:tcPr>
            <w:tcW w:w="0" w:type="auto"/>
          </w:tcPr>
          <w:p w14:paraId="77683234" w14:textId="7FFD4F50">
            <w:pPr>
              <w:spacing w:before="0" w:after="0" w:line="240" w:lineRule="auto"/>
              <w:ind w:firstLine="0"/>
              <w:jc w:val="center"/>
            </w:pPr>
            <w:r>
              <w:rPr>
                <w:rFonts w:ascii="Times New Roman" w:hAnsi="Times New Roman" w:eastAsia="Times New Roman"/>
                <w:sz w:val="20"/>
              </w:rPr>
              <w:t xml:space="preserve">No</w:t>
            </w:r>
          </w:p>
        </w:tc>
      </w:tr>
      <w:tr w14:paraId="3B0AC4E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0123865F" w14:textId="7FFD4F35">
            <w:pPr>
              <w:spacing w:before="0" w:after="0" w:line="240" w:lineRule="auto"/>
              <w:ind w:firstLine="0"/>
            </w:pPr>
            <w:r>
              <w:rPr>
                <w:rFonts w:ascii="Times New Roman" w:hAnsi="Times New Roman" w:eastAsia="Times New Roman"/>
                <w:sz w:val="20"/>
              </w:rPr>
              <w:t xml:space="preserve">Excluding nicotine</w:t>
            </w:r>
          </w:p>
        </w:tc>
        <w:tc>
          <w:tcPr>
            <w:tcW w:w="796" w:type="pct"/>
          </w:tcPr>
          <w:p w14:paraId="4AE68B68" w14:textId="7FFD504F">
            <w:pPr>
              <w:spacing w:before="0" w:after="0" w:line="240" w:lineRule="auto"/>
              <w:ind w:firstLine="0"/>
              <w:jc w:val="center"/>
            </w:pPr>
            <w:r>
              <w:rPr>
                <w:rFonts w:ascii="Times New Roman" w:hAnsi="Times New Roman" w:eastAsia="Times New Roman"/>
                <w:sz w:val="20"/>
              </w:rPr>
              <w:t xml:space="preserve">CKM stage 4</w:t>
            </w:r>
          </w:p>
        </w:tc>
        <w:tc>
          <w:tcPr>
            <w:tcW w:w="587" w:type="pct"/>
          </w:tcPr>
          <w:p w14:paraId="097EE4A9" w14:textId="7FFD4C88">
            <w:pPr>
              <w:spacing w:before="0" w:after="0" w:line="240" w:lineRule="auto"/>
              <w:ind w:firstLine="0"/>
              <w:jc w:val="center"/>
            </w:pPr>
            <w:r>
              <w:rPr>
                <w:rFonts w:ascii="Times New Roman" w:hAnsi="Times New Roman" w:eastAsia="Times New Roman"/>
                <w:sz w:val="20"/>
              </w:rPr>
              <w:t>HR 0.844</w:t>
            </w:r>
          </w:p>
        </w:tc>
        <w:tc>
          <w:tcPr>
            <w:tcW w:w="0" w:type="auto"/>
          </w:tcPr>
          <w:p w14:paraId="6416D819" w14:textId="7FFD506A">
            <w:pPr>
              <w:spacing w:before="0" w:after="0" w:line="240" w:lineRule="auto"/>
              <w:ind w:firstLine="0"/>
              <w:jc w:val="center"/>
            </w:pPr>
            <w:r>
              <w:rPr>
                <w:rFonts w:ascii="Times New Roman" w:hAnsi="Times New Roman" w:eastAsia="Times New Roman"/>
                <w:sz w:val="20"/>
              </w:rPr>
              <w:t xml:space="preserve">0.806–0.884</w:t>
            </w:r>
          </w:p>
        </w:tc>
        <w:tc>
          <w:tcPr>
            <w:tcW w:w="0" w:type="auto"/>
          </w:tcPr>
          <w:p w14:paraId="5B6D1378" w14:textId="7FFD4C8A">
            <w:pPr>
              <w:spacing w:before="0" w:after="0" w:line="240" w:lineRule="auto"/>
              <w:ind w:firstLine="0"/>
              <w:jc w:val="center"/>
            </w:pPr>
            <w:r>
              <w:rPr>
                <w:rFonts w:ascii="Times New Roman" w:hAnsi="Times New Roman" w:eastAsia="Times New Roman"/>
                <w:sz w:val="20"/>
              </w:rPr>
              <w:t>&lt;0.001</w:t>
            </w:r>
          </w:p>
        </w:tc>
        <w:tc>
          <w:tcPr>
            <w:tcW w:w="506" w:type="pct"/>
          </w:tcPr>
          <w:p w14:paraId="0290BB03" w14:textId="7FFD4C8B">
            <w:pPr>
              <w:spacing w:before="0" w:after="0" w:line="240" w:lineRule="auto"/>
              <w:ind w:firstLine="0"/>
              <w:jc w:val="center"/>
            </w:pPr>
            <w:r>
              <w:rPr>
                <w:rFonts w:ascii="Times New Roman" w:hAnsi="Times New Roman" w:eastAsia="Times New Roman"/>
                <w:sz w:val="20"/>
              </w:rPr>
              <w:t>&lt;0.001</w:t>
            </w:r>
          </w:p>
        </w:tc>
        <w:tc>
          <w:tcPr>
            <w:tcW w:w="667" w:type="pct"/>
          </w:tcPr>
          <w:p w14:paraId="05632275" w14:textId="7FFD4C8C">
            <w:pPr>
              <w:spacing w:before="0" w:after="0" w:line="240" w:lineRule="auto"/>
              <w:ind w:firstLine="0"/>
              <w:jc w:val="center"/>
            </w:pPr>
            <w:r>
              <w:rPr>
                <w:rFonts w:ascii="Times New Roman" w:hAnsi="Times New Roman" w:eastAsia="Times New Roman"/>
                <w:sz w:val="20"/>
              </w:rPr>
              <w:t>8.5%</w:t>
            </w:r>
          </w:p>
        </w:tc>
        <w:tc>
          <w:tcPr>
            <w:tcW w:w="0" w:type="auto"/>
          </w:tcPr>
          <w:p w14:paraId="472D971B" w14:textId="7FFD4F51">
            <w:pPr>
              <w:spacing w:before="0" w:after="0" w:line="240" w:lineRule="auto"/>
              <w:ind w:firstLine="0"/>
              <w:jc w:val="center"/>
            </w:pPr>
            <w:r>
              <w:rPr>
                <w:rFonts w:ascii="Times New Roman" w:hAnsi="Times New Roman" w:eastAsia="Times New Roman"/>
                <w:sz w:val="20"/>
              </w:rPr>
              <w:t xml:space="preserve">No</w:t>
            </w:r>
          </w:p>
        </w:tc>
      </w:tr>
      <w:tr w14:paraId="2B8454F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27311C9A" w14:textId="7FFD4F36">
            <w:pPr>
              <w:spacing w:before="0" w:after="0" w:line="240" w:lineRule="auto"/>
              <w:ind w:firstLine="0"/>
            </w:pPr>
            <w:r>
              <w:rPr>
                <w:rFonts w:ascii="Times New Roman" w:hAnsi="Times New Roman" w:eastAsia="Times New Roman"/>
                <w:sz w:val="20"/>
              </w:rPr>
              <w:t xml:space="preserve">Excluding diet</w:t>
            </w:r>
          </w:p>
        </w:tc>
        <w:tc>
          <w:tcPr>
            <w:tcW w:w="796" w:type="pct"/>
          </w:tcPr>
          <w:p w14:paraId="22230063" w14:textId="7FFD5033">
            <w:pPr>
              <w:spacing w:before="0" w:after="0" w:line="240" w:lineRule="auto"/>
              <w:ind w:firstLine="0"/>
              <w:jc w:val="center"/>
            </w:pPr>
            <w:r>
              <w:rPr>
                <w:rFonts w:ascii="Times New Roman" w:hAnsi="Times New Roman" w:eastAsia="Times New Roman"/>
                <w:sz w:val="20"/>
              </w:rPr>
              <w:t xml:space="preserve">CKM stages 0–2</w:t>
            </w:r>
          </w:p>
        </w:tc>
        <w:tc>
          <w:tcPr>
            <w:tcW w:w="587" w:type="pct"/>
          </w:tcPr>
          <w:p w14:paraId="33D29189" w14:textId="7FFD4C90">
            <w:pPr>
              <w:spacing w:before="0" w:after="0" w:line="240" w:lineRule="auto"/>
              <w:ind w:firstLine="0"/>
              <w:jc w:val="center"/>
            </w:pPr>
            <w:r>
              <w:rPr>
                <w:rFonts w:ascii="Times New Roman" w:hAnsi="Times New Roman" w:eastAsia="Times New Roman"/>
                <w:sz w:val="20"/>
              </w:rPr>
              <w:t>HR 0.845</w:t>
            </w:r>
          </w:p>
        </w:tc>
        <w:tc>
          <w:tcPr>
            <w:tcW w:w="0" w:type="auto"/>
          </w:tcPr>
          <w:p w14:paraId="3025F7C2" w14:textId="7FFD506B">
            <w:pPr>
              <w:spacing w:before="0" w:after="0" w:line="240" w:lineRule="auto"/>
              <w:ind w:firstLine="0"/>
              <w:jc w:val="center"/>
            </w:pPr>
            <w:r>
              <w:rPr>
                <w:rFonts w:ascii="Times New Roman" w:hAnsi="Times New Roman" w:eastAsia="Times New Roman"/>
                <w:sz w:val="20"/>
              </w:rPr>
              <w:t xml:space="preserve">0.776–0.919</w:t>
            </w:r>
          </w:p>
        </w:tc>
        <w:tc>
          <w:tcPr>
            <w:tcW w:w="0" w:type="auto"/>
          </w:tcPr>
          <w:p w14:paraId="3B9E8FCA" w14:textId="7FFD4C92">
            <w:pPr>
              <w:spacing w:before="0" w:after="0" w:line="240" w:lineRule="auto"/>
              <w:ind w:firstLine="0"/>
              <w:jc w:val="center"/>
            </w:pPr>
            <w:r>
              <w:rPr>
                <w:rFonts w:ascii="Times New Roman" w:hAnsi="Times New Roman" w:eastAsia="Times New Roman"/>
                <w:sz w:val="20"/>
              </w:rPr>
              <w:t>&lt;0.001</w:t>
            </w:r>
          </w:p>
        </w:tc>
        <w:tc>
          <w:tcPr>
            <w:tcW w:w="506" w:type="pct"/>
          </w:tcPr>
          <w:p w14:paraId="4CFF08B5" w14:textId="7FFD4C93">
            <w:pPr>
              <w:spacing w:before="0" w:after="0" w:line="240" w:lineRule="auto"/>
              <w:ind w:firstLine="0"/>
              <w:jc w:val="center"/>
            </w:pPr>
            <w:r>
              <w:rPr>
                <w:rFonts w:ascii="Times New Roman" w:hAnsi="Times New Roman" w:eastAsia="Times New Roman"/>
                <w:sz w:val="20"/>
              </w:rPr>
              <w:t>&lt;0.001</w:t>
            </w:r>
          </w:p>
        </w:tc>
        <w:tc>
          <w:tcPr>
            <w:tcW w:w="667" w:type="pct"/>
          </w:tcPr>
          <w:p w14:paraId="6EFDD6CD" w14:textId="7FFD4C94">
            <w:pPr>
              <w:spacing w:before="0" w:after="0" w:line="240" w:lineRule="auto"/>
              <w:ind w:firstLine="0"/>
              <w:jc w:val="center"/>
            </w:pPr>
            <w:r>
              <w:rPr>
                <w:rFonts w:ascii="Times New Roman" w:hAnsi="Times New Roman" w:eastAsia="Times New Roman"/>
                <w:sz w:val="20"/>
              </w:rPr>
              <w:t>21.2%</w:t>
            </w:r>
          </w:p>
        </w:tc>
        <w:tc>
          <w:tcPr>
            <w:tcW w:w="0" w:type="auto"/>
          </w:tcPr>
          <w:p w14:paraId="1B266884" w14:textId="7FFD4F52">
            <w:pPr>
              <w:spacing w:before="0" w:after="0" w:line="240" w:lineRule="auto"/>
              <w:ind w:firstLine="0"/>
              <w:jc w:val="center"/>
            </w:pPr>
            <w:r>
              <w:rPr>
                <w:rFonts w:ascii="Times New Roman" w:hAnsi="Times New Roman" w:eastAsia="Times New Roman"/>
                <w:sz w:val="20"/>
              </w:rPr>
              <w:t xml:space="preserve">No</w:t>
            </w:r>
          </w:p>
        </w:tc>
      </w:tr>
      <w:tr w14:paraId="32DF78A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0EBC4660" w14:textId="7FFD4F37">
            <w:pPr>
              <w:spacing w:before="0" w:after="0" w:line="240" w:lineRule="auto"/>
              <w:ind w:firstLine="0"/>
            </w:pPr>
            <w:r>
              <w:rPr>
                <w:rFonts w:ascii="Times New Roman" w:hAnsi="Times New Roman" w:eastAsia="Times New Roman"/>
                <w:sz w:val="20"/>
              </w:rPr>
              <w:t xml:space="preserve">Excluding diet</w:t>
            </w:r>
          </w:p>
        </w:tc>
        <w:tc>
          <w:tcPr>
            <w:tcW w:w="796" w:type="pct"/>
          </w:tcPr>
          <w:p w14:paraId="67E47EA7" w14:textId="7FFD5041">
            <w:pPr>
              <w:spacing w:before="0" w:after="0" w:line="240" w:lineRule="auto"/>
              <w:ind w:firstLine="0"/>
              <w:jc w:val="center"/>
            </w:pPr>
            <w:r>
              <w:rPr>
                <w:rFonts w:ascii="Times New Roman" w:hAnsi="Times New Roman" w:eastAsia="Times New Roman"/>
                <w:sz w:val="20"/>
              </w:rPr>
              <w:t xml:space="preserve">CKM stage 3</w:t>
            </w:r>
          </w:p>
        </w:tc>
        <w:tc>
          <w:tcPr>
            <w:tcW w:w="587" w:type="pct"/>
          </w:tcPr>
          <w:p w14:paraId="43DBCC32" w14:textId="7FFD4C98">
            <w:pPr>
              <w:spacing w:before="0" w:after="0" w:line="240" w:lineRule="auto"/>
              <w:ind w:firstLine="0"/>
              <w:jc w:val="center"/>
            </w:pPr>
            <w:r>
              <w:rPr>
                <w:rFonts w:ascii="Times New Roman" w:hAnsi="Times New Roman" w:eastAsia="Times New Roman"/>
                <w:sz w:val="20"/>
              </w:rPr>
              <w:t>HR 0.976</w:t>
            </w:r>
          </w:p>
        </w:tc>
        <w:tc>
          <w:tcPr>
            <w:tcW w:w="0" w:type="auto"/>
          </w:tcPr>
          <w:p w14:paraId="623579D9" w14:textId="7FFD506C">
            <w:pPr>
              <w:spacing w:before="0" w:after="0" w:line="240" w:lineRule="auto"/>
              <w:ind w:firstLine="0"/>
              <w:jc w:val="center"/>
            </w:pPr>
            <w:r>
              <w:rPr>
                <w:rFonts w:ascii="Times New Roman" w:hAnsi="Times New Roman" w:eastAsia="Times New Roman"/>
                <w:sz w:val="20"/>
              </w:rPr>
              <w:t xml:space="preserve">0.861–1.107</w:t>
            </w:r>
          </w:p>
        </w:tc>
        <w:tc>
          <w:tcPr>
            <w:tcW w:w="0" w:type="auto"/>
          </w:tcPr>
          <w:p w14:paraId="389051F3" w14:textId="7FFD4C9A">
            <w:pPr>
              <w:spacing w:before="0" w:after="0" w:line="240" w:lineRule="auto"/>
              <w:ind w:firstLine="0"/>
              <w:jc w:val="center"/>
            </w:pPr>
            <w:r>
              <w:rPr>
                <w:rFonts w:ascii="Times New Roman" w:hAnsi="Times New Roman" w:eastAsia="Times New Roman"/>
                <w:sz w:val="20"/>
              </w:rPr>
              <w:t>0.706</w:t>
            </w:r>
          </w:p>
        </w:tc>
        <w:tc>
          <w:tcPr>
            <w:tcW w:w="506" w:type="pct"/>
          </w:tcPr>
          <w:p w14:paraId="13A4A222" w14:textId="7FFD4C9B">
            <w:pPr>
              <w:spacing w:before="0" w:after="0" w:line="240" w:lineRule="auto"/>
              <w:ind w:firstLine="0"/>
              <w:jc w:val="center"/>
            </w:pPr>
            <w:r>
              <w:rPr>
                <w:rFonts w:ascii="Times New Roman" w:hAnsi="Times New Roman" w:eastAsia="Times New Roman"/>
                <w:sz w:val="20"/>
              </w:rPr>
              <w:t>0.706</w:t>
            </w:r>
          </w:p>
        </w:tc>
        <w:tc>
          <w:tcPr>
            <w:tcW w:w="667" w:type="pct"/>
          </w:tcPr>
          <w:p w14:paraId="2DECB770" w14:textId="7FFD4C9C">
            <w:pPr>
              <w:spacing w:before="0" w:after="0" w:line="240" w:lineRule="auto"/>
              <w:ind w:firstLine="0"/>
              <w:jc w:val="center"/>
            </w:pPr>
            <w:r>
              <w:rPr>
                <w:rFonts w:ascii="Times New Roman" w:hAnsi="Times New Roman" w:eastAsia="Times New Roman"/>
                <w:sz w:val="20"/>
              </w:rPr>
              <w:t>50.8%</w:t>
            </w:r>
          </w:p>
        </w:tc>
        <w:tc>
          <w:tcPr>
            <w:tcW w:w="0" w:type="auto"/>
          </w:tcPr>
          <w:p w14:paraId="6D46094B" w14:textId="7FFD4F59">
            <w:pPr>
              <w:spacing w:before="0" w:after="0" w:line="240" w:lineRule="auto"/>
              <w:ind w:firstLine="0"/>
              <w:jc w:val="center"/>
            </w:pPr>
            <w:r>
              <w:rPr>
                <w:rFonts w:ascii="Times New Roman" w:hAnsi="Times New Roman" w:eastAsia="Times New Roman"/>
                <w:sz w:val="20"/>
              </w:rPr>
              <w:t xml:space="preserve">Yes</w:t>
            </w:r>
          </w:p>
        </w:tc>
      </w:tr>
      <w:tr w14:paraId="7443EBE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4223B864" w14:textId="7FFD4F38">
            <w:pPr>
              <w:spacing w:before="0" w:after="0" w:line="240" w:lineRule="auto"/>
              <w:ind w:firstLine="0"/>
            </w:pPr>
            <w:r>
              <w:rPr>
                <w:rFonts w:ascii="Times New Roman" w:hAnsi="Times New Roman" w:eastAsia="Times New Roman"/>
                <w:sz w:val="20"/>
              </w:rPr>
              <w:t xml:space="preserve">Excluding diet</w:t>
            </w:r>
          </w:p>
        </w:tc>
        <w:tc>
          <w:tcPr>
            <w:tcW w:w="796" w:type="pct"/>
          </w:tcPr>
          <w:p w14:paraId="6F65B07D" w14:textId="7FFD5050">
            <w:pPr>
              <w:spacing w:before="0" w:after="0" w:line="240" w:lineRule="auto"/>
              <w:ind w:firstLine="0"/>
              <w:jc w:val="center"/>
            </w:pPr>
            <w:r>
              <w:rPr>
                <w:rFonts w:ascii="Times New Roman" w:hAnsi="Times New Roman" w:eastAsia="Times New Roman"/>
                <w:sz w:val="20"/>
              </w:rPr>
              <w:t xml:space="preserve">CKM stage 4</w:t>
            </w:r>
          </w:p>
        </w:tc>
        <w:tc>
          <w:tcPr>
            <w:tcW w:w="587" w:type="pct"/>
          </w:tcPr>
          <w:p w14:paraId="2B309549" w14:textId="7FFD4CA0">
            <w:pPr>
              <w:spacing w:before="0" w:after="0" w:line="240" w:lineRule="auto"/>
              <w:ind w:firstLine="0"/>
              <w:jc w:val="center"/>
            </w:pPr>
            <w:r>
              <w:rPr>
                <w:rFonts w:ascii="Times New Roman" w:hAnsi="Times New Roman" w:eastAsia="Times New Roman"/>
                <w:sz w:val="20"/>
              </w:rPr>
              <w:t>HR 0.869</w:t>
            </w:r>
          </w:p>
        </w:tc>
        <w:tc>
          <w:tcPr>
            <w:tcW w:w="0" w:type="auto"/>
          </w:tcPr>
          <w:p w14:paraId="01DBDE53" w14:textId="7FFD506D">
            <w:pPr>
              <w:spacing w:before="0" w:after="0" w:line="240" w:lineRule="auto"/>
              <w:ind w:firstLine="0"/>
              <w:jc w:val="center"/>
            </w:pPr>
            <w:r>
              <w:rPr>
                <w:rFonts w:ascii="Times New Roman" w:hAnsi="Times New Roman" w:eastAsia="Times New Roman"/>
                <w:sz w:val="20"/>
              </w:rPr>
              <w:t xml:space="preserve">0.833–0.907</w:t>
            </w:r>
          </w:p>
        </w:tc>
        <w:tc>
          <w:tcPr>
            <w:tcW w:w="0" w:type="auto"/>
          </w:tcPr>
          <w:p w14:paraId="6AECD098" w14:textId="7FFD4CA2">
            <w:pPr>
              <w:spacing w:before="0" w:after="0" w:line="240" w:lineRule="auto"/>
              <w:ind w:firstLine="0"/>
              <w:jc w:val="center"/>
            </w:pPr>
            <w:r>
              <w:rPr>
                <w:rFonts w:ascii="Times New Roman" w:hAnsi="Times New Roman" w:eastAsia="Times New Roman"/>
                <w:sz w:val="20"/>
              </w:rPr>
              <w:t>&lt;0.001</w:t>
            </w:r>
          </w:p>
        </w:tc>
        <w:tc>
          <w:tcPr>
            <w:tcW w:w="506" w:type="pct"/>
          </w:tcPr>
          <w:p w14:paraId="1A0B4B23" w14:textId="7FFD4CA3">
            <w:pPr>
              <w:spacing w:before="0" w:after="0" w:line="240" w:lineRule="auto"/>
              <w:ind w:firstLine="0"/>
              <w:jc w:val="center"/>
            </w:pPr>
            <w:r>
              <w:rPr>
                <w:rFonts w:ascii="Times New Roman" w:hAnsi="Times New Roman" w:eastAsia="Times New Roman"/>
                <w:sz w:val="20"/>
              </w:rPr>
              <w:t>&lt;0.001</w:t>
            </w:r>
          </w:p>
        </w:tc>
        <w:tc>
          <w:tcPr>
            <w:tcW w:w="667" w:type="pct"/>
          </w:tcPr>
          <w:p w14:paraId="3E4E481E" w14:textId="7FFD4CA4">
            <w:pPr>
              <w:spacing w:before="0" w:after="0" w:line="240" w:lineRule="auto"/>
              <w:ind w:firstLine="0"/>
              <w:jc w:val="center"/>
            </w:pPr>
            <w:r>
              <w:rPr>
                <w:rFonts w:ascii="Times New Roman" w:hAnsi="Times New Roman" w:eastAsia="Times New Roman"/>
                <w:sz w:val="20"/>
              </w:rPr>
              <w:t>24.2%</w:t>
            </w:r>
          </w:p>
        </w:tc>
        <w:tc>
          <w:tcPr>
            <w:tcW w:w="0" w:type="auto"/>
          </w:tcPr>
          <w:p w14:paraId="5C318EE6" w14:textId="7FFD4F53">
            <w:pPr>
              <w:spacing w:before="0" w:after="0" w:line="240" w:lineRule="auto"/>
              <w:ind w:firstLine="0"/>
              <w:jc w:val="center"/>
            </w:pPr>
            <w:r>
              <w:rPr>
                <w:rFonts w:ascii="Times New Roman" w:hAnsi="Times New Roman" w:eastAsia="Times New Roman"/>
                <w:sz w:val="20"/>
              </w:rPr>
              <w:t xml:space="preserve">No</w:t>
            </w:r>
          </w:p>
        </w:tc>
      </w:tr>
      <w:tr w14:paraId="5FCAF21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6CBD579A" w14:textId="7FFD4F39">
            <w:pPr>
              <w:spacing w:before="0" w:after="0" w:line="240" w:lineRule="auto"/>
              <w:ind w:firstLine="0"/>
            </w:pPr>
            <w:r>
              <w:rPr>
                <w:rFonts w:ascii="Times New Roman" w:hAnsi="Times New Roman" w:eastAsia="Times New Roman"/>
                <w:sz w:val="20"/>
              </w:rPr>
              <w:t xml:space="preserve">Excluding physical activity</w:t>
            </w:r>
          </w:p>
        </w:tc>
        <w:tc>
          <w:tcPr>
            <w:tcW w:w="796" w:type="pct"/>
          </w:tcPr>
          <w:p w14:paraId="36D69D9E" w14:textId="7FFD5034">
            <w:pPr>
              <w:spacing w:before="0" w:after="0" w:line="240" w:lineRule="auto"/>
              <w:ind w:firstLine="0"/>
              <w:jc w:val="center"/>
            </w:pPr>
            <w:r>
              <w:rPr>
                <w:rFonts w:ascii="Times New Roman" w:hAnsi="Times New Roman" w:eastAsia="Times New Roman"/>
                <w:sz w:val="20"/>
              </w:rPr>
              <w:t xml:space="preserve">CKM stages 0–2</w:t>
            </w:r>
          </w:p>
        </w:tc>
        <w:tc>
          <w:tcPr>
            <w:tcW w:w="587" w:type="pct"/>
          </w:tcPr>
          <w:p w14:paraId="626974D0" w14:textId="7FFD4CA8">
            <w:pPr>
              <w:spacing w:before="0" w:after="0" w:line="240" w:lineRule="auto"/>
              <w:ind w:firstLine="0"/>
              <w:jc w:val="center"/>
            </w:pPr>
            <w:r>
              <w:rPr>
                <w:rFonts w:ascii="Times New Roman" w:hAnsi="Times New Roman" w:eastAsia="Times New Roman"/>
                <w:sz w:val="20"/>
              </w:rPr>
              <w:t>HR 0.824</w:t>
            </w:r>
          </w:p>
        </w:tc>
        <w:tc>
          <w:tcPr>
            <w:tcW w:w="0" w:type="auto"/>
          </w:tcPr>
          <w:p w14:paraId="02B3352B" w14:textId="7FFD506E">
            <w:pPr>
              <w:spacing w:before="0" w:after="0" w:line="240" w:lineRule="auto"/>
              <w:ind w:firstLine="0"/>
              <w:jc w:val="center"/>
            </w:pPr>
            <w:r>
              <w:rPr>
                <w:rFonts w:ascii="Times New Roman" w:hAnsi="Times New Roman" w:eastAsia="Times New Roman"/>
                <w:sz w:val="20"/>
              </w:rPr>
              <w:t xml:space="preserve">0.735–0.924</w:t>
            </w:r>
          </w:p>
        </w:tc>
        <w:tc>
          <w:tcPr>
            <w:tcW w:w="0" w:type="auto"/>
          </w:tcPr>
          <w:p w14:paraId="300B71C9" w14:textId="7FFD4CAA">
            <w:pPr>
              <w:spacing w:before="0" w:after="0" w:line="240" w:lineRule="auto"/>
              <w:ind w:firstLine="0"/>
              <w:jc w:val="center"/>
            </w:pPr>
            <w:r>
              <w:rPr>
                <w:rFonts w:ascii="Times New Roman" w:hAnsi="Times New Roman" w:eastAsia="Times New Roman"/>
                <w:sz w:val="20"/>
              </w:rPr>
              <w:t>&lt;0.001</w:t>
            </w:r>
          </w:p>
        </w:tc>
        <w:tc>
          <w:tcPr>
            <w:tcW w:w="506" w:type="pct"/>
          </w:tcPr>
          <w:p w14:paraId="42190A95" w14:textId="7FFD4CAB">
            <w:pPr>
              <w:spacing w:before="0" w:after="0" w:line="240" w:lineRule="auto"/>
              <w:ind w:firstLine="0"/>
              <w:jc w:val="center"/>
            </w:pPr>
            <w:r>
              <w:rPr>
                <w:rFonts w:ascii="Times New Roman" w:hAnsi="Times New Roman" w:eastAsia="Times New Roman"/>
                <w:sz w:val="20"/>
              </w:rPr>
              <w:t>0.003</w:t>
            </w:r>
          </w:p>
        </w:tc>
        <w:tc>
          <w:tcPr>
            <w:tcW w:w="667" w:type="pct"/>
          </w:tcPr>
          <w:p w14:paraId="55B7C973" w14:textId="7FFD4CAC">
            <w:pPr>
              <w:spacing w:before="0" w:after="0" w:line="240" w:lineRule="auto"/>
              <w:ind w:firstLine="0"/>
              <w:jc w:val="center"/>
            </w:pPr>
            <w:r>
              <w:rPr>
                <w:rFonts w:ascii="Times New Roman" w:hAnsi="Times New Roman" w:eastAsia="Times New Roman"/>
                <w:sz w:val="20"/>
              </w:rPr>
              <w:t>9.6%</w:t>
            </w:r>
          </w:p>
        </w:tc>
        <w:tc>
          <w:tcPr>
            <w:tcW w:w="0" w:type="auto"/>
          </w:tcPr>
          <w:p w14:paraId="06B81A05" w14:textId="7FFD4F54">
            <w:pPr>
              <w:spacing w:before="0" w:after="0" w:line="240" w:lineRule="auto"/>
              <w:ind w:firstLine="0"/>
              <w:jc w:val="center"/>
            </w:pPr>
            <w:r>
              <w:rPr>
                <w:rFonts w:ascii="Times New Roman" w:hAnsi="Times New Roman" w:eastAsia="Times New Roman"/>
                <w:sz w:val="20"/>
              </w:rPr>
              <w:t xml:space="preserve">No</w:t>
            </w:r>
          </w:p>
        </w:tc>
      </w:tr>
      <w:tr w14:paraId="65A2477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07B6C9CF" w14:textId="7FFD4F3A">
            <w:pPr>
              <w:spacing w:before="0" w:after="0" w:line="240" w:lineRule="auto"/>
              <w:ind w:firstLine="0"/>
            </w:pPr>
            <w:r>
              <w:rPr>
                <w:rFonts w:ascii="Times New Roman" w:hAnsi="Times New Roman" w:eastAsia="Times New Roman"/>
                <w:sz w:val="20"/>
              </w:rPr>
              <w:t xml:space="preserve">Excluding physical activity</w:t>
            </w:r>
          </w:p>
        </w:tc>
        <w:tc>
          <w:tcPr>
            <w:tcW w:w="796" w:type="pct"/>
          </w:tcPr>
          <w:p w14:paraId="0A68AF11" w14:textId="7FFD5042">
            <w:pPr>
              <w:spacing w:before="0" w:after="0" w:line="240" w:lineRule="auto"/>
              <w:ind w:firstLine="0"/>
              <w:jc w:val="center"/>
            </w:pPr>
            <w:r>
              <w:rPr>
                <w:rFonts w:ascii="Times New Roman" w:hAnsi="Times New Roman" w:eastAsia="Times New Roman"/>
                <w:sz w:val="20"/>
              </w:rPr>
              <w:t xml:space="preserve">CKM stage 3</w:t>
            </w:r>
          </w:p>
        </w:tc>
        <w:tc>
          <w:tcPr>
            <w:tcW w:w="587" w:type="pct"/>
          </w:tcPr>
          <w:p w14:paraId="6D10E0BC" w14:textId="7FFD4CB0">
            <w:pPr>
              <w:spacing w:before="0" w:after="0" w:line="240" w:lineRule="auto"/>
              <w:ind w:firstLine="0"/>
              <w:jc w:val="center"/>
            </w:pPr>
            <w:r>
              <w:rPr>
                <w:rFonts w:ascii="Times New Roman" w:hAnsi="Times New Roman" w:eastAsia="Times New Roman"/>
                <w:sz w:val="20"/>
              </w:rPr>
              <w:t>HR 0.928</w:t>
            </w:r>
          </w:p>
        </w:tc>
        <w:tc>
          <w:tcPr>
            <w:tcW w:w="0" w:type="auto"/>
          </w:tcPr>
          <w:p w14:paraId="3B8A8A07" w14:textId="7FFD506F">
            <w:pPr>
              <w:spacing w:before="0" w:after="0" w:line="240" w:lineRule="auto"/>
              <w:ind w:firstLine="0"/>
              <w:jc w:val="center"/>
            </w:pPr>
            <w:r>
              <w:rPr>
                <w:rFonts w:ascii="Times New Roman" w:hAnsi="Times New Roman" w:eastAsia="Times New Roman"/>
                <w:sz w:val="20"/>
              </w:rPr>
              <w:t xml:space="preserve">0.837–1.028</w:t>
            </w:r>
          </w:p>
        </w:tc>
        <w:tc>
          <w:tcPr>
            <w:tcW w:w="0" w:type="auto"/>
          </w:tcPr>
          <w:p w14:paraId="4CDE0070" w14:textId="7FFD4CB2">
            <w:pPr>
              <w:spacing w:before="0" w:after="0" w:line="240" w:lineRule="auto"/>
              <w:ind w:firstLine="0"/>
              <w:jc w:val="center"/>
            </w:pPr>
            <w:r>
              <w:rPr>
                <w:rFonts w:ascii="Times New Roman" w:hAnsi="Times New Roman" w:eastAsia="Times New Roman"/>
                <w:sz w:val="20"/>
              </w:rPr>
              <w:t>0.152</w:t>
            </w:r>
          </w:p>
        </w:tc>
        <w:tc>
          <w:tcPr>
            <w:tcW w:w="506" w:type="pct"/>
          </w:tcPr>
          <w:p w14:paraId="7BC3B6FB" w14:textId="7FFD4CB3">
            <w:pPr>
              <w:spacing w:before="0" w:after="0" w:line="240" w:lineRule="auto"/>
              <w:ind w:firstLine="0"/>
              <w:jc w:val="center"/>
            </w:pPr>
            <w:r>
              <w:rPr>
                <w:rFonts w:ascii="Times New Roman" w:hAnsi="Times New Roman" w:eastAsia="Times New Roman"/>
                <w:sz w:val="20"/>
              </w:rPr>
              <w:t>0.152</w:t>
            </w:r>
          </w:p>
        </w:tc>
        <w:tc>
          <w:tcPr>
            <w:tcW w:w="667" w:type="pct"/>
          </w:tcPr>
          <w:p w14:paraId="1E4FA369" w14:textId="7FFD4CB4">
            <w:pPr>
              <w:spacing w:before="0" w:after="0" w:line="240" w:lineRule="auto"/>
              <w:ind w:firstLine="0"/>
              <w:jc w:val="center"/>
            </w:pPr>
            <w:r>
              <w:rPr>
                <w:rFonts w:ascii="Times New Roman" w:hAnsi="Times New Roman" w:eastAsia="Times New Roman"/>
                <w:sz w:val="20"/>
              </w:rPr>
              <w:t>53.0%</w:t>
            </w:r>
          </w:p>
        </w:tc>
        <w:tc>
          <w:tcPr>
            <w:tcW w:w="0" w:type="auto"/>
          </w:tcPr>
          <w:p w14:paraId="703CC018" w14:textId="7FFD4F5A">
            <w:pPr>
              <w:spacing w:before="0" w:after="0" w:line="240" w:lineRule="auto"/>
              <w:ind w:firstLine="0"/>
              <w:jc w:val="center"/>
            </w:pPr>
            <w:r>
              <w:rPr>
                <w:rFonts w:ascii="Times New Roman" w:hAnsi="Times New Roman" w:eastAsia="Times New Roman"/>
                <w:sz w:val="20"/>
              </w:rPr>
              <w:t xml:space="preserve">Yes</w:t>
            </w:r>
          </w:p>
        </w:tc>
      </w:tr>
      <w:tr w14:paraId="13CAF36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1D9C658B" w14:textId="7FFD4F3B">
            <w:pPr>
              <w:spacing w:before="0" w:after="0" w:line="240" w:lineRule="auto"/>
              <w:ind w:firstLine="0"/>
            </w:pPr>
            <w:r>
              <w:rPr>
                <w:rFonts w:ascii="Times New Roman" w:hAnsi="Times New Roman" w:eastAsia="Times New Roman"/>
                <w:sz w:val="20"/>
              </w:rPr>
              <w:t xml:space="preserve">Excluding physical activity</w:t>
            </w:r>
          </w:p>
        </w:tc>
        <w:tc>
          <w:tcPr>
            <w:tcW w:w="796" w:type="pct"/>
          </w:tcPr>
          <w:p w14:paraId="13F039A6" w14:textId="7FFD5051">
            <w:pPr>
              <w:spacing w:before="0" w:after="0" w:line="240" w:lineRule="auto"/>
              <w:ind w:firstLine="0"/>
              <w:jc w:val="center"/>
            </w:pPr>
            <w:r>
              <w:rPr>
                <w:rFonts w:ascii="Times New Roman" w:hAnsi="Times New Roman" w:eastAsia="Times New Roman"/>
                <w:sz w:val="20"/>
              </w:rPr>
              <w:t xml:space="preserve">CKM stage 4</w:t>
            </w:r>
          </w:p>
        </w:tc>
        <w:tc>
          <w:tcPr>
            <w:tcW w:w="587" w:type="pct"/>
          </w:tcPr>
          <w:p w14:paraId="01E058F8" w14:textId="7FFD4CB8">
            <w:pPr>
              <w:spacing w:before="0" w:after="0" w:line="240" w:lineRule="auto"/>
              <w:ind w:firstLine="0"/>
              <w:jc w:val="center"/>
            </w:pPr>
            <w:r>
              <w:rPr>
                <w:rFonts w:ascii="Times New Roman" w:hAnsi="Times New Roman" w:eastAsia="Times New Roman"/>
                <w:sz w:val="20"/>
              </w:rPr>
              <w:t>HR 0.895</w:t>
            </w:r>
          </w:p>
        </w:tc>
        <w:tc>
          <w:tcPr>
            <w:tcW w:w="0" w:type="auto"/>
          </w:tcPr>
          <w:p w14:paraId="16C1D666" w14:textId="7FFD5070">
            <w:pPr>
              <w:spacing w:before="0" w:after="0" w:line="240" w:lineRule="auto"/>
              <w:ind w:firstLine="0"/>
              <w:jc w:val="center"/>
            </w:pPr>
            <w:r>
              <w:rPr>
                <w:rFonts w:ascii="Times New Roman" w:hAnsi="Times New Roman" w:eastAsia="Times New Roman"/>
                <w:sz w:val="20"/>
              </w:rPr>
              <w:t xml:space="preserve">0.838–0.956</w:t>
            </w:r>
          </w:p>
        </w:tc>
        <w:tc>
          <w:tcPr>
            <w:tcW w:w="0" w:type="auto"/>
          </w:tcPr>
          <w:p w14:paraId="254AB24B" w14:textId="7FFD4CBA">
            <w:pPr>
              <w:spacing w:before="0" w:after="0" w:line="240" w:lineRule="auto"/>
              <w:ind w:firstLine="0"/>
              <w:jc w:val="center"/>
            </w:pPr>
            <w:r>
              <w:rPr>
                <w:rFonts w:ascii="Times New Roman" w:hAnsi="Times New Roman" w:eastAsia="Times New Roman"/>
                <w:sz w:val="20"/>
              </w:rPr>
              <w:t>&lt;0.001</w:t>
            </w:r>
          </w:p>
        </w:tc>
        <w:tc>
          <w:tcPr>
            <w:tcW w:w="506" w:type="pct"/>
          </w:tcPr>
          <w:p w14:paraId="3DA6AA4F" w14:textId="7FFD4CBB">
            <w:pPr>
              <w:spacing w:before="0" w:after="0" w:line="240" w:lineRule="auto"/>
              <w:ind w:firstLine="0"/>
              <w:jc w:val="center"/>
            </w:pPr>
            <w:r>
              <w:rPr>
                <w:rFonts w:ascii="Times New Roman" w:hAnsi="Times New Roman" w:eastAsia="Times New Roman"/>
                <w:sz w:val="20"/>
              </w:rPr>
              <w:t>0.003</w:t>
            </w:r>
          </w:p>
        </w:tc>
        <w:tc>
          <w:tcPr>
            <w:tcW w:w="667" w:type="pct"/>
          </w:tcPr>
          <w:p w14:paraId="3DE061FB" w14:textId="7FFD4CBC">
            <w:pPr>
              <w:spacing w:before="0" w:after="0" w:line="240" w:lineRule="auto"/>
              <w:ind w:firstLine="0"/>
              <w:jc w:val="center"/>
            </w:pPr>
            <w:r>
              <w:rPr>
                <w:rFonts w:ascii="Times New Roman" w:hAnsi="Times New Roman" w:eastAsia="Times New Roman"/>
                <w:sz w:val="20"/>
              </w:rPr>
              <w:t>40.2%</w:t>
            </w:r>
          </w:p>
        </w:tc>
        <w:tc>
          <w:tcPr>
            <w:tcW w:w="0" w:type="auto"/>
          </w:tcPr>
          <w:p w14:paraId="641BA662" w14:textId="7FFD4F55">
            <w:pPr>
              <w:spacing w:before="0" w:after="0" w:line="240" w:lineRule="auto"/>
              <w:ind w:firstLine="0"/>
              <w:jc w:val="center"/>
            </w:pPr>
            <w:r>
              <w:rPr>
                <w:rFonts w:ascii="Times New Roman" w:hAnsi="Times New Roman" w:eastAsia="Times New Roman"/>
                <w:sz w:val="20"/>
              </w:rPr>
              <w:t xml:space="preserve">No</w:t>
            </w:r>
          </w:p>
        </w:tc>
      </w:tr>
      <w:tr w14:paraId="06F08C2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6BE80B7B" w14:textId="7FFD4F3C">
            <w:pPr>
              <w:spacing w:before="0" w:after="0" w:line="240" w:lineRule="auto"/>
              <w:ind w:firstLine="0"/>
            </w:pPr>
            <w:r>
              <w:rPr>
                <w:rFonts w:ascii="Times New Roman" w:hAnsi="Times New Roman" w:eastAsia="Times New Roman"/>
                <w:sz w:val="20"/>
              </w:rPr>
              <w:t xml:space="preserve">Excluding sleep</w:t>
            </w:r>
          </w:p>
        </w:tc>
        <w:tc>
          <w:tcPr>
            <w:tcW w:w="796" w:type="pct"/>
          </w:tcPr>
          <w:p w14:paraId="400D6AD0" w14:textId="7FFD5035">
            <w:pPr>
              <w:spacing w:before="0" w:after="0" w:line="240" w:lineRule="auto"/>
              <w:ind w:firstLine="0"/>
              <w:jc w:val="center"/>
            </w:pPr>
            <w:r>
              <w:rPr>
                <w:rFonts w:ascii="Times New Roman" w:hAnsi="Times New Roman" w:eastAsia="Times New Roman"/>
                <w:sz w:val="20"/>
              </w:rPr>
              <w:t xml:space="preserve">CKM stages 0–2</w:t>
            </w:r>
          </w:p>
        </w:tc>
        <w:tc>
          <w:tcPr>
            <w:tcW w:w="587" w:type="pct"/>
          </w:tcPr>
          <w:p w14:paraId="5DC79470" w14:textId="7FFD4CC0">
            <w:pPr>
              <w:spacing w:before="0" w:after="0" w:line="240" w:lineRule="auto"/>
              <w:ind w:firstLine="0"/>
              <w:jc w:val="center"/>
            </w:pPr>
            <w:r>
              <w:rPr>
                <w:rFonts w:ascii="Times New Roman" w:hAnsi="Times New Roman" w:eastAsia="Times New Roman"/>
                <w:sz w:val="20"/>
              </w:rPr>
              <w:t>HR 0.846</w:t>
            </w:r>
          </w:p>
        </w:tc>
        <w:tc>
          <w:tcPr>
            <w:tcW w:w="0" w:type="auto"/>
          </w:tcPr>
          <w:p w14:paraId="4C967596" w14:textId="7FFD5071">
            <w:pPr>
              <w:spacing w:before="0" w:after="0" w:line="240" w:lineRule="auto"/>
              <w:ind w:firstLine="0"/>
              <w:jc w:val="center"/>
            </w:pPr>
            <w:r>
              <w:rPr>
                <w:rFonts w:ascii="Times New Roman" w:hAnsi="Times New Roman" w:eastAsia="Times New Roman"/>
                <w:sz w:val="20"/>
              </w:rPr>
              <w:t xml:space="preserve">0.771–0.927</w:t>
            </w:r>
          </w:p>
        </w:tc>
        <w:tc>
          <w:tcPr>
            <w:tcW w:w="0" w:type="auto"/>
          </w:tcPr>
          <w:p w14:paraId="4329E0B8" w14:textId="7FFD4CC2">
            <w:pPr>
              <w:spacing w:before="0" w:after="0" w:line="240" w:lineRule="auto"/>
              <w:ind w:firstLine="0"/>
              <w:jc w:val="center"/>
            </w:pPr>
            <w:r>
              <w:rPr>
                <w:rFonts w:ascii="Times New Roman" w:hAnsi="Times New Roman" w:eastAsia="Times New Roman"/>
                <w:sz w:val="20"/>
              </w:rPr>
              <w:t>&lt;0.001</w:t>
            </w:r>
          </w:p>
        </w:tc>
        <w:tc>
          <w:tcPr>
            <w:tcW w:w="506" w:type="pct"/>
          </w:tcPr>
          <w:p w14:paraId="389EDBE5" w14:textId="7FFD4CC3">
            <w:pPr>
              <w:spacing w:before="0" w:after="0" w:line="240" w:lineRule="auto"/>
              <w:ind w:firstLine="0"/>
              <w:jc w:val="center"/>
            </w:pPr>
            <w:r>
              <w:rPr>
                <w:rFonts w:ascii="Times New Roman" w:hAnsi="Times New Roman" w:eastAsia="Times New Roman"/>
                <w:sz w:val="20"/>
              </w:rPr>
              <w:t>&lt;0.001</w:t>
            </w:r>
          </w:p>
        </w:tc>
        <w:tc>
          <w:tcPr>
            <w:tcW w:w="667" w:type="pct"/>
          </w:tcPr>
          <w:p w14:paraId="4166ACFE" w14:textId="7FFD4CC4">
            <w:pPr>
              <w:spacing w:before="0" w:after="0" w:line="240" w:lineRule="auto"/>
              <w:ind w:firstLine="0"/>
              <w:jc w:val="center"/>
            </w:pPr>
            <w:r>
              <w:rPr>
                <w:rFonts w:ascii="Times New Roman" w:hAnsi="Times New Roman" w:eastAsia="Times New Roman"/>
                <w:sz w:val="20"/>
              </w:rPr>
              <w:t>21.6%</w:t>
            </w:r>
          </w:p>
        </w:tc>
        <w:tc>
          <w:tcPr>
            <w:tcW w:w="0" w:type="auto"/>
          </w:tcPr>
          <w:p w14:paraId="1B076D15" w14:textId="7FFD4F56">
            <w:pPr>
              <w:spacing w:before="0" w:after="0" w:line="240" w:lineRule="auto"/>
              <w:ind w:firstLine="0"/>
              <w:jc w:val="center"/>
            </w:pPr>
            <w:r>
              <w:rPr>
                <w:rFonts w:ascii="Times New Roman" w:hAnsi="Times New Roman" w:eastAsia="Times New Roman"/>
                <w:sz w:val="20"/>
              </w:rPr>
              <w:t xml:space="preserve">No</w:t>
            </w:r>
          </w:p>
        </w:tc>
      </w:tr>
      <w:tr w14:paraId="1279094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553E9A79" w14:textId="7FFD4F3D">
            <w:pPr>
              <w:spacing w:before="0" w:after="0" w:line="240" w:lineRule="auto"/>
              <w:ind w:firstLine="0"/>
            </w:pPr>
            <w:r>
              <w:rPr>
                <w:rFonts w:ascii="Times New Roman" w:hAnsi="Times New Roman" w:eastAsia="Times New Roman"/>
                <w:sz w:val="20"/>
              </w:rPr>
              <w:t xml:space="preserve">Excluding sleep</w:t>
            </w:r>
          </w:p>
        </w:tc>
        <w:tc>
          <w:tcPr>
            <w:tcW w:w="796" w:type="pct"/>
          </w:tcPr>
          <w:p w14:paraId="5DB90506" w14:textId="7FFD5043">
            <w:pPr>
              <w:spacing w:before="0" w:after="0" w:line="240" w:lineRule="auto"/>
              <w:ind w:firstLine="0"/>
              <w:jc w:val="center"/>
            </w:pPr>
            <w:r>
              <w:rPr>
                <w:rFonts w:ascii="Times New Roman" w:hAnsi="Times New Roman" w:eastAsia="Times New Roman"/>
                <w:sz w:val="20"/>
              </w:rPr>
              <w:t xml:space="preserve">CKM stage 3</w:t>
            </w:r>
          </w:p>
        </w:tc>
        <w:tc>
          <w:tcPr>
            <w:tcW w:w="587" w:type="pct"/>
          </w:tcPr>
          <w:p w14:paraId="1E0294B1" w14:textId="7FFD4CC8">
            <w:pPr>
              <w:spacing w:before="0" w:after="0" w:line="240" w:lineRule="auto"/>
              <w:ind w:firstLine="0"/>
              <w:jc w:val="center"/>
            </w:pPr>
            <w:r>
              <w:rPr>
                <w:rFonts w:ascii="Times New Roman" w:hAnsi="Times New Roman" w:eastAsia="Times New Roman"/>
                <w:sz w:val="20"/>
              </w:rPr>
              <w:t>HR 0.962</w:t>
            </w:r>
          </w:p>
        </w:tc>
        <w:tc>
          <w:tcPr>
            <w:tcW w:w="0" w:type="auto"/>
          </w:tcPr>
          <w:p w14:paraId="640F1826" w14:textId="7FFD5072">
            <w:pPr>
              <w:spacing w:before="0" w:after="0" w:line="240" w:lineRule="auto"/>
              <w:ind w:firstLine="0"/>
              <w:jc w:val="center"/>
            </w:pPr>
            <w:r>
              <w:rPr>
                <w:rFonts w:ascii="Times New Roman" w:hAnsi="Times New Roman" w:eastAsia="Times New Roman"/>
                <w:sz w:val="20"/>
              </w:rPr>
              <w:t xml:space="preserve">0.870–1.065</w:t>
            </w:r>
          </w:p>
        </w:tc>
        <w:tc>
          <w:tcPr>
            <w:tcW w:w="0" w:type="auto"/>
          </w:tcPr>
          <w:p w14:paraId="321E5F71" w14:textId="7FFD4CCA">
            <w:pPr>
              <w:spacing w:before="0" w:after="0" w:line="240" w:lineRule="auto"/>
              <w:ind w:firstLine="0"/>
              <w:jc w:val="center"/>
            </w:pPr>
            <w:r>
              <w:rPr>
                <w:rFonts w:ascii="Times New Roman" w:hAnsi="Times New Roman" w:eastAsia="Times New Roman"/>
                <w:sz w:val="20"/>
              </w:rPr>
              <w:t>0.456</w:t>
            </w:r>
          </w:p>
        </w:tc>
        <w:tc>
          <w:tcPr>
            <w:tcW w:w="506" w:type="pct"/>
          </w:tcPr>
          <w:p w14:paraId="524052A2" w14:textId="7FFD4CCB">
            <w:pPr>
              <w:spacing w:before="0" w:after="0" w:line="240" w:lineRule="auto"/>
              <w:ind w:firstLine="0"/>
              <w:jc w:val="center"/>
            </w:pPr>
            <w:r>
              <w:rPr>
                <w:rFonts w:ascii="Times New Roman" w:hAnsi="Times New Roman" w:eastAsia="Times New Roman"/>
                <w:sz w:val="20"/>
              </w:rPr>
              <w:t>0.456</w:t>
            </w:r>
          </w:p>
        </w:tc>
        <w:tc>
          <w:tcPr>
            <w:tcW w:w="667" w:type="pct"/>
          </w:tcPr>
          <w:p w14:paraId="08AEEFDD" w14:textId="7FFD4CCC">
            <w:pPr>
              <w:spacing w:before="0" w:after="0" w:line="240" w:lineRule="auto"/>
              <w:ind w:firstLine="0"/>
              <w:jc w:val="center"/>
            </w:pPr>
            <w:r>
              <w:rPr>
                <w:rFonts w:ascii="Times New Roman" w:hAnsi="Times New Roman" w:eastAsia="Times New Roman"/>
                <w:sz w:val="20"/>
              </w:rPr>
              <w:t>21.7%</w:t>
            </w:r>
          </w:p>
        </w:tc>
        <w:tc>
          <w:tcPr>
            <w:tcW w:w="0" w:type="auto"/>
          </w:tcPr>
          <w:p w14:paraId="3A34B10D" w14:textId="7FFD4F57">
            <w:pPr>
              <w:spacing w:before="0" w:after="0" w:line="240" w:lineRule="auto"/>
              <w:ind w:firstLine="0"/>
              <w:jc w:val="center"/>
            </w:pPr>
            <w:r>
              <w:rPr>
                <w:rFonts w:ascii="Times New Roman" w:hAnsi="Times New Roman" w:eastAsia="Times New Roman"/>
                <w:sz w:val="20"/>
              </w:rPr>
              <w:t xml:space="preserve">No</w:t>
            </w:r>
          </w:p>
        </w:tc>
      </w:tr>
      <w:tr w14:paraId="0A4CFCD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4866B70C" w14:textId="7FFD4F3E">
            <w:pPr>
              <w:spacing w:before="0" w:after="0" w:line="240" w:lineRule="auto"/>
              <w:ind w:firstLine="0"/>
            </w:pPr>
            <w:r>
              <w:rPr>
                <w:rFonts w:ascii="Times New Roman" w:hAnsi="Times New Roman" w:eastAsia="Times New Roman"/>
                <w:sz w:val="20"/>
              </w:rPr>
              <w:t xml:space="preserve">Excluding sleep</w:t>
            </w:r>
          </w:p>
        </w:tc>
        <w:tc>
          <w:tcPr>
            <w:tcW w:w="796" w:type="pct"/>
          </w:tcPr>
          <w:p w14:paraId="27892CAA" w14:textId="7FFD5052">
            <w:pPr>
              <w:spacing w:before="0" w:after="0" w:line="240" w:lineRule="auto"/>
              <w:ind w:firstLine="0"/>
              <w:jc w:val="center"/>
            </w:pPr>
            <w:r>
              <w:rPr>
                <w:rFonts w:ascii="Times New Roman" w:hAnsi="Times New Roman" w:eastAsia="Times New Roman"/>
                <w:sz w:val="20"/>
              </w:rPr>
              <w:t xml:space="preserve">CKM stage 4</w:t>
            </w:r>
          </w:p>
        </w:tc>
        <w:tc>
          <w:tcPr>
            <w:tcW w:w="587" w:type="pct"/>
          </w:tcPr>
          <w:p w14:paraId="54833F69" w14:textId="7FFD4CD0">
            <w:pPr>
              <w:spacing w:before="0" w:after="0" w:line="240" w:lineRule="auto"/>
              <w:ind w:firstLine="0"/>
              <w:jc w:val="center"/>
            </w:pPr>
            <w:r>
              <w:rPr>
                <w:rFonts w:ascii="Times New Roman" w:hAnsi="Times New Roman" w:eastAsia="Times New Roman"/>
                <w:sz w:val="20"/>
              </w:rPr>
              <w:t>HR 0.851</w:t>
            </w:r>
          </w:p>
        </w:tc>
        <w:tc>
          <w:tcPr>
            <w:tcW w:w="0" w:type="auto"/>
          </w:tcPr>
          <w:p w14:paraId="4A248E30" w14:textId="7FFD5073">
            <w:pPr>
              <w:spacing w:before="0" w:after="0" w:line="240" w:lineRule="auto"/>
              <w:ind w:firstLine="0"/>
              <w:jc w:val="center"/>
            </w:pPr>
            <w:r>
              <w:rPr>
                <w:rFonts w:ascii="Times New Roman" w:hAnsi="Times New Roman" w:eastAsia="Times New Roman"/>
                <w:sz w:val="20"/>
              </w:rPr>
              <w:t xml:space="preserve">0.807–0.897</w:t>
            </w:r>
          </w:p>
        </w:tc>
        <w:tc>
          <w:tcPr>
            <w:tcW w:w="0" w:type="auto"/>
          </w:tcPr>
          <w:p w14:paraId="776FA89E" w14:textId="7FFD4CD2">
            <w:pPr>
              <w:spacing w:before="0" w:after="0" w:line="240" w:lineRule="auto"/>
              <w:ind w:firstLine="0"/>
              <w:jc w:val="center"/>
            </w:pPr>
            <w:r>
              <w:rPr>
                <w:rFonts w:ascii="Times New Roman" w:hAnsi="Times New Roman" w:eastAsia="Times New Roman"/>
                <w:sz w:val="20"/>
              </w:rPr>
              <w:t>&lt;0.001</w:t>
            </w:r>
          </w:p>
        </w:tc>
        <w:tc>
          <w:tcPr>
            <w:tcW w:w="506" w:type="pct"/>
          </w:tcPr>
          <w:p w14:paraId="11A4A5CB" w14:textId="7FFD4CD3">
            <w:pPr>
              <w:spacing w:before="0" w:after="0" w:line="240" w:lineRule="auto"/>
              <w:ind w:firstLine="0"/>
              <w:jc w:val="center"/>
            </w:pPr>
            <w:r>
              <w:rPr>
                <w:rFonts w:ascii="Times New Roman" w:hAnsi="Times New Roman" w:eastAsia="Times New Roman"/>
                <w:sz w:val="20"/>
              </w:rPr>
              <w:t>&lt;0.001</w:t>
            </w:r>
          </w:p>
        </w:tc>
        <w:tc>
          <w:tcPr>
            <w:tcW w:w="667" w:type="pct"/>
          </w:tcPr>
          <w:p w14:paraId="747921E7" w14:textId="7FFD4CD4">
            <w:pPr>
              <w:spacing w:before="0" w:after="0" w:line="240" w:lineRule="auto"/>
              <w:ind w:firstLine="0"/>
              <w:jc w:val="center"/>
            </w:pPr>
            <w:r>
              <w:rPr>
                <w:rFonts w:ascii="Times New Roman" w:hAnsi="Times New Roman" w:eastAsia="Times New Roman"/>
                <w:sz w:val="20"/>
              </w:rPr>
              <w:t>12.9%</w:t>
            </w:r>
          </w:p>
        </w:tc>
        <w:tc>
          <w:tcPr>
            <w:tcW w:w="0" w:type="auto"/>
          </w:tcPr>
          <w:p w14:paraId="66168DDB" w14:textId="7FFD4F58">
            <w:pPr>
              <w:spacing w:before="0" w:after="0" w:line="240" w:lineRule="auto"/>
              <w:ind w:firstLine="0"/>
              <w:jc w:val="center"/>
            </w:pPr>
            <w:r>
              <w:rPr>
                <w:rFonts w:ascii="Times New Roman" w:hAnsi="Times New Roman" w:eastAsia="Times New Roman"/>
                <w:sz w:val="20"/>
              </w:rPr>
              <w:t xml:space="preserve">No</w:t>
            </w:r>
          </w:p>
        </w:tc>
      </w:tr>
      <w:tr w14:paraId="5A0ECD7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468C0491" w14:textId="7FFD4F3F">
            <w:pPr>
              <w:spacing w:before="0" w:after="0" w:line="240" w:lineRule="auto"/>
              <w:ind w:firstLine="0"/>
            </w:pPr>
            <w:r>
              <w:rPr>
                <w:rFonts w:ascii="Times New Roman" w:hAnsi="Times New Roman" w:eastAsia="Times New Roman"/>
                <w:sz w:val="20"/>
              </w:rPr>
              <w:t xml:space="preserve">Multiple imputation</w:t>
            </w:r>
          </w:p>
        </w:tc>
        <w:tc>
          <w:tcPr>
            <w:tcW w:w="796" w:type="pct"/>
          </w:tcPr>
          <w:p w14:paraId="04980752" w14:textId="7FFD5036">
            <w:pPr>
              <w:spacing w:before="0" w:after="0" w:line="240" w:lineRule="auto"/>
              <w:ind w:firstLine="0"/>
              <w:jc w:val="center"/>
            </w:pPr>
            <w:r>
              <w:rPr>
                <w:rFonts w:ascii="Times New Roman" w:hAnsi="Times New Roman" w:eastAsia="Times New Roman"/>
                <w:sz w:val="20"/>
              </w:rPr>
              <w:t xml:space="preserve">CKM stages 0–2</w:t>
            </w:r>
          </w:p>
        </w:tc>
        <w:tc>
          <w:tcPr>
            <w:tcW w:w="587" w:type="pct"/>
          </w:tcPr>
          <w:p w14:paraId="575D83B1" w14:textId="7FFD4CD8">
            <w:pPr>
              <w:spacing w:before="0" w:after="0" w:line="240" w:lineRule="auto"/>
              <w:ind w:firstLine="0"/>
              <w:jc w:val="center"/>
            </w:pPr>
            <w:r>
              <w:rPr>
                <w:rFonts w:ascii="Times New Roman" w:hAnsi="Times New Roman" w:eastAsia="Times New Roman"/>
                <w:sz w:val="20"/>
              </w:rPr>
              <w:t>HR 0.802</w:t>
            </w:r>
          </w:p>
        </w:tc>
        <w:tc>
          <w:tcPr>
            <w:tcW w:w="0" w:type="auto"/>
          </w:tcPr>
          <w:p w14:paraId="39921244" w14:textId="7FFD5074">
            <w:pPr>
              <w:spacing w:before="0" w:after="0" w:line="240" w:lineRule="auto"/>
              <w:ind w:firstLine="0"/>
              <w:jc w:val="center"/>
            </w:pPr>
            <w:r>
              <w:rPr>
                <w:rFonts w:ascii="Times New Roman" w:hAnsi="Times New Roman" w:eastAsia="Times New Roman"/>
                <w:sz w:val="20"/>
              </w:rPr>
              <w:t xml:space="preserve">0.721–0.893</w:t>
            </w:r>
          </w:p>
        </w:tc>
        <w:tc>
          <w:tcPr>
            <w:tcW w:w="0" w:type="auto"/>
          </w:tcPr>
          <w:p w14:paraId="33D382EF" w14:textId="7FFD4CDA">
            <w:pPr>
              <w:spacing w:before="0" w:after="0" w:line="240" w:lineRule="auto"/>
              <w:ind w:firstLine="0"/>
              <w:jc w:val="center"/>
            </w:pPr>
            <w:r>
              <w:rPr>
                <w:rFonts w:ascii="Times New Roman" w:hAnsi="Times New Roman" w:eastAsia="Times New Roman"/>
                <w:sz w:val="20"/>
              </w:rPr>
              <w:t>&lt;0.001</w:t>
            </w:r>
          </w:p>
        </w:tc>
        <w:tc>
          <w:tcPr>
            <w:tcW w:w="506" w:type="pct"/>
          </w:tcPr>
          <w:p w14:paraId="5452E88F" w14:textId="7FFD4CDB">
            <w:pPr>
              <w:spacing w:before="0" w:after="0" w:line="240" w:lineRule="auto"/>
              <w:ind w:firstLine="0"/>
              <w:jc w:val="center"/>
            </w:pPr>
            <w:r>
              <w:rPr>
                <w:rFonts w:ascii="Times New Roman" w:hAnsi="Times New Roman" w:eastAsia="Times New Roman"/>
                <w:sz w:val="20"/>
              </w:rPr>
              <w:t>&lt;0.001</w:t>
            </w:r>
          </w:p>
        </w:tc>
        <w:tc>
          <w:tcPr>
            <w:tcW w:w="667" w:type="pct"/>
          </w:tcPr>
          <w:p w14:paraId="0BB098B5" w14:textId="7FFD4CDC">
            <w:pPr>
              <w:spacing w:before="0" w:after="0" w:line="240" w:lineRule="auto"/>
              <w:ind w:firstLine="0"/>
              <w:jc w:val="center"/>
            </w:pPr>
            <w:r>
              <w:rPr>
                <w:rFonts w:ascii="Times New Roman" w:hAnsi="Times New Roman" w:eastAsia="Times New Roman"/>
                <w:sz w:val="20"/>
              </w:rPr>
              <w:t>—</w:t>
            </w:r>
          </w:p>
        </w:tc>
        <w:tc>
          <w:tcPr>
            <w:tcW w:w="0" w:type="auto"/>
          </w:tcPr>
          <w:p w14:paraId="10DF1AAB" w14:textId="7FFD4CDD">
            <w:pPr>
              <w:spacing w:before="0" w:after="0" w:line="240" w:lineRule="auto"/>
              <w:ind w:firstLine="0"/>
              <w:jc w:val="center"/>
            </w:pPr>
            <w:r>
              <w:rPr>
                <w:rFonts w:ascii="Times New Roman" w:hAnsi="Times New Roman" w:eastAsia="Times New Roman"/>
                <w:sz w:val="20"/>
              </w:rPr>
              <w:t>—</w:t>
            </w:r>
          </w:p>
        </w:tc>
      </w:tr>
      <w:tr w14:paraId="6321864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04ED22AE" w14:textId="7FFD4F40">
            <w:pPr>
              <w:spacing w:before="0" w:after="0" w:line="240" w:lineRule="auto"/>
              <w:ind w:firstLine="0"/>
            </w:pPr>
            <w:r>
              <w:rPr>
                <w:rFonts w:ascii="Times New Roman" w:hAnsi="Times New Roman" w:eastAsia="Times New Roman"/>
                <w:sz w:val="20"/>
              </w:rPr>
              <w:t xml:space="preserve">Multiple imputation</w:t>
            </w:r>
          </w:p>
        </w:tc>
        <w:tc>
          <w:tcPr>
            <w:tcW w:w="796" w:type="pct"/>
          </w:tcPr>
          <w:p w14:paraId="18581586" w14:textId="7FFD5044">
            <w:pPr>
              <w:spacing w:before="0" w:after="0" w:line="240" w:lineRule="auto"/>
              <w:ind w:firstLine="0"/>
              <w:jc w:val="center"/>
            </w:pPr>
            <w:r>
              <w:rPr>
                <w:rFonts w:ascii="Times New Roman" w:hAnsi="Times New Roman" w:eastAsia="Times New Roman"/>
                <w:sz w:val="20"/>
              </w:rPr>
              <w:t xml:space="preserve">CKM stage 3</w:t>
            </w:r>
          </w:p>
        </w:tc>
        <w:tc>
          <w:tcPr>
            <w:tcW w:w="587" w:type="pct"/>
          </w:tcPr>
          <w:p w14:paraId="063E84E2" w14:textId="7FFD4CE0">
            <w:pPr>
              <w:spacing w:before="0" w:after="0" w:line="240" w:lineRule="auto"/>
              <w:ind w:firstLine="0"/>
              <w:jc w:val="center"/>
            </w:pPr>
            <w:r>
              <w:rPr>
                <w:rFonts w:ascii="Times New Roman" w:hAnsi="Times New Roman" w:eastAsia="Times New Roman"/>
                <w:sz w:val="20"/>
              </w:rPr>
              <w:t>HR 0.948</w:t>
            </w:r>
          </w:p>
        </w:tc>
        <w:tc>
          <w:tcPr>
            <w:tcW w:w="0" w:type="auto"/>
          </w:tcPr>
          <w:p w14:paraId="277C855B" w14:textId="7FFD5075">
            <w:pPr>
              <w:spacing w:before="0" w:after="0" w:line="240" w:lineRule="auto"/>
              <w:ind w:firstLine="0"/>
              <w:jc w:val="center"/>
            </w:pPr>
            <w:r>
              <w:rPr>
                <w:rFonts w:ascii="Times New Roman" w:hAnsi="Times New Roman" w:eastAsia="Times New Roman"/>
                <w:sz w:val="20"/>
              </w:rPr>
              <w:t xml:space="preserve">0.839–1.072</w:t>
            </w:r>
          </w:p>
        </w:tc>
        <w:tc>
          <w:tcPr>
            <w:tcW w:w="0" w:type="auto"/>
          </w:tcPr>
          <w:p w14:paraId="6F14B0D3" w14:textId="7FFD4CE2">
            <w:pPr>
              <w:spacing w:before="0" w:after="0" w:line="240" w:lineRule="auto"/>
              <w:ind w:firstLine="0"/>
              <w:jc w:val="center"/>
            </w:pPr>
            <w:r>
              <w:rPr>
                <w:rFonts w:ascii="Times New Roman" w:hAnsi="Times New Roman" w:eastAsia="Times New Roman"/>
                <w:sz w:val="20"/>
              </w:rPr>
              <w:t>0.392</w:t>
            </w:r>
          </w:p>
        </w:tc>
        <w:tc>
          <w:tcPr>
            <w:tcW w:w="506" w:type="pct"/>
          </w:tcPr>
          <w:p w14:paraId="07D07469" w14:textId="7FFD4CE3">
            <w:pPr>
              <w:spacing w:before="0" w:after="0" w:line="240" w:lineRule="auto"/>
              <w:ind w:firstLine="0"/>
              <w:jc w:val="center"/>
            </w:pPr>
            <w:r>
              <w:rPr>
                <w:rFonts w:ascii="Times New Roman" w:hAnsi="Times New Roman" w:eastAsia="Times New Roman"/>
                <w:sz w:val="20"/>
              </w:rPr>
              <w:t>0.392</w:t>
            </w:r>
          </w:p>
        </w:tc>
        <w:tc>
          <w:tcPr>
            <w:tcW w:w="667" w:type="pct"/>
          </w:tcPr>
          <w:p w14:paraId="630E86E1" w14:textId="7FFD4CE4">
            <w:pPr>
              <w:spacing w:before="0" w:after="0" w:line="240" w:lineRule="auto"/>
              <w:ind w:firstLine="0"/>
              <w:jc w:val="center"/>
            </w:pPr>
            <w:r>
              <w:rPr>
                <w:rFonts w:ascii="Times New Roman" w:hAnsi="Times New Roman" w:eastAsia="Times New Roman"/>
                <w:sz w:val="20"/>
              </w:rPr>
              <w:t>—</w:t>
            </w:r>
          </w:p>
        </w:tc>
        <w:tc>
          <w:tcPr>
            <w:tcW w:w="0" w:type="auto"/>
          </w:tcPr>
          <w:p w14:paraId="3F59626B" w14:textId="7FFD4CE5">
            <w:pPr>
              <w:spacing w:before="0" w:after="0" w:line="240" w:lineRule="auto"/>
              <w:ind w:firstLine="0"/>
              <w:jc w:val="center"/>
            </w:pPr>
            <w:r>
              <w:rPr>
                <w:rFonts w:ascii="Times New Roman" w:hAnsi="Times New Roman" w:eastAsia="Times New Roman"/>
                <w:sz w:val="20"/>
              </w:rPr>
              <w:t>—</w:t>
            </w:r>
          </w:p>
        </w:tc>
      </w:tr>
      <w:tr w14:paraId="4FBC866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182A133D" w14:textId="7FFD4F41">
            <w:pPr>
              <w:spacing w:before="0" w:after="0" w:line="240" w:lineRule="auto"/>
              <w:ind w:firstLine="0"/>
            </w:pPr>
            <w:r>
              <w:rPr>
                <w:rFonts w:ascii="Times New Roman" w:hAnsi="Times New Roman" w:eastAsia="Times New Roman"/>
                <w:sz w:val="20"/>
              </w:rPr>
              <w:t xml:space="preserve">Multiple imputation</w:t>
            </w:r>
          </w:p>
        </w:tc>
        <w:tc>
          <w:tcPr>
            <w:tcW w:w="796" w:type="pct"/>
          </w:tcPr>
          <w:p w14:paraId="2130C7C8" w14:textId="7FFD5053">
            <w:pPr>
              <w:spacing w:before="0" w:after="0" w:line="240" w:lineRule="auto"/>
              <w:ind w:firstLine="0"/>
              <w:jc w:val="center"/>
            </w:pPr>
            <w:r>
              <w:rPr>
                <w:rFonts w:ascii="Times New Roman" w:hAnsi="Times New Roman" w:eastAsia="Times New Roman"/>
                <w:sz w:val="20"/>
              </w:rPr>
              <w:t xml:space="preserve">CKM stage 4</w:t>
            </w:r>
          </w:p>
        </w:tc>
        <w:tc>
          <w:tcPr>
            <w:tcW w:w="587" w:type="pct"/>
          </w:tcPr>
          <w:p w14:paraId="676CF51B" w14:textId="7FFD4CE8">
            <w:pPr>
              <w:spacing w:before="0" w:after="0" w:line="240" w:lineRule="auto"/>
              <w:ind w:firstLine="0"/>
              <w:jc w:val="center"/>
            </w:pPr>
            <w:r>
              <w:rPr>
                <w:rFonts w:ascii="Times New Roman" w:hAnsi="Times New Roman" w:eastAsia="Times New Roman"/>
                <w:sz w:val="20"/>
              </w:rPr>
              <w:t>HR 0.827</w:t>
            </w:r>
          </w:p>
        </w:tc>
        <w:tc>
          <w:tcPr>
            <w:tcW w:w="0" w:type="auto"/>
          </w:tcPr>
          <w:p w14:paraId="5A040884" w14:textId="7FFD5076">
            <w:pPr>
              <w:spacing w:before="0" w:after="0" w:line="240" w:lineRule="auto"/>
              <w:ind w:firstLine="0"/>
              <w:jc w:val="center"/>
            </w:pPr>
            <w:r>
              <w:rPr>
                <w:rFonts w:ascii="Times New Roman" w:hAnsi="Times New Roman" w:eastAsia="Times New Roman"/>
                <w:sz w:val="20"/>
              </w:rPr>
              <w:t xml:space="preserve">0.785–0.871</w:t>
            </w:r>
          </w:p>
        </w:tc>
        <w:tc>
          <w:tcPr>
            <w:tcW w:w="0" w:type="auto"/>
          </w:tcPr>
          <w:p w14:paraId="67C78585" w14:textId="7FFD4CEA">
            <w:pPr>
              <w:spacing w:before="0" w:after="0" w:line="240" w:lineRule="auto"/>
              <w:ind w:firstLine="0"/>
              <w:jc w:val="center"/>
            </w:pPr>
            <w:r>
              <w:rPr>
                <w:rFonts w:ascii="Times New Roman" w:hAnsi="Times New Roman" w:eastAsia="Times New Roman"/>
                <w:sz w:val="20"/>
              </w:rPr>
              <w:t>&lt;0.001</w:t>
            </w:r>
          </w:p>
        </w:tc>
        <w:tc>
          <w:tcPr>
            <w:tcW w:w="506" w:type="pct"/>
          </w:tcPr>
          <w:p w14:paraId="6C5A29CA" w14:textId="7FFD4CEB">
            <w:pPr>
              <w:spacing w:before="0" w:after="0" w:line="240" w:lineRule="auto"/>
              <w:ind w:firstLine="0"/>
              <w:jc w:val="center"/>
            </w:pPr>
            <w:r>
              <w:rPr>
                <w:rFonts w:ascii="Times New Roman" w:hAnsi="Times New Roman" w:eastAsia="Times New Roman"/>
                <w:sz w:val="20"/>
              </w:rPr>
              <w:t>&lt;0.001</w:t>
            </w:r>
          </w:p>
        </w:tc>
        <w:tc>
          <w:tcPr>
            <w:tcW w:w="667" w:type="pct"/>
          </w:tcPr>
          <w:p w14:paraId="5A02087E" w14:textId="7FFD4CEC">
            <w:pPr>
              <w:spacing w:before="0" w:after="0" w:line="240" w:lineRule="auto"/>
              <w:ind w:firstLine="0"/>
              <w:jc w:val="center"/>
            </w:pPr>
            <w:r>
              <w:rPr>
                <w:rFonts w:ascii="Times New Roman" w:hAnsi="Times New Roman" w:eastAsia="Times New Roman"/>
                <w:sz w:val="20"/>
              </w:rPr>
              <w:t>—</w:t>
            </w:r>
          </w:p>
        </w:tc>
        <w:tc>
          <w:tcPr>
            <w:tcW w:w="0" w:type="auto"/>
          </w:tcPr>
          <w:p w14:paraId="1B0CA903" w14:textId="7FFD4CED">
            <w:pPr>
              <w:spacing w:before="0" w:after="0" w:line="240" w:lineRule="auto"/>
              <w:ind w:firstLine="0"/>
              <w:jc w:val="center"/>
            </w:pPr>
            <w:r>
              <w:rPr>
                <w:rFonts w:ascii="Times New Roman" w:hAnsi="Times New Roman" w:eastAsia="Times New Roman"/>
                <w:sz w:val="20"/>
              </w:rPr>
              <w:t>—</w:t>
            </w:r>
          </w:p>
        </w:tc>
      </w:tr>
      <w:tr w14:paraId="5AC975A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0E7CB446" w14:textId="7FFD4F42">
            <w:pPr>
              <w:spacing w:before="0" w:after="0" w:line="240" w:lineRule="auto"/>
              <w:ind w:firstLine="0"/>
            </w:pPr>
            <w:r>
              <w:rPr>
                <w:rFonts w:ascii="Times New Roman" w:hAnsi="Times New Roman" w:eastAsia="Times New Roman"/>
                <w:sz w:val="20"/>
              </w:rPr>
              <w:t xml:space="preserve">Inverse-probability missingness weighting</w:t>
            </w:r>
          </w:p>
        </w:tc>
        <w:tc>
          <w:tcPr>
            <w:tcW w:w="796" w:type="pct"/>
          </w:tcPr>
          <w:p w14:paraId="611CA444" w14:textId="7FFD5037">
            <w:pPr>
              <w:spacing w:before="0" w:after="0" w:line="240" w:lineRule="auto"/>
              <w:ind w:firstLine="0"/>
              <w:jc w:val="center"/>
            </w:pPr>
            <w:r>
              <w:rPr>
                <w:rFonts w:ascii="Times New Roman" w:hAnsi="Times New Roman" w:eastAsia="Times New Roman"/>
                <w:sz w:val="20"/>
              </w:rPr>
              <w:t xml:space="preserve">CKM stages 0–2</w:t>
            </w:r>
          </w:p>
        </w:tc>
        <w:tc>
          <w:tcPr>
            <w:tcW w:w="587" w:type="pct"/>
          </w:tcPr>
          <w:p w14:paraId="22D69F72" w14:textId="7FFD4CF0">
            <w:pPr>
              <w:spacing w:before="0" w:after="0" w:line="240" w:lineRule="auto"/>
              <w:ind w:firstLine="0"/>
              <w:jc w:val="center"/>
            </w:pPr>
            <w:r>
              <w:rPr>
                <w:rFonts w:ascii="Times New Roman" w:hAnsi="Times New Roman" w:eastAsia="Times New Roman"/>
                <w:sz w:val="20"/>
              </w:rPr>
              <w:t>HR 0.807</w:t>
            </w:r>
          </w:p>
        </w:tc>
        <w:tc>
          <w:tcPr>
            <w:tcW w:w="0" w:type="auto"/>
          </w:tcPr>
          <w:p w14:paraId="1EAF8A9E" w14:textId="7FFD5077">
            <w:pPr>
              <w:spacing w:before="0" w:after="0" w:line="240" w:lineRule="auto"/>
              <w:ind w:firstLine="0"/>
              <w:jc w:val="center"/>
            </w:pPr>
            <w:r>
              <w:rPr>
                <w:rFonts w:ascii="Times New Roman" w:hAnsi="Times New Roman" w:eastAsia="Times New Roman"/>
                <w:sz w:val="20"/>
              </w:rPr>
              <w:t xml:space="preserve">0.725–0.898</w:t>
            </w:r>
          </w:p>
        </w:tc>
        <w:tc>
          <w:tcPr>
            <w:tcW w:w="0" w:type="auto"/>
          </w:tcPr>
          <w:p w14:paraId="4F659DB3" w14:textId="7FFD4CF2">
            <w:pPr>
              <w:spacing w:before="0" w:after="0" w:line="240" w:lineRule="auto"/>
              <w:ind w:firstLine="0"/>
              <w:jc w:val="center"/>
            </w:pPr>
            <w:r>
              <w:rPr>
                <w:rFonts w:ascii="Times New Roman" w:hAnsi="Times New Roman" w:eastAsia="Times New Roman"/>
                <w:sz w:val="20"/>
              </w:rPr>
              <w:t>&lt;0.001</w:t>
            </w:r>
          </w:p>
        </w:tc>
        <w:tc>
          <w:tcPr>
            <w:tcW w:w="506" w:type="pct"/>
          </w:tcPr>
          <w:p w14:paraId="085FAEC0" w14:textId="7FFD4CF3">
            <w:pPr>
              <w:spacing w:before="0" w:after="0" w:line="240" w:lineRule="auto"/>
              <w:ind w:firstLine="0"/>
              <w:jc w:val="center"/>
            </w:pPr>
            <w:r>
              <w:rPr>
                <w:rFonts w:ascii="Times New Roman" w:hAnsi="Times New Roman" w:eastAsia="Times New Roman"/>
                <w:sz w:val="20"/>
              </w:rPr>
              <w:t>&lt;0.001</w:t>
            </w:r>
          </w:p>
        </w:tc>
        <w:tc>
          <w:tcPr>
            <w:tcW w:w="667" w:type="pct"/>
          </w:tcPr>
          <w:p w14:paraId="59BFC39B" w14:textId="7FFD4CF4">
            <w:pPr>
              <w:spacing w:before="0" w:after="0" w:line="240" w:lineRule="auto"/>
              <w:ind w:firstLine="0"/>
              <w:jc w:val="center"/>
            </w:pPr>
            <w:r>
              <w:rPr>
                <w:rFonts w:ascii="Times New Roman" w:hAnsi="Times New Roman" w:eastAsia="Times New Roman"/>
                <w:sz w:val="20"/>
              </w:rPr>
              <w:t>—</w:t>
            </w:r>
          </w:p>
        </w:tc>
        <w:tc>
          <w:tcPr>
            <w:tcW w:w="0" w:type="auto"/>
          </w:tcPr>
          <w:p w14:paraId="2CBFF291" w14:textId="7FFD4CF5">
            <w:pPr>
              <w:spacing w:before="0" w:after="0" w:line="240" w:lineRule="auto"/>
              <w:ind w:firstLine="0"/>
              <w:jc w:val="center"/>
            </w:pPr>
            <w:r>
              <w:rPr>
                <w:rFonts w:ascii="Times New Roman" w:hAnsi="Times New Roman" w:eastAsia="Times New Roman"/>
                <w:sz w:val="20"/>
              </w:rPr>
              <w:t>—</w:t>
            </w:r>
          </w:p>
        </w:tc>
      </w:tr>
      <w:tr w14:paraId="5012DB0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7DB42EE2" w14:textId="7FFD4F43">
            <w:pPr>
              <w:spacing w:before="0" w:after="0" w:line="240" w:lineRule="auto"/>
              <w:ind w:firstLine="0"/>
            </w:pPr>
            <w:r>
              <w:rPr>
                <w:rFonts w:ascii="Times New Roman" w:hAnsi="Times New Roman" w:eastAsia="Times New Roman"/>
                <w:sz w:val="20"/>
              </w:rPr>
              <w:t xml:space="preserve">Inverse-probability missingness weighting</w:t>
            </w:r>
          </w:p>
        </w:tc>
        <w:tc>
          <w:tcPr>
            <w:tcW w:w="796" w:type="pct"/>
          </w:tcPr>
          <w:p w14:paraId="0477876C" w14:textId="7FFD5045">
            <w:pPr>
              <w:spacing w:before="0" w:after="0" w:line="240" w:lineRule="auto"/>
              <w:ind w:firstLine="0"/>
              <w:jc w:val="center"/>
            </w:pPr>
            <w:r>
              <w:rPr>
                <w:rFonts w:ascii="Times New Roman" w:hAnsi="Times New Roman" w:eastAsia="Times New Roman"/>
                <w:sz w:val="20"/>
              </w:rPr>
              <w:t xml:space="preserve">CKM stage 3</w:t>
            </w:r>
          </w:p>
        </w:tc>
        <w:tc>
          <w:tcPr>
            <w:tcW w:w="587" w:type="pct"/>
          </w:tcPr>
          <w:p w14:paraId="7892DC53" w14:textId="7FFD4CF8">
            <w:pPr>
              <w:spacing w:before="0" w:after="0" w:line="240" w:lineRule="auto"/>
              <w:ind w:firstLine="0"/>
              <w:jc w:val="center"/>
            </w:pPr>
            <w:r>
              <w:rPr>
                <w:rFonts w:ascii="Times New Roman" w:hAnsi="Times New Roman" w:eastAsia="Times New Roman"/>
                <w:sz w:val="20"/>
              </w:rPr>
              <w:t>HR 0.952</w:t>
            </w:r>
          </w:p>
        </w:tc>
        <w:tc>
          <w:tcPr>
            <w:tcW w:w="0" w:type="auto"/>
          </w:tcPr>
          <w:p w14:paraId="351B4ECB" w14:textId="7FFD5078">
            <w:pPr>
              <w:spacing w:before="0" w:after="0" w:line="240" w:lineRule="auto"/>
              <w:ind w:firstLine="0"/>
              <w:jc w:val="center"/>
            </w:pPr>
            <w:r>
              <w:rPr>
                <w:rFonts w:ascii="Times New Roman" w:hAnsi="Times New Roman" w:eastAsia="Times New Roman"/>
                <w:sz w:val="20"/>
              </w:rPr>
              <w:t xml:space="preserve">0.837–1.084</w:t>
            </w:r>
          </w:p>
        </w:tc>
        <w:tc>
          <w:tcPr>
            <w:tcW w:w="0" w:type="auto"/>
          </w:tcPr>
          <w:p w14:paraId="73AA9823" w14:textId="7FFD4CFA">
            <w:pPr>
              <w:spacing w:before="0" w:after="0" w:line="240" w:lineRule="auto"/>
              <w:ind w:firstLine="0"/>
              <w:jc w:val="center"/>
            </w:pPr>
            <w:r>
              <w:rPr>
                <w:rFonts w:ascii="Times New Roman" w:hAnsi="Times New Roman" w:eastAsia="Times New Roman"/>
                <w:sz w:val="20"/>
              </w:rPr>
              <w:t>0.460</w:t>
            </w:r>
          </w:p>
        </w:tc>
        <w:tc>
          <w:tcPr>
            <w:tcW w:w="506" w:type="pct"/>
          </w:tcPr>
          <w:p w14:paraId="729B611C" w14:textId="7FFD4CFB">
            <w:pPr>
              <w:spacing w:before="0" w:after="0" w:line="240" w:lineRule="auto"/>
              <w:ind w:firstLine="0"/>
              <w:jc w:val="center"/>
            </w:pPr>
            <w:r>
              <w:rPr>
                <w:rFonts w:ascii="Times New Roman" w:hAnsi="Times New Roman" w:eastAsia="Times New Roman"/>
                <w:sz w:val="20"/>
              </w:rPr>
              <w:t>0.460</w:t>
            </w:r>
          </w:p>
        </w:tc>
        <w:tc>
          <w:tcPr>
            <w:tcW w:w="667" w:type="pct"/>
          </w:tcPr>
          <w:p w14:paraId="4DE96CAD" w14:textId="7FFD4CFC">
            <w:pPr>
              <w:spacing w:before="0" w:after="0" w:line="240" w:lineRule="auto"/>
              <w:ind w:firstLine="0"/>
              <w:jc w:val="center"/>
            </w:pPr>
            <w:r>
              <w:rPr>
                <w:rFonts w:ascii="Times New Roman" w:hAnsi="Times New Roman" w:eastAsia="Times New Roman"/>
                <w:sz w:val="20"/>
              </w:rPr>
              <w:t>—</w:t>
            </w:r>
          </w:p>
        </w:tc>
        <w:tc>
          <w:tcPr>
            <w:tcW w:w="0" w:type="auto"/>
          </w:tcPr>
          <w:p w14:paraId="0EFB0C48" w14:textId="7FFD4CFD">
            <w:pPr>
              <w:spacing w:before="0" w:after="0" w:line="240" w:lineRule="auto"/>
              <w:ind w:firstLine="0"/>
              <w:jc w:val="center"/>
            </w:pPr>
            <w:r>
              <w:rPr>
                <w:rFonts w:ascii="Times New Roman" w:hAnsi="Times New Roman" w:eastAsia="Times New Roman"/>
                <w:sz w:val="20"/>
              </w:rPr>
              <w:t>—</w:t>
            </w:r>
          </w:p>
        </w:tc>
      </w:tr>
      <w:tr w14:paraId="4750F5C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7E6A8B10" w14:textId="7FFD4F44">
            <w:pPr>
              <w:spacing w:before="0" w:after="0" w:line="240" w:lineRule="auto"/>
              <w:ind w:firstLine="0"/>
            </w:pPr>
            <w:r>
              <w:rPr>
                <w:rFonts w:ascii="Times New Roman" w:hAnsi="Times New Roman" w:eastAsia="Times New Roman"/>
                <w:sz w:val="20"/>
              </w:rPr>
              <w:t xml:space="preserve">Inverse-probability missingness weighting</w:t>
            </w:r>
          </w:p>
        </w:tc>
        <w:tc>
          <w:tcPr>
            <w:tcW w:w="796" w:type="pct"/>
          </w:tcPr>
          <w:p w14:paraId="5865E2FE" w14:textId="7FFD5054">
            <w:pPr>
              <w:spacing w:before="0" w:after="0" w:line="240" w:lineRule="auto"/>
              <w:ind w:firstLine="0"/>
              <w:jc w:val="center"/>
            </w:pPr>
            <w:r>
              <w:rPr>
                <w:rFonts w:ascii="Times New Roman" w:hAnsi="Times New Roman" w:eastAsia="Times New Roman"/>
                <w:sz w:val="20"/>
              </w:rPr>
              <w:t xml:space="preserve">CKM stage 4</w:t>
            </w:r>
          </w:p>
        </w:tc>
        <w:tc>
          <w:tcPr>
            <w:tcW w:w="587" w:type="pct"/>
          </w:tcPr>
          <w:p w14:paraId="57C1FF9E" w14:textId="7FFD4D00">
            <w:pPr>
              <w:spacing w:before="0" w:after="0" w:line="240" w:lineRule="auto"/>
              <w:ind w:firstLine="0"/>
              <w:jc w:val="center"/>
            </w:pPr>
            <w:r>
              <w:rPr>
                <w:rFonts w:ascii="Times New Roman" w:hAnsi="Times New Roman" w:eastAsia="Times New Roman"/>
                <w:sz w:val="20"/>
              </w:rPr>
              <w:t>HR 0.830</w:t>
            </w:r>
          </w:p>
        </w:tc>
        <w:tc>
          <w:tcPr>
            <w:tcW w:w="0" w:type="auto"/>
          </w:tcPr>
          <w:p w14:paraId="487825F7" w14:textId="7FFD5079">
            <w:pPr>
              <w:spacing w:before="0" w:after="0" w:line="240" w:lineRule="auto"/>
              <w:ind w:firstLine="0"/>
              <w:jc w:val="center"/>
            </w:pPr>
            <w:r>
              <w:rPr>
                <w:rFonts w:ascii="Times New Roman" w:hAnsi="Times New Roman" w:eastAsia="Times New Roman"/>
                <w:sz w:val="20"/>
              </w:rPr>
              <w:t xml:space="preserve">0.787–0.876</w:t>
            </w:r>
          </w:p>
        </w:tc>
        <w:tc>
          <w:tcPr>
            <w:tcW w:w="0" w:type="auto"/>
          </w:tcPr>
          <w:p w14:paraId="44555F34" w14:textId="7FFD4D02">
            <w:pPr>
              <w:spacing w:before="0" w:after="0" w:line="240" w:lineRule="auto"/>
              <w:ind w:firstLine="0"/>
              <w:jc w:val="center"/>
            </w:pPr>
            <w:r>
              <w:rPr>
                <w:rFonts w:ascii="Times New Roman" w:hAnsi="Times New Roman" w:eastAsia="Times New Roman"/>
                <w:sz w:val="20"/>
              </w:rPr>
              <w:t>&lt;0.001</w:t>
            </w:r>
          </w:p>
        </w:tc>
        <w:tc>
          <w:tcPr>
            <w:tcW w:w="506" w:type="pct"/>
          </w:tcPr>
          <w:p w14:paraId="1A322C01" w14:textId="7FFD4D03">
            <w:pPr>
              <w:spacing w:before="0" w:after="0" w:line="240" w:lineRule="auto"/>
              <w:ind w:firstLine="0"/>
              <w:jc w:val="center"/>
            </w:pPr>
            <w:r>
              <w:rPr>
                <w:rFonts w:ascii="Times New Roman" w:hAnsi="Times New Roman" w:eastAsia="Times New Roman"/>
                <w:sz w:val="20"/>
              </w:rPr>
              <w:t>&lt;0.001</w:t>
            </w:r>
          </w:p>
        </w:tc>
        <w:tc>
          <w:tcPr>
            <w:tcW w:w="667" w:type="pct"/>
          </w:tcPr>
          <w:p w14:paraId="11CEDB3D" w14:textId="7FFD4D04">
            <w:pPr>
              <w:spacing w:before="0" w:after="0" w:line="240" w:lineRule="auto"/>
              <w:ind w:firstLine="0"/>
              <w:jc w:val="center"/>
            </w:pPr>
            <w:r>
              <w:rPr>
                <w:rFonts w:ascii="Times New Roman" w:hAnsi="Times New Roman" w:eastAsia="Times New Roman"/>
                <w:sz w:val="20"/>
              </w:rPr>
              <w:t>—</w:t>
            </w:r>
          </w:p>
        </w:tc>
        <w:tc>
          <w:tcPr>
            <w:tcW w:w="0" w:type="auto"/>
          </w:tcPr>
          <w:p w14:paraId="47BD6177" w14:textId="7FFD4D05">
            <w:pPr>
              <w:spacing w:before="0" w:after="0" w:line="240" w:lineRule="auto"/>
              <w:ind w:firstLine="0"/>
              <w:jc w:val="center"/>
            </w:pPr>
            <w:r>
              <w:rPr>
                <w:rFonts w:ascii="Times New Roman" w:hAnsi="Times New Roman" w:eastAsia="Times New Roman"/>
                <w:sz w:val="20"/>
              </w:rPr>
              <w:t>—</w:t>
            </w:r>
          </w:p>
        </w:tc>
      </w:tr>
      <w:tr w14:paraId="15EA0D6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07F2EF67" w14:textId="7FFD4F45">
            <w:pPr>
              <w:spacing w:before="0" w:after="0" w:line="240" w:lineRule="auto"/>
              <w:ind w:firstLine="0"/>
            </w:pPr>
            <w:r>
              <w:rPr>
                <w:rFonts w:ascii="Times New Roman" w:hAnsi="Times New Roman" w:eastAsia="Times New Roman"/>
                <w:sz w:val="20"/>
              </w:rPr>
              <w:t xml:space="preserve">Missing-not-at-random (MNAR) δ stress test</w:t>
            </w:r>
          </w:p>
        </w:tc>
        <w:tc>
          <w:tcPr>
            <w:tcW w:w="796" w:type="pct"/>
          </w:tcPr>
          <w:p w14:paraId="0DD6F6CC" w14:textId="7FFD5038">
            <w:pPr>
              <w:spacing w:before="0" w:after="0" w:line="240" w:lineRule="auto"/>
              <w:ind w:firstLine="0"/>
              <w:jc w:val="center"/>
            </w:pPr>
            <w:r>
              <w:rPr>
                <w:rFonts w:ascii="Times New Roman" w:hAnsi="Times New Roman" w:eastAsia="Times New Roman"/>
                <w:sz w:val="20"/>
              </w:rPr>
              <w:t xml:space="preserve">CKM stages 0–2</w:t>
            </w:r>
          </w:p>
        </w:tc>
        <w:tc>
          <w:tcPr>
            <w:tcW w:w="587" w:type="pct"/>
          </w:tcPr>
          <w:p w14:paraId="0AC6A251" w14:textId="7FFD4D08">
            <w:pPr>
              <w:spacing w:before="0" w:after="0" w:line="240" w:lineRule="auto"/>
              <w:ind w:firstLine="0"/>
              <w:jc w:val="center"/>
            </w:pPr>
            <w:r>
              <w:rPr>
                <w:rFonts w:ascii="Times New Roman" w:hAnsi="Times New Roman" w:eastAsia="Times New Roman"/>
                <w:sz w:val="20"/>
              </w:rPr>
              <w:t>HR 0.801</w:t>
            </w:r>
          </w:p>
        </w:tc>
        <w:tc>
          <w:tcPr>
            <w:tcW w:w="0" w:type="auto"/>
          </w:tcPr>
          <w:p w14:paraId="014DA55E" w14:textId="7FFD507A">
            <w:pPr>
              <w:spacing w:before="0" w:after="0" w:line="240" w:lineRule="auto"/>
              <w:ind w:firstLine="0"/>
              <w:jc w:val="center"/>
            </w:pPr>
            <w:r>
              <w:rPr>
                <w:rFonts w:ascii="Times New Roman" w:hAnsi="Times New Roman" w:eastAsia="Times New Roman"/>
                <w:sz w:val="20"/>
              </w:rPr>
              <w:t xml:space="preserve">0.719–0.892</w:t>
            </w:r>
          </w:p>
        </w:tc>
        <w:tc>
          <w:tcPr>
            <w:tcW w:w="0" w:type="auto"/>
          </w:tcPr>
          <w:p w14:paraId="1ACDB382" w14:textId="7FFD4D0A">
            <w:pPr>
              <w:spacing w:before="0" w:after="0" w:line="240" w:lineRule="auto"/>
              <w:ind w:firstLine="0"/>
              <w:jc w:val="center"/>
            </w:pPr>
            <w:r>
              <w:rPr>
                <w:rFonts w:ascii="Times New Roman" w:hAnsi="Times New Roman" w:eastAsia="Times New Roman"/>
                <w:sz w:val="20"/>
              </w:rPr>
              <w:t>&lt;0.001</w:t>
            </w:r>
          </w:p>
        </w:tc>
        <w:tc>
          <w:tcPr>
            <w:tcW w:w="506" w:type="pct"/>
          </w:tcPr>
          <w:p w14:paraId="606C4A15" w14:textId="7FFD4D0B">
            <w:pPr>
              <w:spacing w:before="0" w:after="0" w:line="240" w:lineRule="auto"/>
              <w:ind w:firstLine="0"/>
              <w:jc w:val="center"/>
            </w:pPr>
            <w:r>
              <w:rPr>
                <w:rFonts w:ascii="Times New Roman" w:hAnsi="Times New Roman" w:eastAsia="Times New Roman"/>
                <w:sz w:val="20"/>
              </w:rPr>
              <w:t>&lt;0.001</w:t>
            </w:r>
          </w:p>
        </w:tc>
        <w:tc>
          <w:tcPr>
            <w:tcW w:w="667" w:type="pct"/>
          </w:tcPr>
          <w:p w14:paraId="3562F463" w14:textId="7FFD4D0C">
            <w:pPr>
              <w:spacing w:before="0" w:after="0" w:line="240" w:lineRule="auto"/>
              <w:ind w:firstLine="0"/>
              <w:jc w:val="center"/>
            </w:pPr>
            <w:r>
              <w:rPr>
                <w:rFonts w:ascii="Times New Roman" w:hAnsi="Times New Roman" w:eastAsia="Times New Roman"/>
                <w:sz w:val="20"/>
              </w:rPr>
              <w:t>—</w:t>
            </w:r>
          </w:p>
        </w:tc>
        <w:tc>
          <w:tcPr>
            <w:tcW w:w="0" w:type="auto"/>
          </w:tcPr>
          <w:p w14:paraId="304659A6" w14:textId="7FFD4D0D">
            <w:pPr>
              <w:spacing w:before="0" w:after="0" w:line="240" w:lineRule="auto"/>
              <w:ind w:firstLine="0"/>
              <w:jc w:val="center"/>
            </w:pPr>
            <w:r>
              <w:rPr>
                <w:rFonts w:ascii="Times New Roman" w:hAnsi="Times New Roman" w:eastAsia="Times New Roman"/>
                <w:sz w:val="20"/>
              </w:rPr>
              <w:t>—</w:t>
            </w:r>
          </w:p>
        </w:tc>
      </w:tr>
      <w:tr w14:paraId="296395B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4F11B316" w14:textId="7FFD4F46">
            <w:pPr>
              <w:spacing w:before="0" w:after="0" w:line="240" w:lineRule="auto"/>
              <w:ind w:firstLine="0"/>
            </w:pPr>
            <w:r>
              <w:rPr>
                <w:rFonts w:ascii="Times New Roman" w:hAnsi="Times New Roman" w:eastAsia="Times New Roman"/>
                <w:sz w:val="20"/>
              </w:rPr>
              <w:t xml:space="preserve">Missing-not-at-random (MNAR) δ stress test</w:t>
            </w:r>
          </w:p>
        </w:tc>
        <w:tc>
          <w:tcPr>
            <w:tcW w:w="796" w:type="pct"/>
          </w:tcPr>
          <w:p w14:paraId="75103E70" w14:textId="7FFD5046">
            <w:pPr>
              <w:spacing w:before="0" w:after="0" w:line="240" w:lineRule="auto"/>
              <w:ind w:firstLine="0"/>
              <w:jc w:val="center"/>
            </w:pPr>
            <w:r>
              <w:rPr>
                <w:rFonts w:ascii="Times New Roman" w:hAnsi="Times New Roman" w:eastAsia="Times New Roman"/>
                <w:sz w:val="20"/>
              </w:rPr>
              <w:t xml:space="preserve">CKM stage 3</w:t>
            </w:r>
          </w:p>
        </w:tc>
        <w:tc>
          <w:tcPr>
            <w:tcW w:w="587" w:type="pct"/>
          </w:tcPr>
          <w:p w14:paraId="0B383AAA" w14:textId="7FFD4D10">
            <w:pPr>
              <w:spacing w:before="0" w:after="0" w:line="240" w:lineRule="auto"/>
              <w:ind w:firstLine="0"/>
              <w:jc w:val="center"/>
            </w:pPr>
            <w:r>
              <w:rPr>
                <w:rFonts w:ascii="Times New Roman" w:hAnsi="Times New Roman" w:eastAsia="Times New Roman"/>
                <w:sz w:val="20"/>
              </w:rPr>
              <w:t>HR 0.944</w:t>
            </w:r>
          </w:p>
        </w:tc>
        <w:tc>
          <w:tcPr>
            <w:tcW w:w="0" w:type="auto"/>
          </w:tcPr>
          <w:p w14:paraId="072F357F" w14:textId="7FFD507B">
            <w:pPr>
              <w:spacing w:before="0" w:after="0" w:line="240" w:lineRule="auto"/>
              <w:ind w:firstLine="0"/>
              <w:jc w:val="center"/>
            </w:pPr>
            <w:r>
              <w:rPr>
                <w:rFonts w:ascii="Times New Roman" w:hAnsi="Times New Roman" w:eastAsia="Times New Roman"/>
                <w:sz w:val="20"/>
              </w:rPr>
              <w:t xml:space="preserve">0.835–1.067</w:t>
            </w:r>
          </w:p>
        </w:tc>
        <w:tc>
          <w:tcPr>
            <w:tcW w:w="0" w:type="auto"/>
          </w:tcPr>
          <w:p w14:paraId="39240348" w14:textId="7FFD4D12">
            <w:pPr>
              <w:spacing w:before="0" w:after="0" w:line="240" w:lineRule="auto"/>
              <w:ind w:firstLine="0"/>
              <w:jc w:val="center"/>
            </w:pPr>
            <w:r>
              <w:rPr>
                <w:rFonts w:ascii="Times New Roman" w:hAnsi="Times New Roman" w:eastAsia="Times New Roman"/>
                <w:sz w:val="20"/>
              </w:rPr>
              <w:t>0.357</w:t>
            </w:r>
          </w:p>
        </w:tc>
        <w:tc>
          <w:tcPr>
            <w:tcW w:w="506" w:type="pct"/>
          </w:tcPr>
          <w:p w14:paraId="359EB933" w14:textId="7FFD4D13">
            <w:pPr>
              <w:spacing w:before="0" w:after="0" w:line="240" w:lineRule="auto"/>
              <w:ind w:firstLine="0"/>
              <w:jc w:val="center"/>
            </w:pPr>
            <w:r>
              <w:rPr>
                <w:rFonts w:ascii="Times New Roman" w:hAnsi="Times New Roman" w:eastAsia="Times New Roman"/>
                <w:sz w:val="20"/>
              </w:rPr>
              <w:t>0.357</w:t>
            </w:r>
          </w:p>
        </w:tc>
        <w:tc>
          <w:tcPr>
            <w:tcW w:w="667" w:type="pct"/>
          </w:tcPr>
          <w:p w14:paraId="25339D6A" w14:textId="7FFD4D14">
            <w:pPr>
              <w:spacing w:before="0" w:after="0" w:line="240" w:lineRule="auto"/>
              <w:ind w:firstLine="0"/>
              <w:jc w:val="center"/>
            </w:pPr>
            <w:r>
              <w:rPr>
                <w:rFonts w:ascii="Times New Roman" w:hAnsi="Times New Roman" w:eastAsia="Times New Roman"/>
                <w:sz w:val="20"/>
              </w:rPr>
              <w:t>—</w:t>
            </w:r>
          </w:p>
        </w:tc>
        <w:tc>
          <w:tcPr>
            <w:tcW w:w="0" w:type="auto"/>
          </w:tcPr>
          <w:p w14:paraId="482AB4B6" w14:textId="7FFD4D15">
            <w:pPr>
              <w:spacing w:before="0" w:after="0" w:line="240" w:lineRule="auto"/>
              <w:ind w:firstLine="0"/>
              <w:jc w:val="center"/>
            </w:pPr>
            <w:r>
              <w:rPr>
                <w:rFonts w:ascii="Times New Roman" w:hAnsi="Times New Roman" w:eastAsia="Times New Roman"/>
                <w:sz w:val="20"/>
              </w:rPr>
              <w:t>—</w:t>
            </w:r>
          </w:p>
        </w:tc>
      </w:tr>
      <w:tr w14:paraId="5CD287F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6C736106" w14:textId="7FFD4F47">
            <w:pPr>
              <w:spacing w:before="0" w:after="0" w:line="240" w:lineRule="auto"/>
              <w:ind w:firstLine="0"/>
            </w:pPr>
            <w:r>
              <w:rPr>
                <w:rFonts w:ascii="Times New Roman" w:hAnsi="Times New Roman" w:eastAsia="Times New Roman"/>
                <w:sz w:val="20"/>
              </w:rPr>
              <w:t xml:space="preserve">Missing-not-at-random (MNAR) δ stress test</w:t>
            </w:r>
          </w:p>
        </w:tc>
        <w:tc>
          <w:tcPr>
            <w:tcW w:w="796" w:type="pct"/>
          </w:tcPr>
          <w:p w14:paraId="215E1154" w14:textId="7FFD5055">
            <w:pPr>
              <w:spacing w:before="0" w:after="0" w:line="240" w:lineRule="auto"/>
              <w:ind w:firstLine="0"/>
              <w:jc w:val="center"/>
            </w:pPr>
            <w:r>
              <w:rPr>
                <w:rFonts w:ascii="Times New Roman" w:hAnsi="Times New Roman" w:eastAsia="Times New Roman"/>
                <w:sz w:val="20"/>
              </w:rPr>
              <w:t xml:space="preserve">CKM stage 4</w:t>
            </w:r>
          </w:p>
        </w:tc>
        <w:tc>
          <w:tcPr>
            <w:tcW w:w="587" w:type="pct"/>
          </w:tcPr>
          <w:p w14:paraId="30CB7771" w14:textId="7FFD4D18">
            <w:pPr>
              <w:spacing w:before="0" w:after="0" w:line="240" w:lineRule="auto"/>
              <w:ind w:firstLine="0"/>
              <w:jc w:val="center"/>
            </w:pPr>
            <w:r>
              <w:rPr>
                <w:rFonts w:ascii="Times New Roman" w:hAnsi="Times New Roman" w:eastAsia="Times New Roman"/>
                <w:sz w:val="20"/>
              </w:rPr>
              <w:t>HR 0.824</w:t>
            </w:r>
          </w:p>
        </w:tc>
        <w:tc>
          <w:tcPr>
            <w:tcW w:w="0" w:type="auto"/>
          </w:tcPr>
          <w:p w14:paraId="08B1FF2C" w14:textId="7FFD507C">
            <w:pPr>
              <w:spacing w:before="0" w:after="0" w:line="240" w:lineRule="auto"/>
              <w:ind w:firstLine="0"/>
              <w:jc w:val="center"/>
            </w:pPr>
            <w:r>
              <w:rPr>
                <w:rFonts w:ascii="Times New Roman" w:hAnsi="Times New Roman" w:eastAsia="Times New Roman"/>
                <w:sz w:val="20"/>
              </w:rPr>
              <w:t xml:space="preserve">0.783–0.868</w:t>
            </w:r>
          </w:p>
        </w:tc>
        <w:tc>
          <w:tcPr>
            <w:tcW w:w="0" w:type="auto"/>
          </w:tcPr>
          <w:p w14:paraId="2F96FBA6" w14:textId="7FFD4D1A">
            <w:pPr>
              <w:spacing w:before="0" w:after="0" w:line="240" w:lineRule="auto"/>
              <w:ind w:firstLine="0"/>
              <w:jc w:val="center"/>
            </w:pPr>
            <w:r>
              <w:rPr>
                <w:rFonts w:ascii="Times New Roman" w:hAnsi="Times New Roman" w:eastAsia="Times New Roman"/>
                <w:sz w:val="20"/>
              </w:rPr>
              <w:t>&lt;0.001</w:t>
            </w:r>
          </w:p>
        </w:tc>
        <w:tc>
          <w:tcPr>
            <w:tcW w:w="506" w:type="pct"/>
          </w:tcPr>
          <w:p w14:paraId="4E40DFC7" w14:textId="7FFD4D1B">
            <w:pPr>
              <w:spacing w:before="0" w:after="0" w:line="240" w:lineRule="auto"/>
              <w:ind w:firstLine="0"/>
              <w:jc w:val="center"/>
            </w:pPr>
            <w:r>
              <w:rPr>
                <w:rFonts w:ascii="Times New Roman" w:hAnsi="Times New Roman" w:eastAsia="Times New Roman"/>
                <w:sz w:val="20"/>
              </w:rPr>
              <w:t>&lt;0.001</w:t>
            </w:r>
          </w:p>
        </w:tc>
        <w:tc>
          <w:tcPr>
            <w:tcW w:w="667" w:type="pct"/>
          </w:tcPr>
          <w:p w14:paraId="29D5B248" w14:textId="7FFD4D1C">
            <w:pPr>
              <w:spacing w:before="0" w:after="0" w:line="240" w:lineRule="auto"/>
              <w:ind w:firstLine="0"/>
              <w:jc w:val="center"/>
            </w:pPr>
            <w:r>
              <w:rPr>
                <w:rFonts w:ascii="Times New Roman" w:hAnsi="Times New Roman" w:eastAsia="Times New Roman"/>
                <w:sz w:val="20"/>
              </w:rPr>
              <w:t>—</w:t>
            </w:r>
          </w:p>
        </w:tc>
        <w:tc>
          <w:tcPr>
            <w:tcW w:w="0" w:type="auto"/>
          </w:tcPr>
          <w:p w14:paraId="06253798" w14:textId="7FFD4D1D">
            <w:pPr>
              <w:spacing w:before="0" w:after="0" w:line="240" w:lineRule="auto"/>
              <w:ind w:firstLine="0"/>
              <w:jc w:val="center"/>
            </w:pPr>
            <w:r>
              <w:rPr>
                <w:rFonts w:ascii="Times New Roman" w:hAnsi="Times New Roman" w:eastAsia="Times New Roman"/>
                <w:sz w:val="20"/>
              </w:rPr>
              <w:t>—</w:t>
            </w:r>
          </w:p>
        </w:tc>
      </w:tr>
      <w:tr w14:paraId="1A68609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13B75FC9" w14:textId="7FFD4F48">
            <w:pPr>
              <w:spacing w:before="0" w:after="0" w:line="240" w:lineRule="auto"/>
              <w:ind w:firstLine="0"/>
            </w:pPr>
            <w:r>
              <w:rPr>
                <w:rFonts w:ascii="Times New Roman" w:hAnsi="Times New Roman" w:eastAsia="Times New Roman"/>
                <w:sz w:val="20"/>
              </w:rPr>
              <w:t xml:space="preserve">Attained-age time scale</w:t>
            </w:r>
          </w:p>
        </w:tc>
        <w:tc>
          <w:tcPr>
            <w:tcW w:w="796" w:type="pct"/>
          </w:tcPr>
          <w:p w14:paraId="7CE24CF3" w14:textId="7FFD5039">
            <w:pPr>
              <w:spacing w:before="0" w:after="0" w:line="240" w:lineRule="auto"/>
              <w:ind w:firstLine="0"/>
              <w:jc w:val="center"/>
            </w:pPr>
            <w:r>
              <w:rPr>
                <w:rFonts w:ascii="Times New Roman" w:hAnsi="Times New Roman" w:eastAsia="Times New Roman"/>
                <w:sz w:val="20"/>
              </w:rPr>
              <w:t xml:space="preserve">CKM stages 0–2</w:t>
            </w:r>
          </w:p>
        </w:tc>
        <w:tc>
          <w:tcPr>
            <w:tcW w:w="587" w:type="pct"/>
          </w:tcPr>
          <w:p w14:paraId="10AF098E" w14:textId="7FFD4D20">
            <w:pPr>
              <w:spacing w:before="0" w:after="0" w:line="240" w:lineRule="auto"/>
              <w:ind w:firstLine="0"/>
              <w:jc w:val="center"/>
            </w:pPr>
            <w:r>
              <w:rPr>
                <w:rFonts w:ascii="Times New Roman" w:hAnsi="Times New Roman" w:eastAsia="Times New Roman"/>
                <w:sz w:val="20"/>
              </w:rPr>
              <w:t>HR 0.804</w:t>
            </w:r>
          </w:p>
        </w:tc>
        <w:tc>
          <w:tcPr>
            <w:tcW w:w="0" w:type="auto"/>
          </w:tcPr>
          <w:p w14:paraId="260E490E" w14:textId="7FFD507D">
            <w:pPr>
              <w:spacing w:before="0" w:after="0" w:line="240" w:lineRule="auto"/>
              <w:ind w:firstLine="0"/>
              <w:jc w:val="center"/>
            </w:pPr>
            <w:r>
              <w:rPr>
                <w:rFonts w:ascii="Times New Roman" w:hAnsi="Times New Roman" w:eastAsia="Times New Roman"/>
                <w:sz w:val="20"/>
              </w:rPr>
              <w:t xml:space="preserve">0.724–0.894</w:t>
            </w:r>
          </w:p>
        </w:tc>
        <w:tc>
          <w:tcPr>
            <w:tcW w:w="0" w:type="auto"/>
          </w:tcPr>
          <w:p w14:paraId="0D1567F8" w14:textId="7FFD4D22">
            <w:pPr>
              <w:spacing w:before="0" w:after="0" w:line="240" w:lineRule="auto"/>
              <w:ind w:firstLine="0"/>
              <w:jc w:val="center"/>
            </w:pPr>
            <w:r>
              <w:rPr>
                <w:rFonts w:ascii="Times New Roman" w:hAnsi="Times New Roman" w:eastAsia="Times New Roman"/>
                <w:sz w:val="20"/>
              </w:rPr>
              <w:t>&lt;0.001</w:t>
            </w:r>
          </w:p>
        </w:tc>
        <w:tc>
          <w:tcPr>
            <w:tcW w:w="506" w:type="pct"/>
          </w:tcPr>
          <w:p w14:paraId="09424C52" w14:textId="7FFD4D23">
            <w:pPr>
              <w:spacing w:before="0" w:after="0" w:line="240" w:lineRule="auto"/>
              <w:ind w:firstLine="0"/>
              <w:jc w:val="center"/>
            </w:pPr>
            <w:r>
              <w:rPr>
                <w:rFonts w:ascii="Times New Roman" w:hAnsi="Times New Roman" w:eastAsia="Times New Roman"/>
                <w:sz w:val="20"/>
              </w:rPr>
              <w:t>&lt;0.001</w:t>
            </w:r>
          </w:p>
        </w:tc>
        <w:tc>
          <w:tcPr>
            <w:tcW w:w="667" w:type="pct"/>
          </w:tcPr>
          <w:p w14:paraId="4F76943E" w14:textId="7FFD4D24">
            <w:pPr>
              <w:spacing w:before="0" w:after="0" w:line="240" w:lineRule="auto"/>
              <w:ind w:firstLine="0"/>
              <w:jc w:val="center"/>
            </w:pPr>
            <w:r>
              <w:rPr>
                <w:rFonts w:ascii="Times New Roman" w:hAnsi="Times New Roman" w:eastAsia="Times New Roman"/>
                <w:sz w:val="20"/>
              </w:rPr>
              <w:t>—</w:t>
            </w:r>
          </w:p>
        </w:tc>
        <w:tc>
          <w:tcPr>
            <w:tcW w:w="0" w:type="auto"/>
          </w:tcPr>
          <w:p w14:paraId="1322000B" w14:textId="7FFD4D25">
            <w:pPr>
              <w:spacing w:before="0" w:after="0" w:line="240" w:lineRule="auto"/>
              <w:ind w:firstLine="0"/>
              <w:jc w:val="center"/>
            </w:pPr>
            <w:r>
              <w:rPr>
                <w:rFonts w:ascii="Times New Roman" w:hAnsi="Times New Roman" w:eastAsia="Times New Roman"/>
                <w:sz w:val="20"/>
              </w:rPr>
              <w:t>—</w:t>
            </w:r>
          </w:p>
        </w:tc>
      </w:tr>
      <w:tr w14:paraId="3AB5BDE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314E5C58" w14:textId="7FFD4F49">
            <w:pPr>
              <w:spacing w:before="0" w:after="0" w:line="240" w:lineRule="auto"/>
              <w:ind w:firstLine="0"/>
            </w:pPr>
            <w:r>
              <w:rPr>
                <w:rFonts w:ascii="Times New Roman" w:hAnsi="Times New Roman" w:eastAsia="Times New Roman"/>
                <w:sz w:val="20"/>
              </w:rPr>
              <w:t xml:space="preserve">Attained-age time scale</w:t>
            </w:r>
          </w:p>
        </w:tc>
        <w:tc>
          <w:tcPr>
            <w:tcW w:w="796" w:type="pct"/>
          </w:tcPr>
          <w:p w14:paraId="26396D7E" w14:textId="7FFD5047">
            <w:pPr>
              <w:spacing w:before="0" w:after="0" w:line="240" w:lineRule="auto"/>
              <w:ind w:firstLine="0"/>
              <w:jc w:val="center"/>
            </w:pPr>
            <w:r>
              <w:rPr>
                <w:rFonts w:ascii="Times New Roman" w:hAnsi="Times New Roman" w:eastAsia="Times New Roman"/>
                <w:sz w:val="20"/>
              </w:rPr>
              <w:t xml:space="preserve">CKM stage 3</w:t>
            </w:r>
          </w:p>
        </w:tc>
        <w:tc>
          <w:tcPr>
            <w:tcW w:w="587" w:type="pct"/>
          </w:tcPr>
          <w:p w14:paraId="042A463B" w14:textId="7FFD4D28">
            <w:pPr>
              <w:spacing w:before="0" w:after="0" w:line="240" w:lineRule="auto"/>
              <w:ind w:firstLine="0"/>
              <w:jc w:val="center"/>
            </w:pPr>
            <w:r>
              <w:rPr>
                <w:rFonts w:ascii="Times New Roman" w:hAnsi="Times New Roman" w:eastAsia="Times New Roman"/>
                <w:sz w:val="20"/>
              </w:rPr>
              <w:t>HR 0.936</w:t>
            </w:r>
          </w:p>
        </w:tc>
        <w:tc>
          <w:tcPr>
            <w:tcW w:w="0" w:type="auto"/>
          </w:tcPr>
          <w:p w14:paraId="64D4F589" w14:textId="7FFD507E">
            <w:pPr>
              <w:spacing w:before="0" w:after="0" w:line="240" w:lineRule="auto"/>
              <w:ind w:firstLine="0"/>
              <w:jc w:val="center"/>
            </w:pPr>
            <w:r>
              <w:rPr>
                <w:rFonts w:ascii="Times New Roman" w:hAnsi="Times New Roman" w:eastAsia="Times New Roman"/>
                <w:sz w:val="20"/>
              </w:rPr>
              <w:t xml:space="preserve">0.823–1.064</w:t>
            </w:r>
          </w:p>
        </w:tc>
        <w:tc>
          <w:tcPr>
            <w:tcW w:w="0" w:type="auto"/>
          </w:tcPr>
          <w:p w14:paraId="58DC7A23" w14:textId="7FFD4D2A">
            <w:pPr>
              <w:spacing w:before="0" w:after="0" w:line="240" w:lineRule="auto"/>
              <w:ind w:firstLine="0"/>
              <w:jc w:val="center"/>
            </w:pPr>
            <w:r>
              <w:rPr>
                <w:rFonts w:ascii="Times New Roman" w:hAnsi="Times New Roman" w:eastAsia="Times New Roman"/>
                <w:sz w:val="20"/>
              </w:rPr>
              <w:t>0.311</w:t>
            </w:r>
          </w:p>
        </w:tc>
        <w:tc>
          <w:tcPr>
            <w:tcW w:w="506" w:type="pct"/>
          </w:tcPr>
          <w:p w14:paraId="1D4663BD" w14:textId="7FFD4D2B">
            <w:pPr>
              <w:spacing w:before="0" w:after="0" w:line="240" w:lineRule="auto"/>
              <w:ind w:firstLine="0"/>
              <w:jc w:val="center"/>
            </w:pPr>
            <w:r>
              <w:rPr>
                <w:rFonts w:ascii="Times New Roman" w:hAnsi="Times New Roman" w:eastAsia="Times New Roman"/>
                <w:sz w:val="20"/>
              </w:rPr>
              <w:t>0.311</w:t>
            </w:r>
          </w:p>
        </w:tc>
        <w:tc>
          <w:tcPr>
            <w:tcW w:w="667" w:type="pct"/>
          </w:tcPr>
          <w:p w14:paraId="306D0707" w14:textId="7FFD4D2C">
            <w:pPr>
              <w:spacing w:before="0" w:after="0" w:line="240" w:lineRule="auto"/>
              <w:ind w:firstLine="0"/>
              <w:jc w:val="center"/>
            </w:pPr>
            <w:r>
              <w:rPr>
                <w:rFonts w:ascii="Times New Roman" w:hAnsi="Times New Roman" w:eastAsia="Times New Roman"/>
                <w:sz w:val="20"/>
              </w:rPr>
              <w:t>—</w:t>
            </w:r>
          </w:p>
        </w:tc>
        <w:tc>
          <w:tcPr>
            <w:tcW w:w="0" w:type="auto"/>
          </w:tcPr>
          <w:p w14:paraId="61B36850" w14:textId="7FFD4D2D">
            <w:pPr>
              <w:spacing w:before="0" w:after="0" w:line="240" w:lineRule="auto"/>
              <w:ind w:firstLine="0"/>
              <w:jc w:val="center"/>
            </w:pPr>
            <w:r>
              <w:rPr>
                <w:rFonts w:ascii="Times New Roman" w:hAnsi="Times New Roman" w:eastAsia="Times New Roman"/>
                <w:sz w:val="20"/>
              </w:rPr>
              <w:t>—</w:t>
            </w:r>
          </w:p>
        </w:tc>
      </w:tr>
      <w:tr w14:paraId="114BEE8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1003" w:type="pct"/>
          </w:tcPr>
          <w:p w14:paraId="6943E00C" w14:textId="7FFD4F4A">
            <w:pPr>
              <w:spacing w:before="0" w:after="0" w:line="240" w:lineRule="auto"/>
              <w:ind w:firstLine="0"/>
            </w:pPr>
            <w:r>
              <w:rPr>
                <w:rFonts w:ascii="Times New Roman" w:hAnsi="Times New Roman" w:eastAsia="Times New Roman"/>
                <w:sz w:val="20"/>
              </w:rPr>
              <w:t xml:space="preserve">Attained-age time scale</w:t>
            </w:r>
          </w:p>
        </w:tc>
        <w:tc>
          <w:tcPr>
            <w:tcW w:w="796" w:type="pct"/>
          </w:tcPr>
          <w:p w14:paraId="6BF719FA" w14:textId="7FFD5056">
            <w:pPr>
              <w:spacing w:before="0" w:after="0" w:line="240" w:lineRule="auto"/>
              <w:ind w:firstLine="0"/>
              <w:jc w:val="center"/>
            </w:pPr>
            <w:r>
              <w:rPr>
                <w:rFonts w:ascii="Times New Roman" w:hAnsi="Times New Roman" w:eastAsia="Times New Roman"/>
                <w:sz w:val="20"/>
              </w:rPr>
              <w:t xml:space="preserve">CKM stage 4</w:t>
            </w:r>
          </w:p>
        </w:tc>
        <w:tc>
          <w:tcPr>
            <w:tcW w:w="587" w:type="pct"/>
          </w:tcPr>
          <w:p w14:paraId="01AC8210" w14:textId="7FFD4D30">
            <w:pPr>
              <w:spacing w:before="0" w:after="0" w:line="240" w:lineRule="auto"/>
              <w:ind w:firstLine="0"/>
              <w:jc w:val="center"/>
            </w:pPr>
            <w:r>
              <w:rPr>
                <w:rFonts w:ascii="Times New Roman" w:hAnsi="Times New Roman" w:eastAsia="Times New Roman"/>
                <w:sz w:val="20"/>
              </w:rPr>
              <w:t>HR 0.821</w:t>
            </w:r>
          </w:p>
        </w:tc>
        <w:tc>
          <w:tcPr>
            <w:tcW w:w="0" w:type="auto"/>
          </w:tcPr>
          <w:p w14:paraId="5206450D" w14:textId="7FFD507F">
            <w:pPr>
              <w:spacing w:before="0" w:after="0" w:line="240" w:lineRule="auto"/>
              <w:ind w:firstLine="0"/>
              <w:jc w:val="center"/>
            </w:pPr>
            <w:r>
              <w:rPr>
                <w:rFonts w:ascii="Times New Roman" w:hAnsi="Times New Roman" w:eastAsia="Times New Roman"/>
                <w:sz w:val="20"/>
              </w:rPr>
              <w:t xml:space="preserve">0.777–0.867</w:t>
            </w:r>
          </w:p>
        </w:tc>
        <w:tc>
          <w:tcPr>
            <w:tcW w:w="0" w:type="auto"/>
          </w:tcPr>
          <w:p w14:paraId="5593E821" w14:textId="7FFD4D32">
            <w:pPr>
              <w:spacing w:before="0" w:after="0" w:line="240" w:lineRule="auto"/>
              <w:ind w:firstLine="0"/>
              <w:jc w:val="center"/>
            </w:pPr>
            <w:r>
              <w:rPr>
                <w:rFonts w:ascii="Times New Roman" w:hAnsi="Times New Roman" w:eastAsia="Times New Roman"/>
                <w:sz w:val="20"/>
              </w:rPr>
              <w:t>&lt;0.001</w:t>
            </w:r>
          </w:p>
        </w:tc>
        <w:tc>
          <w:tcPr>
            <w:tcW w:w="506" w:type="pct"/>
          </w:tcPr>
          <w:p w14:paraId="263D13C1" w14:textId="7FFD4D33">
            <w:pPr>
              <w:spacing w:before="0" w:after="0" w:line="240" w:lineRule="auto"/>
              <w:ind w:firstLine="0"/>
              <w:jc w:val="center"/>
            </w:pPr>
            <w:r>
              <w:rPr>
                <w:rFonts w:ascii="Times New Roman" w:hAnsi="Times New Roman" w:eastAsia="Times New Roman"/>
                <w:sz w:val="20"/>
              </w:rPr>
              <w:t>&lt;0.001</w:t>
            </w:r>
          </w:p>
        </w:tc>
        <w:tc>
          <w:tcPr>
            <w:tcW w:w="667" w:type="pct"/>
          </w:tcPr>
          <w:p w14:paraId="102B9DD2" w14:textId="7FFD4D34">
            <w:pPr>
              <w:spacing w:before="0" w:after="0" w:line="240" w:lineRule="auto"/>
              <w:ind w:firstLine="0"/>
              <w:jc w:val="center"/>
            </w:pPr>
            <w:r>
              <w:rPr>
                <w:rFonts w:ascii="Times New Roman" w:hAnsi="Times New Roman" w:eastAsia="Times New Roman"/>
                <w:sz w:val="20"/>
              </w:rPr>
              <w:t>—</w:t>
            </w:r>
          </w:p>
        </w:tc>
        <w:tc>
          <w:tcPr>
            <w:tcW w:w="0" w:type="auto"/>
          </w:tcPr>
          <w:p w14:paraId="7452386F" w14:textId="7FFD4D35">
            <w:pPr>
              <w:spacing w:before="0" w:after="0" w:line="240" w:lineRule="auto"/>
              <w:ind w:firstLine="0"/>
              <w:jc w:val="center"/>
            </w:pPr>
            <w:r>
              <w:rPr>
                <w:rFonts w:ascii="Times New Roman" w:hAnsi="Times New Roman" w:eastAsia="Times New Roman"/>
                <w:sz w:val="20"/>
              </w:rPr>
              <w:t>—</w:t>
            </w:r>
          </w:p>
        </w:tc>
      </w:tr>
    </w:tbl>
    <w:p w14:paraId="290AF37C" w14:textId="7FFD4ED8">
      <w:pPr>
        <w:pStyle w:val="15"/>
        <w:widowControl/>
        <w:spacing w:before="60" w:after="120" w:line="240" w:lineRule="auto"/>
        <w:ind w:firstLine="0"/>
        <w:jc w:val="left"/>
      </w:pPr>
      <w:r>
        <w:rPr>
          <w:rFonts w:ascii="Times New Roman" w:hAnsi="Times New Roman" w:eastAsia="Times New Roman"/>
          <w:b/>
          <w:sz w:val="20"/>
        </w:rPr>
        <w:t xml:space="preserve">Note: A result was flagged as sensitive to construct overlap when the relative change in log HR was ≥50% or the direction of effect reversed. Sensitivity analyses do not replace the primary test.</w:t>
      </w:r>
    </w:p>
    <w:p w14:paraId="422A6A86" w14:textId="7FFD50AF">
      <w:pPr>
        <w:pStyle w:val="15"/>
        <w:keepNext/>
        <w:spacing w:before="160" w:after="80" w:line="240" w:lineRule="auto"/>
        <w:ind w:firstLine="0"/>
        <w:jc w:val="left"/>
      </w:pPr>
      <w:r>
        <w:rPr>
          <w:rFonts w:ascii="Times New Roman" w:hAnsi="Times New Roman" w:eastAsia="Times New Roman"/>
          <w:b/>
          <w:sz w:val="20"/>
        </w:rPr>
        <w:t xml:space="preserve">Supplementary Table S4. Missing-data and complete-case selection diagnostics</w:t>
      </w:r>
    </w:p>
    <w:tbl>
      <w:tblPr>
        <w:tblStyle w:val="5"/>
        <w:tblW w:w="5000" w:type="pct"/>
        <w:tblInd w:w="0"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fixed"/>
        <w:tblCellMar>
          <w:top w:w="55" w:type="dxa"/>
          <w:left w:w="55" w:type="dxa"/>
          <w:bottom w:w="55" w:type="dxa"/>
          <w:right w:w="55" w:type="dxa"/>
        </w:tblCellMar>
        <w:tblCaption w:val="Supplementary Table S4. Missing-data and complete-case selection diagnostics"/>
      </w:tblPr>
      <w:tblGrid>
        <w:gridCol w:w="3011"/>
        <w:gridCol w:w="1269"/>
        <w:gridCol w:w="1417"/>
        <w:gridCol w:w="5994"/>
        <w:gridCol w:w="2988"/>
      </w:tblGrid>
      <w:tr w14:paraId="72D7F4B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rPr>
          <w:cantSplit/>
          <w:tblHeader/>
        </w:trPr>
        <w:tc>
          <w:tcPr>
            <w:tcW w:w="1882" w:type="dxa"/>
            <w:tcBorders>
              <w:bottom w:val="single" w:color="000000" w:sz="6" w:space="0"/>
            </w:tcBorders>
            <w:vAlign w:val="center"/>
          </w:tcPr>
          <w:p w14:paraId="704574DD" w14:textId="7FFD4EEE">
            <w:pPr>
              <w:spacing w:before="0" w:after="0" w:line="240" w:lineRule="auto"/>
              <w:ind w:firstLine="0"/>
              <w:jc w:val="center"/>
            </w:pPr>
            <w:r>
              <w:rPr>
                <w:rFonts w:ascii="Times New Roman" w:hAnsi="Times New Roman" w:eastAsia="Times New Roman"/>
                <w:b/>
                <w:sz w:val="20"/>
              </w:rPr>
              <w:t xml:space="preserve">Measure</w:t>
            </w:r>
          </w:p>
        </w:tc>
        <w:tc>
          <w:tcPr>
            <w:tcW w:w="793" w:type="dxa"/>
            <w:tcBorders>
              <w:bottom w:val="single" w:color="000000" w:sz="6" w:space="0"/>
            </w:tcBorders>
            <w:vAlign w:val="center"/>
          </w:tcPr>
          <w:p w14:paraId="33A1287D" w14:textId="7FFD50CC">
            <w:pPr>
              <w:spacing w:before="0" w:after="0" w:line="240" w:lineRule="auto"/>
              <w:ind w:firstLine="0"/>
              <w:jc w:val="center"/>
            </w:pPr>
            <w:r>
              <w:rPr>
                <w:rFonts w:ascii="Times New Roman" w:hAnsi="Times New Roman" w:eastAsia="Times New Roman"/>
                <w:b/>
                <w:sz w:val="20"/>
              </w:rPr>
              <w:t xml:space="preserve">Value</w:t>
            </w:r>
          </w:p>
        </w:tc>
        <w:tc>
          <w:tcPr>
            <w:tcW w:w="885" w:type="dxa"/>
            <w:tcBorders>
              <w:bottom w:val="single" w:color="000000" w:sz="6" w:space="0"/>
            </w:tcBorders>
            <w:vAlign w:val="center"/>
          </w:tcPr>
          <w:p w14:paraId="489B13F5" w14:textId="7FFD4F5C">
            <w:pPr>
              <w:spacing w:before="0" w:after="0" w:line="240" w:lineRule="auto"/>
              <w:ind w:firstLine="0"/>
              <w:jc w:val="center"/>
            </w:pPr>
            <w:r>
              <w:rPr>
                <w:rFonts w:ascii="Times New Roman" w:hAnsi="Times New Roman" w:eastAsia="Times New Roman"/>
                <w:b/>
                <w:sz w:val="20"/>
              </w:rPr>
              <w:t xml:space="preserve">Status</w:t>
            </w:r>
          </w:p>
        </w:tc>
        <w:tc>
          <w:tcPr>
            <w:tcW w:w="3752" w:type="dxa"/>
            <w:tcBorders>
              <w:bottom w:val="single" w:color="000000" w:sz="6" w:space="0"/>
            </w:tcBorders>
            <w:vAlign w:val="center"/>
          </w:tcPr>
          <w:p w14:paraId="005981F6" w14:textId="7FFD4F5E">
            <w:pPr>
              <w:spacing w:before="0" w:after="0" w:line="240" w:lineRule="auto"/>
              <w:ind w:firstLine="0"/>
              <w:jc w:val="center"/>
            </w:pPr>
            <w:r>
              <w:rPr>
                <w:rFonts w:ascii="Times New Roman" w:hAnsi="Times New Roman" w:eastAsia="Times New Roman"/>
                <w:b/>
                <w:sz w:val="20"/>
              </w:rPr>
              <w:t xml:space="preserve">Interpretation</w:t>
            </w:r>
          </w:p>
        </w:tc>
        <w:tc>
          <w:tcPr>
            <w:tcW w:w="1869" w:type="dxa"/>
            <w:tcBorders>
              <w:bottom w:val="single" w:color="000000" w:sz="6" w:space="0"/>
            </w:tcBorders>
            <w:vAlign w:val="center"/>
          </w:tcPr>
          <w:p w14:paraId="04DB79AF" w14:textId="7FFD4F5F">
            <w:pPr>
              <w:spacing w:before="0" w:after="0" w:line="240" w:lineRule="auto"/>
              <w:ind w:firstLine="0"/>
              <w:jc w:val="center"/>
            </w:pPr>
            <w:r>
              <w:rPr>
                <w:rFonts w:ascii="Times New Roman" w:hAnsi="Times New Roman" w:eastAsia="Times New Roman"/>
                <w:b/>
                <w:sz w:val="20"/>
              </w:rPr>
              <w:t xml:space="preserve">Notes</w:t>
            </w:r>
          </w:p>
        </w:tc>
      </w:tr>
      <w:tr w14:paraId="708AD18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1882" w:type="dxa"/>
          </w:tcPr>
          <w:p w14:paraId="61D3AC90" w14:textId="7FFD4F60">
            <w:pPr>
              <w:spacing w:before="0" w:after="0" w:line="240" w:lineRule="auto"/>
              <w:ind w:firstLine="0"/>
            </w:pPr>
            <w:r>
              <w:rPr>
                <w:rFonts w:ascii="Times New Roman" w:hAnsi="Times New Roman" w:eastAsia="Times New Roman"/>
                <w:sz w:val="20"/>
              </w:rPr>
              <w:t xml:space="preserve">Eligible before primary covariate screening</w:t>
            </w:r>
          </w:p>
        </w:tc>
        <w:tc>
          <w:tcPr>
            <w:tcW w:w="793" w:type="dxa"/>
          </w:tcPr>
          <w:p w14:paraId="108FFE16" w14:textId="7FFD4D3E">
            <w:pPr>
              <w:spacing w:before="0" w:after="0" w:line="240" w:lineRule="auto"/>
              <w:ind w:firstLine="0"/>
            </w:pPr>
            <w:r>
              <w:rPr>
                <w:rFonts w:ascii="Times New Roman" w:hAnsi="Times New Roman" w:eastAsia="Times New Roman"/>
                <w:sz w:val="20"/>
              </w:rPr>
              <w:t>6,418</w:t>
            </w:r>
          </w:p>
        </w:tc>
        <w:tc>
          <w:tcPr>
            <w:tcW w:w="885" w:type="dxa"/>
          </w:tcPr>
          <w:p w14:paraId="7F134970" w14:textId="7FFD4F79">
            <w:pPr>
              <w:spacing w:before="0" w:after="0" w:line="240" w:lineRule="auto"/>
              <w:ind w:firstLine="0"/>
            </w:pPr>
            <w:r>
              <w:rPr>
                <w:rFonts w:ascii="Times New Roman" w:hAnsi="Times New Roman" w:eastAsia="Times New Roman"/>
                <w:sz w:val="20"/>
              </w:rPr>
              <w:t xml:space="preserve">Observed</w:t>
            </w:r>
          </w:p>
        </w:tc>
        <w:tc>
          <w:tcPr>
            <w:tcW w:w="3752" w:type="dxa"/>
          </w:tcPr>
          <w:p w14:paraId="21F5376A" w14:textId="7FFD4F61">
            <w:pPr>
              <w:spacing w:before="0" w:after="0" w:line="240" w:lineRule="auto"/>
              <w:ind w:firstLine="0"/>
            </w:pPr>
            <w:r>
              <w:rPr>
                <w:rFonts w:ascii="Times New Roman" w:hAnsi="Times New Roman" w:eastAsia="Times New Roman"/>
                <w:sz w:val="20"/>
              </w:rPr>
              <w:t xml:space="preserve">CKM stage, four behaviors, mortality follow-up, and survey design variables available</w:t>
            </w:r>
          </w:p>
        </w:tc>
        <w:tc>
          <w:tcPr>
            <w:tcW w:w="1869" w:type="dxa"/>
          </w:tcPr>
          <w:p w14:paraId="575B9C5F" w14:textId="7FFD4F62">
            <w:pPr>
              <w:spacing w:before="0" w:after="0" w:line="240" w:lineRule="auto"/>
              <w:ind w:firstLine="0"/>
            </w:pPr>
            <w:r>
              <w:rPr>
                <w:rFonts w:ascii="Times New Roman" w:hAnsi="Times New Roman" w:eastAsia="Times New Roman"/>
                <w:sz w:val="20"/>
              </w:rPr>
              <w:t xml:space="preserve">Entered completeness screening for primary adjustment covariates</w:t>
            </w:r>
          </w:p>
        </w:tc>
      </w:tr>
      <w:tr w14:paraId="382339B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1882" w:type="dxa"/>
          </w:tcPr>
          <w:p w14:paraId="18964E1E" w14:textId="7FFD4F63">
            <w:pPr>
              <w:spacing w:before="0" w:after="0" w:line="240" w:lineRule="auto"/>
              <w:ind w:firstLine="0"/>
            </w:pPr>
            <w:r>
              <w:rPr>
                <w:rFonts w:ascii="Times New Roman" w:hAnsi="Times New Roman" w:eastAsia="Times New Roman"/>
                <w:sz w:val="20"/>
              </w:rPr>
              <w:t xml:space="preserve">Complete cases in the primary analysis</w:t>
            </w:r>
          </w:p>
        </w:tc>
        <w:tc>
          <w:tcPr>
            <w:tcW w:w="793" w:type="dxa"/>
          </w:tcPr>
          <w:p w14:paraId="593F8F6B" w14:textId="7FFD4D43">
            <w:pPr>
              <w:spacing w:before="0" w:after="0" w:line="240" w:lineRule="auto"/>
              <w:ind w:firstLine="0"/>
            </w:pPr>
            <w:r>
              <w:rPr>
                <w:rFonts w:ascii="Times New Roman" w:hAnsi="Times New Roman" w:eastAsia="Times New Roman"/>
                <w:sz w:val="20"/>
              </w:rPr>
              <w:t>5,949</w:t>
            </w:r>
          </w:p>
        </w:tc>
        <w:tc>
          <w:tcPr>
            <w:tcW w:w="885" w:type="dxa"/>
          </w:tcPr>
          <w:p w14:paraId="766DD063" w14:textId="7FFD4F7A">
            <w:pPr>
              <w:spacing w:before="0" w:after="0" w:line="240" w:lineRule="auto"/>
              <w:ind w:firstLine="0"/>
            </w:pPr>
            <w:r>
              <w:rPr>
                <w:rFonts w:ascii="Times New Roman" w:hAnsi="Times New Roman" w:eastAsia="Times New Roman"/>
                <w:sz w:val="20"/>
              </w:rPr>
              <w:t xml:space="preserve">Observed</w:t>
            </w:r>
          </w:p>
        </w:tc>
        <w:tc>
          <w:tcPr>
            <w:tcW w:w="3752" w:type="dxa"/>
          </w:tcPr>
          <w:p w14:paraId="6DE061F8" w14:textId="7FFD4F65">
            <w:pPr>
              <w:spacing w:before="0" w:after="0" w:line="240" w:lineRule="auto"/>
              <w:ind w:firstLine="0"/>
            </w:pPr>
            <w:r>
              <w:rPr>
                <w:rFonts w:ascii="Times New Roman" w:hAnsi="Times New Roman" w:eastAsia="Times New Roman"/>
                <w:sz w:val="20"/>
              </w:rPr>
              <w:t xml:space="preserve">Primary adjustment covariates complete</w:t>
            </w:r>
          </w:p>
        </w:tc>
        <w:tc>
          <w:tcPr>
            <w:tcW w:w="1869" w:type="dxa"/>
          </w:tcPr>
          <w:p w14:paraId="541B589C" w14:textId="7FFD4F66">
            <w:pPr>
              <w:spacing w:before="0" w:after="0" w:line="240" w:lineRule="auto"/>
              <w:ind w:firstLine="0"/>
            </w:pPr>
            <w:r>
              <w:rPr>
                <w:rFonts w:ascii="Times New Roman" w:hAnsi="Times New Roman" w:eastAsia="Times New Roman"/>
                <w:sz w:val="20"/>
              </w:rPr>
              <w:t xml:space="preserve">Primary Cox model sample</w:t>
            </w:r>
          </w:p>
        </w:tc>
      </w:tr>
      <w:tr w14:paraId="0A2755D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1882" w:type="dxa"/>
          </w:tcPr>
          <w:p w14:paraId="3A6990D9" w14:textId="7FFD4F67">
            <w:pPr>
              <w:spacing w:before="0" w:after="0" w:line="240" w:lineRule="auto"/>
              <w:ind w:firstLine="0"/>
            </w:pPr>
            <w:r>
              <w:rPr>
                <w:rFonts w:ascii="Times New Roman" w:hAnsi="Times New Roman" w:eastAsia="Times New Roman"/>
                <w:sz w:val="20"/>
              </w:rPr>
              <w:t xml:space="preserve">Excluded because primary adjustment covariates were missing</w:t>
            </w:r>
          </w:p>
        </w:tc>
        <w:tc>
          <w:tcPr>
            <w:tcW w:w="793" w:type="dxa"/>
          </w:tcPr>
          <w:p w14:paraId="7EE6A23B" w14:textId="7FFD50D3">
            <w:pPr>
              <w:spacing w:before="0" w:after="0" w:line="240" w:lineRule="auto"/>
              <w:ind w:firstLine="0"/>
            </w:pPr>
            <w:r>
              <w:rPr>
                <w:rFonts w:ascii="Times New Roman" w:hAnsi="Times New Roman" w:eastAsia="Times New Roman"/>
                <w:sz w:val="20"/>
              </w:rPr>
              <w:t xml:space="preserve">469 (7.3%)</w:t>
            </w:r>
          </w:p>
        </w:tc>
        <w:tc>
          <w:tcPr>
            <w:tcW w:w="885" w:type="dxa"/>
          </w:tcPr>
          <w:p w14:paraId="70EAA39F" w14:textId="7FFD4F7B">
            <w:pPr>
              <w:spacing w:before="0" w:after="0" w:line="240" w:lineRule="auto"/>
              <w:ind w:firstLine="0"/>
            </w:pPr>
            <w:r>
              <w:rPr>
                <w:rFonts w:ascii="Times New Roman" w:hAnsi="Times New Roman" w:eastAsia="Times New Roman"/>
                <w:sz w:val="20"/>
              </w:rPr>
              <w:t xml:space="preserve">Observed</w:t>
            </w:r>
          </w:p>
        </w:tc>
        <w:tc>
          <w:tcPr>
            <w:tcW w:w="3752" w:type="dxa"/>
          </w:tcPr>
          <w:p w14:paraId="74940411" w14:textId="7FFD4D4A">
            <w:pPr>
              <w:spacing w:before="0" w:after="0" w:line="240" w:lineRule="auto"/>
              <w:ind w:firstLine="0"/>
            </w:pPr>
            <w:r>
              <w:rPr>
                <w:rFonts w:ascii="Times New Roman" w:hAnsi="Times New Roman" w:eastAsia="Times New Roman"/>
                <w:sz w:val="20"/>
              </w:rPr>
              <w:t>6,418−5,949</w:t>
            </w:r>
          </w:p>
        </w:tc>
        <w:tc>
          <w:tcPr>
            <w:tcW w:w="1869" w:type="dxa"/>
          </w:tcPr>
          <w:p w14:paraId="6D6D035F" w14:textId="7FFD4F68">
            <w:pPr>
              <w:spacing w:before="0" w:after="0" w:line="240" w:lineRule="auto"/>
              <w:ind w:firstLine="0"/>
            </w:pPr>
            <w:r>
              <w:rPr>
                <w:rFonts w:ascii="Times New Roman" w:hAnsi="Times New Roman" w:eastAsia="Times New Roman"/>
                <w:sz w:val="20"/>
              </w:rPr>
              <w:t xml:space="preserve">Complete-case selection proportion</w:t>
            </w:r>
          </w:p>
        </w:tc>
      </w:tr>
      <w:tr w14:paraId="1CB3963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1882" w:type="dxa"/>
          </w:tcPr>
          <w:p w14:paraId="2213E19C" w14:textId="7FFD4F69">
            <w:pPr>
              <w:spacing w:before="0" w:after="0" w:line="240" w:lineRule="auto"/>
              <w:ind w:firstLine="0"/>
            </w:pPr>
            <w:r>
              <w:rPr>
                <w:rFonts w:ascii="Times New Roman" w:hAnsi="Times New Roman" w:eastAsia="Times New Roman"/>
                <w:sz w:val="20"/>
              </w:rPr>
              <w:t xml:space="preserve">Stabilized complete-case weight, 1st percentile</w:t>
            </w:r>
          </w:p>
        </w:tc>
        <w:tc>
          <w:tcPr>
            <w:tcW w:w="793" w:type="dxa"/>
          </w:tcPr>
          <w:p w14:paraId="6FC2D75D" w14:textId="7FFD4D4D">
            <w:pPr>
              <w:spacing w:before="0" w:after="0" w:line="240" w:lineRule="auto"/>
              <w:ind w:firstLine="0"/>
            </w:pPr>
            <w:r>
              <w:rPr>
                <w:rFonts w:ascii="Times New Roman" w:hAnsi="Times New Roman" w:eastAsia="Times New Roman"/>
                <w:sz w:val="20"/>
              </w:rPr>
              <w:t>0.946</w:t>
            </w:r>
          </w:p>
        </w:tc>
        <w:tc>
          <w:tcPr>
            <w:tcW w:w="885" w:type="dxa"/>
          </w:tcPr>
          <w:p w14:paraId="20CD05BF" w14:textId="7FFD4F7C">
            <w:pPr>
              <w:spacing w:before="0" w:after="0" w:line="240" w:lineRule="auto"/>
              <w:ind w:firstLine="0"/>
            </w:pPr>
            <w:r>
              <w:rPr>
                <w:rFonts w:ascii="Times New Roman" w:hAnsi="Times New Roman" w:eastAsia="Times New Roman"/>
                <w:sz w:val="20"/>
              </w:rPr>
              <w:t xml:space="preserve">Estimated</w:t>
            </w:r>
          </w:p>
        </w:tc>
        <w:tc>
          <w:tcPr>
            <w:tcW w:w="3752" w:type="dxa"/>
          </w:tcPr>
          <w:p w14:paraId="746226B5" w14:textId="7FFD4F6E">
            <w:pPr>
              <w:spacing w:before="0" w:after="0" w:line="240" w:lineRule="auto"/>
              <w:ind w:firstLine="0"/>
            </w:pPr>
            <w:r>
              <w:rPr>
                <w:rFonts w:ascii="Times New Roman" w:hAnsi="Times New Roman" w:eastAsia="Times New Roman"/>
                <w:sz w:val="20"/>
              </w:rPr>
              <w:t xml:space="preserve">Assesses selection due to missing primary adjustment covariates</w:t>
            </w:r>
          </w:p>
        </w:tc>
        <w:tc>
          <w:tcPr>
            <w:tcW w:w="1869" w:type="dxa"/>
          </w:tcPr>
          <w:p w14:paraId="7473E20A" w14:textId="7FFD4F73">
            <w:pPr>
              <w:spacing w:before="0" w:after="0" w:line="240" w:lineRule="auto"/>
              <w:ind w:firstLine="0"/>
            </w:pPr>
            <w:r>
              <w:rPr>
                <w:rFonts w:ascii="Times New Roman" w:hAnsi="Times New Roman" w:eastAsia="Times New Roman"/>
                <w:sz w:val="20"/>
              </w:rPr>
              <w:t xml:space="preserve">Close to 1</w:t>
            </w:r>
          </w:p>
        </w:tc>
      </w:tr>
      <w:tr w14:paraId="0F0B29A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1882" w:type="dxa"/>
          </w:tcPr>
          <w:p w14:paraId="30977EB3" w14:textId="7FFD4F6A">
            <w:pPr>
              <w:spacing w:before="0" w:after="0" w:line="240" w:lineRule="auto"/>
              <w:ind w:firstLine="0"/>
            </w:pPr>
            <w:r>
              <w:rPr>
                <w:rFonts w:ascii="Times New Roman" w:hAnsi="Times New Roman" w:eastAsia="Times New Roman"/>
                <w:sz w:val="20"/>
              </w:rPr>
              <w:t xml:space="preserve">Stabilized complete-case weight, 5th percentile</w:t>
            </w:r>
          </w:p>
        </w:tc>
        <w:tc>
          <w:tcPr>
            <w:tcW w:w="793" w:type="dxa"/>
          </w:tcPr>
          <w:p w14:paraId="3EE45904" w14:textId="7FFD4D52">
            <w:pPr>
              <w:spacing w:before="0" w:after="0" w:line="240" w:lineRule="auto"/>
              <w:ind w:firstLine="0"/>
            </w:pPr>
            <w:r>
              <w:rPr>
                <w:rFonts w:ascii="Times New Roman" w:hAnsi="Times New Roman" w:eastAsia="Times New Roman"/>
                <w:sz w:val="20"/>
              </w:rPr>
              <w:t>0.953</w:t>
            </w:r>
          </w:p>
        </w:tc>
        <w:tc>
          <w:tcPr>
            <w:tcW w:w="885" w:type="dxa"/>
          </w:tcPr>
          <w:p w14:paraId="5937CCF0" w14:textId="7FFD4F7D">
            <w:pPr>
              <w:spacing w:before="0" w:after="0" w:line="240" w:lineRule="auto"/>
              <w:ind w:firstLine="0"/>
            </w:pPr>
            <w:r>
              <w:rPr>
                <w:rFonts w:ascii="Times New Roman" w:hAnsi="Times New Roman" w:eastAsia="Times New Roman"/>
                <w:sz w:val="20"/>
              </w:rPr>
              <w:t xml:space="preserve">Estimated</w:t>
            </w:r>
          </w:p>
        </w:tc>
        <w:tc>
          <w:tcPr>
            <w:tcW w:w="3752" w:type="dxa"/>
          </w:tcPr>
          <w:p w14:paraId="4CBDEEE6" w14:textId="7FFD4F6F">
            <w:pPr>
              <w:spacing w:before="0" w:after="0" w:line="240" w:lineRule="auto"/>
              <w:ind w:firstLine="0"/>
            </w:pPr>
            <w:r>
              <w:rPr>
                <w:rFonts w:ascii="Times New Roman" w:hAnsi="Times New Roman" w:eastAsia="Times New Roman"/>
                <w:sz w:val="20"/>
              </w:rPr>
              <w:t xml:space="preserve">Assesses selection due to missing primary adjustment covariates</w:t>
            </w:r>
          </w:p>
        </w:tc>
        <w:tc>
          <w:tcPr>
            <w:tcW w:w="1869" w:type="dxa"/>
          </w:tcPr>
          <w:p w14:paraId="2D82D3FC" w14:textId="7FFD4F74">
            <w:pPr>
              <w:spacing w:before="0" w:after="0" w:line="240" w:lineRule="auto"/>
              <w:ind w:firstLine="0"/>
            </w:pPr>
            <w:r>
              <w:rPr>
                <w:rFonts w:ascii="Times New Roman" w:hAnsi="Times New Roman" w:eastAsia="Times New Roman"/>
                <w:sz w:val="20"/>
              </w:rPr>
              <w:t xml:space="preserve">Close to 1</w:t>
            </w:r>
          </w:p>
        </w:tc>
      </w:tr>
      <w:tr w14:paraId="12FC2EC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1882" w:type="dxa"/>
          </w:tcPr>
          <w:p w14:paraId="3A4929CF" w14:textId="7FFD4F6B">
            <w:pPr>
              <w:spacing w:before="0" w:after="0" w:line="240" w:lineRule="auto"/>
              <w:ind w:firstLine="0"/>
            </w:pPr>
            <w:r>
              <w:rPr>
                <w:rFonts w:ascii="Times New Roman" w:hAnsi="Times New Roman" w:eastAsia="Times New Roman"/>
                <w:sz w:val="20"/>
              </w:rPr>
              <w:t xml:space="preserve">Stabilized complete-case weight, median</w:t>
            </w:r>
          </w:p>
        </w:tc>
        <w:tc>
          <w:tcPr>
            <w:tcW w:w="793" w:type="dxa"/>
          </w:tcPr>
          <w:p w14:paraId="23D5AAA4" w14:textId="7FFD4D57">
            <w:pPr>
              <w:spacing w:before="0" w:after="0" w:line="240" w:lineRule="auto"/>
              <w:ind w:firstLine="0"/>
            </w:pPr>
            <w:r>
              <w:rPr>
                <w:rFonts w:ascii="Times New Roman" w:hAnsi="Times New Roman" w:eastAsia="Times New Roman"/>
                <w:sz w:val="20"/>
              </w:rPr>
              <w:t>0.989</w:t>
            </w:r>
          </w:p>
        </w:tc>
        <w:tc>
          <w:tcPr>
            <w:tcW w:w="885" w:type="dxa"/>
          </w:tcPr>
          <w:p w14:paraId="57001125" w14:textId="7FFD4F7E">
            <w:pPr>
              <w:spacing w:before="0" w:after="0" w:line="240" w:lineRule="auto"/>
              <w:ind w:firstLine="0"/>
            </w:pPr>
            <w:r>
              <w:rPr>
                <w:rFonts w:ascii="Times New Roman" w:hAnsi="Times New Roman" w:eastAsia="Times New Roman"/>
                <w:sz w:val="20"/>
              </w:rPr>
              <w:t xml:space="preserve">Estimated</w:t>
            </w:r>
          </w:p>
        </w:tc>
        <w:tc>
          <w:tcPr>
            <w:tcW w:w="3752" w:type="dxa"/>
          </w:tcPr>
          <w:p w14:paraId="389EA1CB" w14:textId="7FFD4F70">
            <w:pPr>
              <w:spacing w:before="0" w:after="0" w:line="240" w:lineRule="auto"/>
              <w:ind w:firstLine="0"/>
            </w:pPr>
            <w:r>
              <w:rPr>
                <w:rFonts w:ascii="Times New Roman" w:hAnsi="Times New Roman" w:eastAsia="Times New Roman"/>
                <w:sz w:val="20"/>
              </w:rPr>
              <w:t xml:space="preserve">Assesses selection due to missing primary adjustment covariates</w:t>
            </w:r>
          </w:p>
        </w:tc>
        <w:tc>
          <w:tcPr>
            <w:tcW w:w="1869" w:type="dxa"/>
          </w:tcPr>
          <w:p w14:paraId="38B1AB0F" w14:textId="7FFD4F75">
            <w:pPr>
              <w:spacing w:before="0" w:after="0" w:line="240" w:lineRule="auto"/>
              <w:ind w:firstLine="0"/>
            </w:pPr>
            <w:r>
              <w:rPr>
                <w:rFonts w:ascii="Times New Roman" w:hAnsi="Times New Roman" w:eastAsia="Times New Roman"/>
                <w:sz w:val="20"/>
              </w:rPr>
              <w:t xml:space="preserve">Close to 1</w:t>
            </w:r>
          </w:p>
        </w:tc>
      </w:tr>
      <w:tr w14:paraId="1B5753E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1882" w:type="dxa"/>
          </w:tcPr>
          <w:p w14:paraId="6F9B30FA" w14:textId="7FFD4F6C">
            <w:pPr>
              <w:spacing w:before="0" w:after="0" w:line="240" w:lineRule="auto"/>
              <w:ind w:firstLine="0"/>
            </w:pPr>
            <w:r>
              <w:rPr>
                <w:rFonts w:ascii="Times New Roman" w:hAnsi="Times New Roman" w:eastAsia="Times New Roman"/>
                <w:sz w:val="20"/>
              </w:rPr>
              <w:t xml:space="preserve">Stabilized complete-case weight, 95th percentile</w:t>
            </w:r>
          </w:p>
        </w:tc>
        <w:tc>
          <w:tcPr>
            <w:tcW w:w="793" w:type="dxa"/>
          </w:tcPr>
          <w:p w14:paraId="2FB2D8DD" w14:textId="7FFD4D5C">
            <w:pPr>
              <w:spacing w:before="0" w:after="0" w:line="240" w:lineRule="auto"/>
              <w:ind w:firstLine="0"/>
            </w:pPr>
            <w:r>
              <w:rPr>
                <w:rFonts w:ascii="Times New Roman" w:hAnsi="Times New Roman" w:eastAsia="Times New Roman"/>
                <w:sz w:val="20"/>
              </w:rPr>
              <w:t>1.089</w:t>
            </w:r>
          </w:p>
        </w:tc>
        <w:tc>
          <w:tcPr>
            <w:tcW w:w="885" w:type="dxa"/>
          </w:tcPr>
          <w:p w14:paraId="7B365B4A" w14:textId="7FFD4F7F">
            <w:pPr>
              <w:spacing w:before="0" w:after="0" w:line="240" w:lineRule="auto"/>
              <w:ind w:firstLine="0"/>
            </w:pPr>
            <w:r>
              <w:rPr>
                <w:rFonts w:ascii="Times New Roman" w:hAnsi="Times New Roman" w:eastAsia="Times New Roman"/>
                <w:sz w:val="20"/>
              </w:rPr>
              <w:t xml:space="preserve">Estimated</w:t>
            </w:r>
          </w:p>
        </w:tc>
        <w:tc>
          <w:tcPr>
            <w:tcW w:w="3752" w:type="dxa"/>
          </w:tcPr>
          <w:p w14:paraId="6F59313F" w14:textId="7FFD4F71">
            <w:pPr>
              <w:spacing w:before="0" w:after="0" w:line="240" w:lineRule="auto"/>
              <w:ind w:firstLine="0"/>
            </w:pPr>
            <w:r>
              <w:rPr>
                <w:rFonts w:ascii="Times New Roman" w:hAnsi="Times New Roman" w:eastAsia="Times New Roman"/>
                <w:sz w:val="20"/>
              </w:rPr>
              <w:t xml:space="preserve">Assesses selection due to missing primary adjustment covariates</w:t>
            </w:r>
          </w:p>
        </w:tc>
        <w:tc>
          <w:tcPr>
            <w:tcW w:w="1869" w:type="dxa"/>
          </w:tcPr>
          <w:p w14:paraId="4BC33865" w14:textId="7FFD4F76">
            <w:pPr>
              <w:spacing w:before="0" w:after="0" w:line="240" w:lineRule="auto"/>
              <w:ind w:firstLine="0"/>
            </w:pPr>
            <w:r>
              <w:rPr>
                <w:rFonts w:ascii="Times New Roman" w:hAnsi="Times New Roman" w:eastAsia="Times New Roman"/>
                <w:sz w:val="20"/>
              </w:rPr>
              <w:t xml:space="preserve">Close to 1</w:t>
            </w:r>
          </w:p>
        </w:tc>
      </w:tr>
      <w:tr w14:paraId="574898D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1882" w:type="dxa"/>
          </w:tcPr>
          <w:p w14:paraId="003BB81E" w14:textId="7FFD4F6D">
            <w:pPr>
              <w:spacing w:before="0" w:after="0" w:line="240" w:lineRule="auto"/>
              <w:ind w:firstLine="0"/>
            </w:pPr>
            <w:r>
              <w:rPr>
                <w:rFonts w:ascii="Times New Roman" w:hAnsi="Times New Roman" w:eastAsia="Times New Roman"/>
                <w:sz w:val="20"/>
              </w:rPr>
              <w:t xml:space="preserve">Stabilized complete-case weight, 99th percentile</w:t>
            </w:r>
          </w:p>
        </w:tc>
        <w:tc>
          <w:tcPr>
            <w:tcW w:w="793" w:type="dxa"/>
          </w:tcPr>
          <w:p w14:paraId="0E130488" w14:textId="7FFD4D61">
            <w:pPr>
              <w:spacing w:before="0" w:after="0" w:line="240" w:lineRule="auto"/>
              <w:ind w:firstLine="0"/>
            </w:pPr>
            <w:r>
              <w:rPr>
                <w:rFonts w:ascii="Times New Roman" w:hAnsi="Times New Roman" w:eastAsia="Times New Roman"/>
                <w:sz w:val="20"/>
              </w:rPr>
              <w:t>1.140</w:t>
            </w:r>
          </w:p>
        </w:tc>
        <w:tc>
          <w:tcPr>
            <w:tcW w:w="885" w:type="dxa"/>
          </w:tcPr>
          <w:p w14:paraId="0AA1A0A4" w14:textId="7FFD4F80">
            <w:pPr>
              <w:spacing w:before="0" w:after="0" w:line="240" w:lineRule="auto"/>
              <w:ind w:firstLine="0"/>
            </w:pPr>
            <w:r>
              <w:rPr>
                <w:rFonts w:ascii="Times New Roman" w:hAnsi="Times New Roman" w:eastAsia="Times New Roman"/>
                <w:sz w:val="20"/>
              </w:rPr>
              <w:t xml:space="preserve">Estimated</w:t>
            </w:r>
          </w:p>
        </w:tc>
        <w:tc>
          <w:tcPr>
            <w:tcW w:w="3752" w:type="dxa"/>
          </w:tcPr>
          <w:p w14:paraId="759C5D24" w14:textId="7FFD4F72">
            <w:pPr>
              <w:spacing w:before="0" w:after="0" w:line="240" w:lineRule="auto"/>
              <w:ind w:firstLine="0"/>
            </w:pPr>
            <w:r>
              <w:rPr>
                <w:rFonts w:ascii="Times New Roman" w:hAnsi="Times New Roman" w:eastAsia="Times New Roman"/>
                <w:sz w:val="20"/>
              </w:rPr>
              <w:t xml:space="preserve">Assesses selection due to missing primary adjustment covariates</w:t>
            </w:r>
          </w:p>
        </w:tc>
        <w:tc>
          <w:tcPr>
            <w:tcW w:w="1869" w:type="dxa"/>
          </w:tcPr>
          <w:p w14:paraId="0AAE2EDD" w14:textId="7FFD4F77">
            <w:pPr>
              <w:spacing w:before="0" w:after="0" w:line="240" w:lineRule="auto"/>
              <w:ind w:firstLine="0"/>
            </w:pPr>
            <w:r>
              <w:rPr>
                <w:rFonts w:ascii="Times New Roman" w:hAnsi="Times New Roman" w:eastAsia="Times New Roman"/>
                <w:sz w:val="20"/>
              </w:rPr>
              <w:t xml:space="preserve">Close to 1</w:t>
            </w:r>
          </w:p>
        </w:tc>
      </w:tr>
      <w:tr w14:paraId="2B00DD8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c>
          <w:tcPr>
            <w:tcW w:w="1882" w:type="dxa"/>
          </w:tcPr>
          <w:p w14:paraId="171C7807" w14:textId="7FFD50DE">
            <w:pPr>
              <w:spacing w:before="0" w:after="0" w:line="240" w:lineRule="auto"/>
              <w:ind w:firstLine="0"/>
            </w:pPr>
            <w:r>
              <w:rPr>
                <w:rFonts w:ascii="Times New Roman" w:hAnsi="Times New Roman" w:eastAsia="Times New Roman"/>
                <w:color w:val="000000"/>
                <w:sz w:val="20"/>
              </w:rPr>
              <w:t xml:space="preserve">Upstream joint-constructibility weighting (prespecified)</w:t>
            </w:r>
          </w:p>
        </w:tc>
        <w:tc>
          <w:tcPr>
            <w:tcW w:w="793" w:type="dxa"/>
          </w:tcPr>
          <w:p w14:paraId="3A356B0D" w14:textId="7FFD50DF">
            <w:pPr>
              <w:spacing w:before="0" w:after="0" w:line="240" w:lineRule="auto"/>
              <w:ind w:firstLine="0"/>
            </w:pPr>
            <w:r>
              <w:rPr>
                <w:rFonts w:ascii="Times New Roman" w:hAnsi="Times New Roman" w:eastAsia="Times New Roman"/>
                <w:color w:val="000000"/>
                <w:sz w:val="20"/>
              </w:rPr>
              <w:t>44,547</w:t>
            </w:r>
          </w:p>
        </w:tc>
        <w:tc>
          <w:tcPr>
            <w:tcW w:w="885" w:type="dxa"/>
          </w:tcPr>
          <w:p w14:paraId="2E58A8A4" w14:textId="7FFD50E0">
            <w:pPr>
              <w:spacing w:before="0" w:after="0" w:line="240" w:lineRule="auto"/>
              <w:ind w:firstLine="0"/>
            </w:pPr>
            <w:r>
              <w:rPr>
                <w:rFonts w:ascii="Times New Roman" w:hAnsi="Times New Roman" w:eastAsia="Times New Roman"/>
                <w:color w:val="000000"/>
                <w:sz w:val="20"/>
              </w:rPr>
              <w:t xml:space="preserve">Withdrawn before outcome modeling</w:t>
            </w:r>
          </w:p>
        </w:tc>
        <w:tc>
          <w:tcPr>
            <w:tcW w:w="3752" w:type="dxa"/>
          </w:tcPr>
          <w:p w14:paraId="1A4A6A08" w14:textId="7FFD50E1">
            <w:pPr>
              <w:spacing w:before="0" w:after="0" w:line="240" w:lineRule="auto"/>
              <w:ind w:firstLine="0"/>
            </w:pPr>
            <w:r>
              <w:rPr>
                <w:rFonts w:ascii="Times New Roman" w:hAnsi="Times New Roman" w:eastAsia="Times New Roman"/>
                <w:color w:val="000000"/>
                <w:sz w:val="20"/>
              </w:rPr>
              <w:t xml:space="preserve">WTDR2D was zero or unavailable outside the frozen target population and could not represent the upstream population</w:t>
            </w:r>
          </w:p>
        </w:tc>
        <w:tc>
          <w:tcPr>
            <w:tcW w:w="1869" w:type="dxa"/>
          </w:tcPr>
          <w:p w14:paraId="33D26F34" w14:textId="7FFD50E2">
            <w:pPr>
              <w:spacing w:before="0" w:after="0" w:line="240" w:lineRule="auto"/>
              <w:ind w:firstLine="0"/>
            </w:pPr>
            <w:r>
              <w:rPr>
                <w:rFonts w:ascii="Times New Roman" w:hAnsi="Times New Roman" w:eastAsia="Times New Roman"/>
                <w:color w:val="000000"/>
                <w:sz w:val="20"/>
              </w:rPr>
              <w:t xml:space="preserve">No effect estimate was produced; not interpreted as a negative or robustness result</w:t>
            </w:r>
          </w:p>
        </w:tc>
      </w:tr>
    </w:tbl>
    <w:p w14:paraId="5B3E7FDE" w14:textId="7FFD50E3">
      <w:pPr>
        <w:pStyle w:val="15"/>
        <w:widowControl/>
        <w:spacing w:before="60" w:after="120" w:line="240" w:lineRule="auto"/>
        <w:ind w:firstLine="0"/>
        <w:jc w:val="left"/>
      </w:pPr>
      <w:r>
        <w:rPr>
          <w:rFonts w:ascii="Times New Roman" w:hAnsi="Times New Roman" w:eastAsia="Times New Roman"/>
          <w:b/>
          <w:color w:val="000000"/>
          <w:sz w:val="20"/>
        </w:rPr>
        <w:t xml:space="preserve">Note: Stabilized complete-case weights were used to assess complete-case selection arising from missing primary adjustment covariates. The prespecified upstream joint-constructibility weighting analysis was withdrawn before outcome modeling because the frozen 2-day dietary weight (WTDR2D) was zero or unavailable outside the 2-day dietary target population and could not represent the upstream population. The value 44,547 is the number excluded before entry into the frozen target population. This analysis produced no effect estimate and is not interpreted as a negative result or as robustness evidence.</w:t>
      </w:r>
    </w:p>
    <w:p w14:paraId="07BC57F8" w14:textId="7FFD50B0">
      <w:pPr>
        <w:pStyle w:val="15"/>
        <w:keepNext/>
        <w:spacing w:before="160" w:after="80" w:line="240" w:lineRule="auto"/>
        <w:ind w:firstLine="0"/>
        <w:jc w:val="left"/>
      </w:pPr>
      <w:r>
        <w:rPr>
          <w:rFonts w:ascii="Times New Roman" w:hAnsi="Times New Roman" w:eastAsia="Times New Roman"/>
          <w:b/>
          <w:sz w:val="20"/>
        </w:rPr>
        <w:t xml:space="preserve">Supplementary Table S5. Model assumptions, cycle robustness, and reverse-causation analyses</w:t>
      </w:r>
    </w:p>
    <w:tbl>
      <w:tblPr>
        <w:tblStyle w:val="5"/>
        <w:tblW w:w="5000" w:type="pct"/>
        <w:tblInd w:w="0"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0" w:type="dxa"/>
          <w:left w:w="55" w:type="dxa"/>
          <w:bottom w:w="0" w:type="dxa"/>
          <w:right w:w="55" w:type="dxa"/>
        </w:tblCellMar>
        <w:tblCaption w:val="Supplementary Table S5. Model assumptions, cycle robustness, and reverse-causation analyses"/>
      </w:tblPr>
      <w:tblGrid>
        <w:gridCol w:w="2452"/>
        <w:gridCol w:w="1512"/>
        <w:gridCol w:w="1843"/>
        <w:gridCol w:w="1273"/>
        <w:gridCol w:w="1131"/>
        <w:gridCol w:w="1712"/>
        <w:gridCol w:w="4757"/>
      </w:tblGrid>
      <w:tr w14:paraId="1703B76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rPr>
          <w:cantSplit/>
          <w:tblHeader/>
        </w:trPr>
        <w:tc>
          <w:tcPr>
            <w:tcW w:w="0" w:type="auto"/>
            <w:tcBorders>
              <w:bottom w:val="single" w:color="000000" w:sz="6" w:space="0"/>
            </w:tcBorders>
            <w:vAlign w:val="center"/>
          </w:tcPr>
          <w:p w14:paraId="5F878348" w14:textId="7FFD50CA">
            <w:pPr>
              <w:spacing w:before="0" w:after="0" w:line="240" w:lineRule="auto"/>
              <w:ind w:firstLine="0"/>
              <w:jc w:val="center"/>
            </w:pPr>
            <w:r>
              <w:rPr>
                <w:rFonts w:ascii="Times New Roman" w:hAnsi="Times New Roman" w:eastAsia="Times New Roman"/>
                <w:b/>
                <w:sz w:val="20"/>
              </w:rPr>
              <w:t xml:space="preserve">Analysis</w:t>
            </w:r>
          </w:p>
        </w:tc>
        <w:tc>
          <w:tcPr>
            <w:tcW w:w="515" w:type="pct"/>
            <w:tcBorders>
              <w:bottom w:val="single" w:color="000000" w:sz="6" w:space="0"/>
            </w:tcBorders>
            <w:vAlign w:val="center"/>
          </w:tcPr>
          <w:p w14:paraId="6CC45837" w14:textId="7FFD4F1B">
            <w:pPr>
              <w:spacing w:before="0" w:after="0" w:line="240" w:lineRule="auto"/>
              <w:ind w:firstLine="0"/>
              <w:jc w:val="center"/>
            </w:pPr>
            <w:r>
              <w:rPr>
                <w:rFonts w:ascii="Times New Roman" w:hAnsi="Times New Roman" w:eastAsia="Times New Roman"/>
                <w:b/>
                <w:sz w:val="20"/>
              </w:rPr>
              <w:t xml:space="preserve">CKM stage group</w:t>
            </w:r>
          </w:p>
        </w:tc>
        <w:tc>
          <w:tcPr>
            <w:tcW w:w="628" w:type="pct"/>
            <w:tcBorders>
              <w:bottom w:val="single" w:color="000000" w:sz="6" w:space="0"/>
            </w:tcBorders>
            <w:vAlign w:val="center"/>
          </w:tcPr>
          <w:p w14:paraId="437927DF" w14:textId="7FFD4F20">
            <w:pPr>
              <w:spacing w:before="0" w:after="0" w:line="240" w:lineRule="auto"/>
              <w:ind w:firstLine="0"/>
              <w:jc w:val="center"/>
            </w:pPr>
            <w:r>
              <w:rPr>
                <w:rFonts w:ascii="Times New Roman" w:hAnsi="Times New Roman" w:eastAsia="Times New Roman"/>
                <w:b/>
                <w:sz w:val="20"/>
              </w:rPr>
              <w:t xml:space="preserve">Effect estimate/statistic</w:t>
            </w:r>
          </w:p>
        </w:tc>
        <w:tc>
          <w:tcPr>
            <w:tcW w:w="0" w:type="auto"/>
            <w:tcBorders>
              <w:bottom w:val="single" w:color="000000" w:sz="6" w:space="0"/>
            </w:tcBorders>
            <w:vAlign w:val="center"/>
          </w:tcPr>
          <w:p w14:paraId="19FB7373" w14:textId="7FFD4EF4">
            <w:pPr>
              <w:spacing w:before="0" w:after="0" w:line="240" w:lineRule="auto"/>
              <w:ind w:firstLine="0"/>
              <w:jc w:val="center"/>
            </w:pPr>
            <w:r>
              <w:rPr>
                <w:rFonts w:ascii="Times New Roman" w:hAnsi="Times New Roman" w:eastAsia="Times New Roman"/>
                <w:b/>
                <w:sz w:val="20"/>
              </w:rPr>
              <w:t xml:space="preserve">95% CI</w:t>
            </w:r>
          </w:p>
        </w:tc>
        <w:tc>
          <w:tcPr>
            <w:tcW w:w="0" w:type="auto"/>
            <w:tcBorders>
              <w:bottom w:val="single" w:color="000000" w:sz="6" w:space="0"/>
            </w:tcBorders>
            <w:vAlign w:val="center"/>
          </w:tcPr>
          <w:p w14:paraId="5E88C9A8" w14:textId="7FFD4EF8">
            <w:pPr>
              <w:spacing w:before="0" w:after="0" w:line="240" w:lineRule="auto"/>
              <w:ind w:firstLine="0"/>
              <w:jc w:val="center"/>
            </w:pPr>
            <w:r>
              <w:rPr>
                <w:rFonts w:ascii="Times New Roman" w:hAnsi="Times New Roman" w:eastAsia="Times New Roman"/>
                <w:b/>
                <w:sz w:val="20"/>
              </w:rPr>
              <w:t xml:space="preserve">P value</w:t>
            </w:r>
          </w:p>
        </w:tc>
        <w:tc>
          <w:tcPr>
            <w:tcW w:w="0" w:type="auto"/>
            <w:tcBorders>
              <w:bottom w:val="single" w:color="000000" w:sz="6" w:space="0"/>
            </w:tcBorders>
            <w:vAlign w:val="center"/>
          </w:tcPr>
          <w:p w14:paraId="40AD2BCA" w14:textId="7FFD50B8">
            <w:pPr>
              <w:spacing w:before="0" w:after="0" w:line="240" w:lineRule="auto"/>
              <w:ind w:firstLine="0"/>
              <w:jc w:val="center"/>
            </w:pPr>
            <w:r>
              <w:rPr>
                <w:rFonts w:ascii="Times New Roman" w:hAnsi="Times New Roman" w:eastAsia="Times New Roman"/>
                <w:b/>
                <w:sz w:val="20"/>
              </w:rPr>
              <w:t xml:space="preserve">Model sample size/deaths</w:t>
            </w:r>
          </w:p>
        </w:tc>
        <w:tc>
          <w:tcPr>
            <w:tcW w:w="0" w:type="auto"/>
            <w:tcBorders>
              <w:bottom w:val="single" w:color="000000" w:sz="6" w:space="0"/>
            </w:tcBorders>
            <w:vAlign w:val="center"/>
          </w:tcPr>
          <w:p w14:paraId="4E75C497" w14:textId="7FFD4F83">
            <w:pPr>
              <w:spacing w:before="0" w:after="0" w:line="240" w:lineRule="auto"/>
              <w:ind w:firstLine="0"/>
              <w:jc w:val="center"/>
            </w:pPr>
            <w:r>
              <w:rPr>
                <w:rFonts w:ascii="Times New Roman" w:hAnsi="Times New Roman" w:eastAsia="Times New Roman"/>
                <w:b/>
                <w:sz w:val="20"/>
              </w:rPr>
              <w:t xml:space="preserve">Variance method/description</w:t>
            </w:r>
          </w:p>
        </w:tc>
      </w:tr>
      <w:tr w14:paraId="5A08431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049F2557" w14:textId="7FFD4F84">
            <w:pPr>
              <w:spacing w:before="0" w:after="0" w:line="240" w:lineRule="auto"/>
              <w:ind w:firstLine="0"/>
            </w:pPr>
            <w:r>
              <w:rPr>
                <w:rFonts w:ascii="Times New Roman" w:hAnsi="Times New Roman" w:eastAsia="Times New Roman"/>
                <w:sz w:val="20"/>
              </w:rPr>
              <w:t xml:space="preserve">Leave-one-cycle-out: exclude 2005–2006</w:t>
            </w:r>
          </w:p>
        </w:tc>
        <w:tc>
          <w:tcPr>
            <w:tcW w:w="515" w:type="pct"/>
          </w:tcPr>
          <w:p w14:paraId="68681BF2" w14:textId="7FFD4F27">
            <w:pPr>
              <w:spacing w:before="0" w:after="0" w:line="240" w:lineRule="auto"/>
              <w:ind w:firstLine="0"/>
            </w:pPr>
            <w:r>
              <w:rPr>
                <w:rFonts w:ascii="Times New Roman" w:hAnsi="Times New Roman" w:eastAsia="Times New Roman"/>
                <w:sz w:val="20"/>
              </w:rPr>
              <w:t xml:space="preserve">Overall</w:t>
            </w:r>
          </w:p>
        </w:tc>
        <w:tc>
          <w:tcPr>
            <w:tcW w:w="628" w:type="pct"/>
          </w:tcPr>
          <w:p w14:paraId="7D050C98" w14:textId="7FFD4D75">
            <w:pPr>
              <w:spacing w:before="0" w:after="0" w:line="240" w:lineRule="auto"/>
              <w:ind w:firstLine="0"/>
            </w:pPr>
            <w:r>
              <w:rPr>
                <w:rFonts w:ascii="Times New Roman" w:hAnsi="Times New Roman" w:eastAsia="Times New Roman"/>
                <w:sz w:val="20"/>
              </w:rPr>
              <w:t>F=21.11</w:t>
            </w:r>
          </w:p>
        </w:tc>
        <w:tc>
          <w:tcPr>
            <w:tcW w:w="0" w:type="auto"/>
          </w:tcPr>
          <w:p w14:paraId="45C122D2" w14:textId="7FFD4D76">
            <w:pPr>
              <w:spacing w:before="0" w:after="0" w:line="240" w:lineRule="auto"/>
              <w:ind w:firstLine="0"/>
            </w:pPr>
            <w:r>
              <w:rPr>
                <w:rFonts w:ascii="Times New Roman" w:hAnsi="Times New Roman" w:eastAsia="Times New Roman"/>
                <w:sz w:val="20"/>
              </w:rPr>
              <w:t>—</w:t>
            </w:r>
          </w:p>
        </w:tc>
        <w:tc>
          <w:tcPr>
            <w:tcW w:w="0" w:type="auto"/>
          </w:tcPr>
          <w:p w14:paraId="1D61B905" w14:textId="7FFD4D77">
            <w:pPr>
              <w:spacing w:before="0" w:after="0" w:line="240" w:lineRule="auto"/>
              <w:ind w:firstLine="0"/>
            </w:pPr>
            <w:r>
              <w:t>1.27×10⁻⁹</w:t>
            </w:r>
          </w:p>
        </w:tc>
        <w:tc>
          <w:tcPr>
            <w:tcW w:w="0" w:type="auto"/>
          </w:tcPr>
          <w:p w14:paraId="4903A96A" w14:textId="7FFD4D78">
            <w:pPr>
              <w:spacing w:before="0" w:after="0" w:line="240" w:lineRule="auto"/>
              <w:ind w:firstLine="0"/>
            </w:pPr>
            <w:r>
              <w:rPr>
                <w:rFonts w:ascii="Times New Roman" w:hAnsi="Times New Roman" w:eastAsia="Times New Roman"/>
                <w:sz w:val="20"/>
              </w:rPr>
              <w:t>5316/768</w:t>
            </w:r>
          </w:p>
        </w:tc>
        <w:tc>
          <w:tcPr>
            <w:tcW w:w="0" w:type="auto"/>
          </w:tcPr>
          <w:p w14:paraId="2C8734FB" w14:textId="7FFD4F89">
            <w:pPr>
              <w:spacing w:before="0" w:after="0" w:line="240" w:lineRule="auto"/>
              <w:ind w:firstLine="0"/>
            </w:pPr>
            <w:r>
              <w:rPr>
                <w:rFonts w:ascii="Times New Roman" w:hAnsi="Times New Roman" w:eastAsia="Times New Roman"/>
                <w:sz w:val="20"/>
              </w:rPr>
              <w:t xml:space="preserve">Complex survey linearization (cycle weights rescaled)</w:t>
            </w:r>
          </w:p>
        </w:tc>
      </w:tr>
      <w:tr w14:paraId="1D6CB9C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0A03D01C" w14:textId="7FFD4F85">
            <w:pPr>
              <w:spacing w:before="0" w:after="0" w:line="240" w:lineRule="auto"/>
              <w:ind w:firstLine="0"/>
            </w:pPr>
            <w:r>
              <w:rPr>
                <w:rFonts w:ascii="Times New Roman" w:hAnsi="Times New Roman" w:eastAsia="Times New Roman"/>
                <w:sz w:val="20"/>
              </w:rPr>
              <w:t xml:space="preserve">Leave-one-cycle-out: exclude 2007–2008</w:t>
            </w:r>
          </w:p>
        </w:tc>
        <w:tc>
          <w:tcPr>
            <w:tcW w:w="515" w:type="pct"/>
          </w:tcPr>
          <w:p w14:paraId="4F537F76" w14:textId="7FFD4F28">
            <w:pPr>
              <w:spacing w:before="0" w:after="0" w:line="240" w:lineRule="auto"/>
              <w:ind w:firstLine="0"/>
            </w:pPr>
            <w:r>
              <w:rPr>
                <w:rFonts w:ascii="Times New Roman" w:hAnsi="Times New Roman" w:eastAsia="Times New Roman"/>
                <w:sz w:val="20"/>
              </w:rPr>
              <w:t xml:space="preserve">Overall</w:t>
            </w:r>
          </w:p>
        </w:tc>
        <w:tc>
          <w:tcPr>
            <w:tcW w:w="628" w:type="pct"/>
          </w:tcPr>
          <w:p w14:paraId="514DC209" w14:textId="7FFD4D7C">
            <w:pPr>
              <w:spacing w:before="0" w:after="0" w:line="240" w:lineRule="auto"/>
              <w:ind w:firstLine="0"/>
            </w:pPr>
            <w:r>
              <w:rPr>
                <w:rFonts w:ascii="Times New Roman" w:hAnsi="Times New Roman" w:eastAsia="Times New Roman"/>
                <w:sz w:val="20"/>
              </w:rPr>
              <w:t>F=19.53</w:t>
            </w:r>
          </w:p>
        </w:tc>
        <w:tc>
          <w:tcPr>
            <w:tcW w:w="0" w:type="auto"/>
          </w:tcPr>
          <w:p w14:paraId="2F19A9E3" w14:textId="7FFD4D7D">
            <w:pPr>
              <w:spacing w:before="0" w:after="0" w:line="240" w:lineRule="auto"/>
              <w:ind w:firstLine="0"/>
            </w:pPr>
            <w:r>
              <w:rPr>
                <w:rFonts w:ascii="Times New Roman" w:hAnsi="Times New Roman" w:eastAsia="Times New Roman"/>
                <w:sz w:val="20"/>
              </w:rPr>
              <w:t>—</w:t>
            </w:r>
          </w:p>
        </w:tc>
        <w:tc>
          <w:tcPr>
            <w:tcW w:w="0" w:type="auto"/>
          </w:tcPr>
          <w:p w14:paraId="06974269" w14:textId="7FFD4D7E">
            <w:pPr>
              <w:spacing w:before="0" w:after="0" w:line="240" w:lineRule="auto"/>
              <w:ind w:firstLine="0"/>
            </w:pPr>
            <w:r>
              <w:t>4.57×10⁻⁹</w:t>
            </w:r>
          </w:p>
        </w:tc>
        <w:tc>
          <w:tcPr>
            <w:tcW w:w="0" w:type="auto"/>
          </w:tcPr>
          <w:p w14:paraId="73DB5A8F" w14:textId="7FFD4D7F">
            <w:pPr>
              <w:spacing w:before="0" w:after="0" w:line="240" w:lineRule="auto"/>
              <w:ind w:firstLine="0"/>
            </w:pPr>
            <w:r>
              <w:rPr>
                <w:rFonts w:ascii="Times New Roman" w:hAnsi="Times New Roman" w:eastAsia="Times New Roman"/>
                <w:sz w:val="20"/>
              </w:rPr>
              <w:t>4651/578</w:t>
            </w:r>
          </w:p>
        </w:tc>
        <w:tc>
          <w:tcPr>
            <w:tcW w:w="0" w:type="auto"/>
          </w:tcPr>
          <w:p w14:paraId="412E046E" w14:textId="7FFD4F8A">
            <w:pPr>
              <w:spacing w:before="0" w:after="0" w:line="240" w:lineRule="auto"/>
              <w:ind w:firstLine="0"/>
            </w:pPr>
            <w:r>
              <w:rPr>
                <w:rFonts w:ascii="Times New Roman" w:hAnsi="Times New Roman" w:eastAsia="Times New Roman"/>
                <w:sz w:val="20"/>
              </w:rPr>
              <w:t xml:space="preserve">Complex survey linearization (cycle weights rescaled)</w:t>
            </w:r>
          </w:p>
        </w:tc>
      </w:tr>
      <w:tr w14:paraId="1FBDD08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0" w:type="dxa"/>
            <w:bottom w:w="0" w:type="dxa"/>
            <w:right w:w="0" w:type="dxa"/>
          </w:tblCellMar>
        </w:tblPrEx>
        <w:tc>
          <w:tcPr>
            <w:tcW w:w="0" w:type="auto"/>
          </w:tcPr>
          <w:p w14:paraId="6F1F6AD1" w14:textId="7FFD4F86">
            <w:pPr>
              <w:spacing w:before="0" w:after="0" w:line="240" w:lineRule="auto"/>
              <w:ind w:firstLine="0"/>
            </w:pPr>
            <w:r>
              <w:rPr>
                <w:rFonts w:ascii="Times New Roman" w:hAnsi="Times New Roman" w:eastAsia="Times New Roman"/>
                <w:sz w:val="20"/>
              </w:rPr>
              <w:t xml:space="preserve">Leave-one-cycle-out: exclude 2009–2010</w:t>
            </w:r>
          </w:p>
        </w:tc>
        <w:tc>
          <w:tcPr>
            <w:tcW w:w="515" w:type="pct"/>
          </w:tcPr>
          <w:p w14:paraId="2351D33B" w14:textId="7FFD4F29">
            <w:pPr>
              <w:spacing w:before="0" w:after="0" w:line="240" w:lineRule="auto"/>
              <w:ind w:firstLine="0"/>
            </w:pPr>
            <w:r>
              <w:rPr>
                <w:rFonts w:ascii="Times New Roman" w:hAnsi="Times New Roman" w:eastAsia="Times New Roman"/>
                <w:sz w:val="20"/>
              </w:rPr>
              <w:t xml:space="preserve">Overall</w:t>
            </w:r>
          </w:p>
        </w:tc>
        <w:tc>
          <w:tcPr>
            <w:tcW w:w="628" w:type="pct"/>
          </w:tcPr>
          <w:p w14:paraId="1521494A" w14:textId="7FFD4D83">
            <w:pPr>
              <w:spacing w:before="0" w:after="0" w:line="240" w:lineRule="auto"/>
              <w:ind w:firstLine="0"/>
            </w:pPr>
            <w:r>
              <w:rPr>
                <w:rFonts w:ascii="Times New Roman" w:hAnsi="Times New Roman" w:eastAsia="Times New Roman"/>
                <w:sz w:val="20"/>
              </w:rPr>
              <w:t>F=10.89</w:t>
            </w:r>
          </w:p>
        </w:tc>
        <w:tc>
          <w:tcPr>
            <w:tcW w:w="0" w:type="auto"/>
          </w:tcPr>
          <w:p w14:paraId="390560F8" w14:textId="7FFD4D84">
            <w:pPr>
              <w:spacing w:before="0" w:after="0" w:line="240" w:lineRule="auto"/>
              <w:ind w:firstLine="0"/>
            </w:pPr>
            <w:r>
              <w:rPr>
                <w:rFonts w:ascii="Times New Roman" w:hAnsi="Times New Roman" w:eastAsia="Times New Roman"/>
                <w:sz w:val="20"/>
              </w:rPr>
              <w:t>—</w:t>
            </w:r>
          </w:p>
        </w:tc>
        <w:tc>
          <w:tcPr>
            <w:tcW w:w="0" w:type="auto"/>
          </w:tcPr>
          <w:p w14:paraId="1E65CFB4" w14:textId="7FFD4D85">
            <w:pPr>
              <w:spacing w:before="0" w:after="0" w:line="240" w:lineRule="auto"/>
              <w:ind w:firstLine="0"/>
            </w:pPr>
            <w:r>
              <w:t>7.44×10⁻⁶</w:t>
            </w:r>
          </w:p>
        </w:tc>
        <w:tc>
          <w:tcPr>
            <w:tcW w:w="0" w:type="auto"/>
          </w:tcPr>
          <w:p w14:paraId="42DDFC6A" w14:textId="7FFD4D86">
            <w:pPr>
              <w:spacing w:before="0" w:after="0" w:line="240" w:lineRule="auto"/>
              <w:ind w:firstLine="0"/>
            </w:pPr>
            <w:r>
              <w:rPr>
                <w:rFonts w:ascii="Times New Roman" w:hAnsi="Times New Roman" w:eastAsia="Times New Roman"/>
                <w:sz w:val="20"/>
              </w:rPr>
              <w:t>4621/697</w:t>
            </w:r>
          </w:p>
        </w:tc>
        <w:tc>
          <w:tcPr>
            <w:tcW w:w="0" w:type="auto"/>
          </w:tcPr>
          <w:p w14:paraId="5929480C" w14:textId="7FFD4F8B">
            <w:pPr>
              <w:spacing w:before="0" w:after="0" w:line="240" w:lineRule="auto"/>
              <w:ind w:firstLine="0"/>
            </w:pPr>
            <w:r>
              <w:rPr>
                <w:rFonts w:ascii="Times New Roman" w:hAnsi="Times New Roman" w:eastAsia="Times New Roman"/>
                <w:sz w:val="20"/>
              </w:rPr>
              <w:t xml:space="preserve">Complex survey linearization (cycle weights rescaled)</w:t>
            </w:r>
          </w:p>
        </w:tc>
      </w:tr>
      <w:tr w14:paraId="5A5F59B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4FF56830" w14:textId="7FFD4F87">
            <w:pPr>
              <w:spacing w:before="0" w:after="0" w:line="240" w:lineRule="auto"/>
              <w:ind w:firstLine="0"/>
            </w:pPr>
            <w:r>
              <w:rPr>
                <w:rFonts w:ascii="Times New Roman" w:hAnsi="Times New Roman" w:eastAsia="Times New Roman"/>
                <w:sz w:val="20"/>
              </w:rPr>
              <w:t xml:space="preserve">Leave-one-cycle-out: exclude 2011–2012</w:t>
            </w:r>
          </w:p>
        </w:tc>
        <w:tc>
          <w:tcPr>
            <w:tcW w:w="515" w:type="pct"/>
          </w:tcPr>
          <w:p w14:paraId="14AAEC88" w14:textId="7FFD4F2A">
            <w:pPr>
              <w:spacing w:before="0" w:after="0" w:line="240" w:lineRule="auto"/>
              <w:ind w:firstLine="0"/>
            </w:pPr>
            <w:r>
              <w:rPr>
                <w:rFonts w:ascii="Times New Roman" w:hAnsi="Times New Roman" w:eastAsia="Times New Roman"/>
                <w:sz w:val="20"/>
              </w:rPr>
              <w:t xml:space="preserve">Overall</w:t>
            </w:r>
          </w:p>
        </w:tc>
        <w:tc>
          <w:tcPr>
            <w:tcW w:w="628" w:type="pct"/>
          </w:tcPr>
          <w:p w14:paraId="7C40D0E1" w14:textId="7FFD4D8A">
            <w:pPr>
              <w:spacing w:before="0" w:after="0" w:line="240" w:lineRule="auto"/>
              <w:ind w:firstLine="0"/>
            </w:pPr>
            <w:r>
              <w:rPr>
                <w:rFonts w:ascii="Times New Roman" w:hAnsi="Times New Roman" w:eastAsia="Times New Roman"/>
                <w:sz w:val="20"/>
              </w:rPr>
              <w:t>F=19.81</w:t>
            </w:r>
          </w:p>
        </w:tc>
        <w:tc>
          <w:tcPr>
            <w:tcW w:w="0" w:type="auto"/>
          </w:tcPr>
          <w:p w14:paraId="5D9A3FC6" w14:textId="7FFD4D8B">
            <w:pPr>
              <w:spacing w:before="0" w:after="0" w:line="240" w:lineRule="auto"/>
              <w:ind w:firstLine="0"/>
            </w:pPr>
            <w:r>
              <w:rPr>
                <w:rFonts w:ascii="Times New Roman" w:hAnsi="Times New Roman" w:eastAsia="Times New Roman"/>
                <w:sz w:val="20"/>
              </w:rPr>
              <w:t>—</w:t>
            </w:r>
          </w:p>
        </w:tc>
        <w:tc>
          <w:tcPr>
            <w:tcW w:w="0" w:type="auto"/>
          </w:tcPr>
          <w:p w14:paraId="018D6853" w14:textId="7FFD4D8C">
            <w:pPr>
              <w:spacing w:before="0" w:after="0" w:line="240" w:lineRule="auto"/>
              <w:ind w:firstLine="0"/>
            </w:pPr>
            <w:r>
              <w:t>4.04×10⁻⁹</w:t>
            </w:r>
          </w:p>
        </w:tc>
        <w:tc>
          <w:tcPr>
            <w:tcW w:w="0" w:type="auto"/>
          </w:tcPr>
          <w:p w14:paraId="28E7E004" w14:textId="7FFD4D8D">
            <w:pPr>
              <w:spacing w:before="0" w:after="0" w:line="240" w:lineRule="auto"/>
              <w:ind w:firstLine="0"/>
            </w:pPr>
            <w:r>
              <w:rPr>
                <w:rFonts w:ascii="Times New Roman" w:hAnsi="Times New Roman" w:eastAsia="Times New Roman"/>
                <w:sz w:val="20"/>
              </w:rPr>
              <w:t>4631/739</w:t>
            </w:r>
          </w:p>
        </w:tc>
        <w:tc>
          <w:tcPr>
            <w:tcW w:w="0" w:type="auto"/>
          </w:tcPr>
          <w:p w14:paraId="6289C534" w14:textId="7FFD4F8C">
            <w:pPr>
              <w:spacing w:before="0" w:after="0" w:line="240" w:lineRule="auto"/>
              <w:ind w:firstLine="0"/>
            </w:pPr>
            <w:r>
              <w:rPr>
                <w:rFonts w:ascii="Times New Roman" w:hAnsi="Times New Roman" w:eastAsia="Times New Roman"/>
                <w:sz w:val="20"/>
              </w:rPr>
              <w:t xml:space="preserve">Complex survey linearization (cycle weights rescaled)</w:t>
            </w:r>
          </w:p>
        </w:tc>
      </w:tr>
      <w:tr w14:paraId="0C297F6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17024A81" w14:textId="7FFD4F88">
            <w:pPr>
              <w:spacing w:before="0" w:after="0" w:line="240" w:lineRule="auto"/>
              <w:ind w:firstLine="0"/>
            </w:pPr>
            <w:r>
              <w:rPr>
                <w:rFonts w:ascii="Times New Roman" w:hAnsi="Times New Roman" w:eastAsia="Times New Roman"/>
                <w:sz w:val="20"/>
              </w:rPr>
              <w:t xml:space="preserve">Leave-one-cycle-out: exclude 2013–2014</w:t>
            </w:r>
          </w:p>
        </w:tc>
        <w:tc>
          <w:tcPr>
            <w:tcW w:w="515" w:type="pct"/>
          </w:tcPr>
          <w:p w14:paraId="4DF0FC19" w14:textId="7FFD4F2B">
            <w:pPr>
              <w:spacing w:before="0" w:after="0" w:line="240" w:lineRule="auto"/>
              <w:ind w:firstLine="0"/>
            </w:pPr>
            <w:r>
              <w:rPr>
                <w:rFonts w:ascii="Times New Roman" w:hAnsi="Times New Roman" w:eastAsia="Times New Roman"/>
                <w:sz w:val="20"/>
              </w:rPr>
              <w:t xml:space="preserve">Overall</w:t>
            </w:r>
          </w:p>
        </w:tc>
        <w:tc>
          <w:tcPr>
            <w:tcW w:w="628" w:type="pct"/>
          </w:tcPr>
          <w:p w14:paraId="31041EA1" w14:textId="7FFD4D91">
            <w:pPr>
              <w:spacing w:before="0" w:after="0" w:line="240" w:lineRule="auto"/>
              <w:ind w:firstLine="0"/>
            </w:pPr>
            <w:r>
              <w:rPr>
                <w:rFonts w:ascii="Times New Roman" w:hAnsi="Times New Roman" w:eastAsia="Times New Roman"/>
                <w:sz w:val="20"/>
              </w:rPr>
              <w:t>F=15.49</w:t>
            </w:r>
          </w:p>
        </w:tc>
        <w:tc>
          <w:tcPr>
            <w:tcW w:w="0" w:type="auto"/>
          </w:tcPr>
          <w:p w14:paraId="0617CE46" w14:textId="7FFD4D92">
            <w:pPr>
              <w:spacing w:before="0" w:after="0" w:line="240" w:lineRule="auto"/>
              <w:ind w:firstLine="0"/>
            </w:pPr>
            <w:r>
              <w:rPr>
                <w:rFonts w:ascii="Times New Roman" w:hAnsi="Times New Roman" w:eastAsia="Times New Roman"/>
                <w:sz w:val="20"/>
              </w:rPr>
              <w:t>—</w:t>
            </w:r>
          </w:p>
        </w:tc>
        <w:tc>
          <w:tcPr>
            <w:tcW w:w="0" w:type="auto"/>
          </w:tcPr>
          <w:p w14:paraId="5A51075B" w14:textId="7FFD4D93">
            <w:pPr>
              <w:spacing w:before="0" w:after="0" w:line="240" w:lineRule="auto"/>
              <w:ind w:firstLine="0"/>
            </w:pPr>
            <w:r>
              <w:t>1.11×10⁻⁷</w:t>
            </w:r>
          </w:p>
        </w:tc>
        <w:tc>
          <w:tcPr>
            <w:tcW w:w="0" w:type="auto"/>
          </w:tcPr>
          <w:p w14:paraId="7194032D" w14:textId="7FFD4D94">
            <w:pPr>
              <w:spacing w:before="0" w:after="0" w:line="240" w:lineRule="auto"/>
              <w:ind w:firstLine="0"/>
            </w:pPr>
            <w:r>
              <w:rPr>
                <w:rFonts w:ascii="Times New Roman" w:hAnsi="Times New Roman" w:eastAsia="Times New Roman"/>
                <w:sz w:val="20"/>
              </w:rPr>
              <w:t>4577/790</w:t>
            </w:r>
          </w:p>
        </w:tc>
        <w:tc>
          <w:tcPr>
            <w:tcW w:w="0" w:type="auto"/>
          </w:tcPr>
          <w:p w14:paraId="564ABC5F" w14:textId="7FFD4F8D">
            <w:pPr>
              <w:spacing w:before="0" w:after="0" w:line="240" w:lineRule="auto"/>
              <w:ind w:firstLine="0"/>
            </w:pPr>
            <w:r>
              <w:rPr>
                <w:rFonts w:ascii="Times New Roman" w:hAnsi="Times New Roman" w:eastAsia="Times New Roman"/>
                <w:sz w:val="20"/>
              </w:rPr>
              <w:t xml:space="preserve">Complex survey linearization (cycle weights rescaled)</w:t>
            </w:r>
          </w:p>
        </w:tc>
      </w:tr>
      <w:tr w14:paraId="0326B87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0" w:type="dxa"/>
            <w:bottom w:w="0" w:type="dxa"/>
            <w:right w:w="0" w:type="dxa"/>
          </w:tblCellMar>
        </w:tblPrEx>
        <w:tc>
          <w:tcPr>
            <w:tcW w:w="0" w:type="auto"/>
          </w:tcPr>
          <w:p w14:paraId="2F0A3631" w14:textId="7FFD4F8E">
            <w:pPr>
              <w:spacing w:before="0" w:after="0" w:line="240" w:lineRule="auto"/>
              <w:ind w:firstLine="0"/>
            </w:pPr>
            <w:r>
              <w:rPr>
                <w:rFonts w:ascii="Times New Roman" w:hAnsi="Times New Roman" w:eastAsia="Times New Roman"/>
                <w:sz w:val="20"/>
              </w:rPr>
              <w:t xml:space="preserve">Cross-cycle harmonization of physical activity</w:t>
            </w:r>
          </w:p>
        </w:tc>
        <w:tc>
          <w:tcPr>
            <w:tcW w:w="515" w:type="pct"/>
          </w:tcPr>
          <w:p w14:paraId="35CDB51E" w14:textId="7FFD4F2C">
            <w:pPr>
              <w:spacing w:before="0" w:after="0" w:line="240" w:lineRule="auto"/>
              <w:ind w:firstLine="0"/>
            </w:pPr>
            <w:r>
              <w:rPr>
                <w:rFonts w:ascii="Times New Roman" w:hAnsi="Times New Roman" w:eastAsia="Times New Roman"/>
                <w:sz w:val="20"/>
              </w:rPr>
              <w:t xml:space="preserve">Overall</w:t>
            </w:r>
          </w:p>
        </w:tc>
        <w:tc>
          <w:tcPr>
            <w:tcW w:w="628" w:type="pct"/>
          </w:tcPr>
          <w:p w14:paraId="2FAA0608" w14:textId="7FFD4D98">
            <w:pPr>
              <w:spacing w:before="0" w:after="0" w:line="240" w:lineRule="auto"/>
              <w:ind w:firstLine="0"/>
            </w:pPr>
            <w:r>
              <w:rPr>
                <w:rFonts w:ascii="Times New Roman" w:hAnsi="Times New Roman" w:eastAsia="Times New Roman"/>
                <w:sz w:val="20"/>
              </w:rPr>
              <w:t>F=20.04</w:t>
            </w:r>
          </w:p>
        </w:tc>
        <w:tc>
          <w:tcPr>
            <w:tcW w:w="0" w:type="auto"/>
          </w:tcPr>
          <w:p w14:paraId="28B63B59" w14:textId="7FFD4D99">
            <w:pPr>
              <w:spacing w:before="0" w:after="0" w:line="240" w:lineRule="auto"/>
              <w:ind w:firstLine="0"/>
            </w:pPr>
            <w:r>
              <w:rPr>
                <w:rFonts w:ascii="Times New Roman" w:hAnsi="Times New Roman" w:eastAsia="Times New Roman"/>
                <w:sz w:val="20"/>
              </w:rPr>
              <w:t>—</w:t>
            </w:r>
          </w:p>
        </w:tc>
        <w:tc>
          <w:tcPr>
            <w:tcW w:w="0" w:type="auto"/>
          </w:tcPr>
          <w:p w14:paraId="720F8205" w14:textId="7FFD4D9A">
            <w:pPr>
              <w:spacing w:before="0" w:after="0" w:line="240" w:lineRule="auto"/>
              <w:ind w:firstLine="0"/>
            </w:pPr>
            <w:r>
              <w:t>9.36×10⁻¹⁰</w:t>
            </w:r>
          </w:p>
        </w:tc>
        <w:tc>
          <w:tcPr>
            <w:tcW w:w="0" w:type="auto"/>
          </w:tcPr>
          <w:p w14:paraId="57FBFEF6" w14:textId="7FFD4D9B">
            <w:pPr>
              <w:spacing w:before="0" w:after="0" w:line="240" w:lineRule="auto"/>
              <w:ind w:firstLine="0"/>
            </w:pPr>
            <w:r>
              <w:rPr>
                <w:rFonts w:ascii="Times New Roman" w:hAnsi="Times New Roman" w:eastAsia="Times New Roman"/>
                <w:sz w:val="20"/>
              </w:rPr>
              <w:t>5,949/893</w:t>
            </w:r>
          </w:p>
        </w:tc>
        <w:tc>
          <w:tcPr>
            <w:tcW w:w="0" w:type="auto"/>
          </w:tcPr>
          <w:p w14:paraId="79711B06" w14:textId="7FFD4F8F">
            <w:pPr>
              <w:spacing w:before="0" w:after="0" w:line="240" w:lineRule="auto"/>
              <w:ind w:firstLine="0"/>
            </w:pPr>
            <w:r>
              <w:rPr>
                <w:rFonts w:ascii="Times New Roman" w:hAnsi="Times New Roman" w:eastAsia="Times New Roman"/>
                <w:sz w:val="20"/>
              </w:rPr>
              <w:t xml:space="preserve">Complex survey linearization</w:t>
            </w:r>
          </w:p>
        </w:tc>
      </w:tr>
      <w:tr w14:paraId="709C4E2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7F7F1CF8" w14:textId="7FFD4F9E">
            <w:pPr>
              <w:spacing w:before="0" w:after="0" w:line="240" w:lineRule="auto"/>
              <w:ind w:firstLine="0"/>
            </w:pPr>
            <w:r>
              <w:rPr>
                <w:rFonts w:ascii="Times New Roman" w:hAnsi="Times New Roman" w:eastAsia="Times New Roman"/>
                <w:sz w:val="20"/>
              </w:rPr>
              <w:t xml:space="preserve">Secondhand-smoke definition: 2005–2012</w:t>
            </w:r>
          </w:p>
        </w:tc>
        <w:tc>
          <w:tcPr>
            <w:tcW w:w="515" w:type="pct"/>
          </w:tcPr>
          <w:p w14:paraId="4A874657" w14:textId="7FFD4F2D">
            <w:pPr>
              <w:spacing w:before="0" w:after="0" w:line="240" w:lineRule="auto"/>
              <w:ind w:firstLine="0"/>
            </w:pPr>
            <w:r>
              <w:rPr>
                <w:rFonts w:ascii="Times New Roman" w:hAnsi="Times New Roman" w:eastAsia="Times New Roman"/>
                <w:sz w:val="20"/>
              </w:rPr>
              <w:t xml:space="preserve">Overall</w:t>
            </w:r>
          </w:p>
        </w:tc>
        <w:tc>
          <w:tcPr>
            <w:tcW w:w="628" w:type="pct"/>
          </w:tcPr>
          <w:p w14:paraId="42A245C1" w14:textId="7FFD4D9F">
            <w:pPr>
              <w:spacing w:before="0" w:after="0" w:line="240" w:lineRule="auto"/>
              <w:ind w:firstLine="0"/>
            </w:pPr>
            <w:r>
              <w:rPr>
                <w:rFonts w:ascii="Times New Roman" w:hAnsi="Times New Roman" w:eastAsia="Times New Roman"/>
                <w:sz w:val="20"/>
              </w:rPr>
              <w:t>F=16.81</w:t>
            </w:r>
          </w:p>
        </w:tc>
        <w:tc>
          <w:tcPr>
            <w:tcW w:w="0" w:type="auto"/>
          </w:tcPr>
          <w:p w14:paraId="665AE842" w14:textId="7FFD4DA0">
            <w:pPr>
              <w:spacing w:before="0" w:after="0" w:line="240" w:lineRule="auto"/>
              <w:ind w:firstLine="0"/>
            </w:pPr>
            <w:r>
              <w:rPr>
                <w:rFonts w:ascii="Times New Roman" w:hAnsi="Times New Roman" w:eastAsia="Times New Roman"/>
                <w:sz w:val="20"/>
              </w:rPr>
              <w:t>—</w:t>
            </w:r>
          </w:p>
        </w:tc>
        <w:tc>
          <w:tcPr>
            <w:tcW w:w="0" w:type="auto"/>
          </w:tcPr>
          <w:p w14:paraId="488D2270" w14:textId="7FFD4DA1">
            <w:pPr>
              <w:spacing w:before="0" w:after="0" w:line="240" w:lineRule="auto"/>
              <w:ind w:firstLine="0"/>
            </w:pPr>
            <w:r>
              <w:t>3.67×10⁻⁸</w:t>
            </w:r>
          </w:p>
        </w:tc>
        <w:tc>
          <w:tcPr>
            <w:tcW w:w="0" w:type="auto"/>
          </w:tcPr>
          <w:p w14:paraId="696F0331" w14:textId="7FFD4DA2">
            <w:pPr>
              <w:spacing w:before="0" w:after="0" w:line="240" w:lineRule="auto"/>
              <w:ind w:firstLine="0"/>
            </w:pPr>
            <w:r>
              <w:rPr>
                <w:rFonts w:ascii="Times New Roman" w:hAnsi="Times New Roman" w:eastAsia="Times New Roman"/>
                <w:sz w:val="20"/>
              </w:rPr>
              <w:t>4577/790</w:t>
            </w:r>
          </w:p>
        </w:tc>
        <w:tc>
          <w:tcPr>
            <w:tcW w:w="0" w:type="auto"/>
          </w:tcPr>
          <w:p w14:paraId="62DA6D34" w14:textId="7FFD4F90">
            <w:pPr>
              <w:spacing w:before="0" w:after="0" w:line="240" w:lineRule="auto"/>
              <w:ind w:firstLine="0"/>
            </w:pPr>
            <w:r>
              <w:rPr>
                <w:rFonts w:ascii="Times New Roman" w:hAnsi="Times New Roman" w:eastAsia="Times New Roman"/>
                <w:sz w:val="20"/>
              </w:rPr>
              <w:t xml:space="preserve">Complex survey linearization</w:t>
            </w:r>
          </w:p>
        </w:tc>
      </w:tr>
      <w:tr w14:paraId="01F3B4E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376E8449" w14:textId="7FFD4F9F">
            <w:pPr>
              <w:spacing w:before="0" w:after="0" w:line="240" w:lineRule="auto"/>
              <w:ind w:firstLine="0"/>
            </w:pPr>
            <w:r>
              <w:rPr>
                <w:rFonts w:ascii="Times New Roman" w:hAnsi="Times New Roman" w:eastAsia="Times New Roman"/>
                <w:sz w:val="20"/>
              </w:rPr>
              <w:t xml:space="preserve">Secondhand-smoke definition: 2013–2014</w:t>
            </w:r>
          </w:p>
        </w:tc>
        <w:tc>
          <w:tcPr>
            <w:tcW w:w="515" w:type="pct"/>
          </w:tcPr>
          <w:p w14:paraId="25D5A9D5" w14:textId="7FFD4F2E">
            <w:pPr>
              <w:spacing w:before="0" w:after="0" w:line="240" w:lineRule="auto"/>
              <w:ind w:firstLine="0"/>
            </w:pPr>
            <w:r>
              <w:rPr>
                <w:rFonts w:ascii="Times New Roman" w:hAnsi="Times New Roman" w:eastAsia="Times New Roman"/>
                <w:sz w:val="20"/>
              </w:rPr>
              <w:t xml:space="preserve">Overall</w:t>
            </w:r>
          </w:p>
        </w:tc>
        <w:tc>
          <w:tcPr>
            <w:tcW w:w="628" w:type="pct"/>
          </w:tcPr>
          <w:p w14:paraId="10E10488" w14:textId="7FFD4DA6">
            <w:pPr>
              <w:spacing w:before="0" w:after="0" w:line="240" w:lineRule="auto"/>
              <w:ind w:firstLine="0"/>
            </w:pPr>
            <w:r>
              <w:rPr>
                <w:rFonts w:ascii="Times New Roman" w:hAnsi="Times New Roman" w:eastAsia="Times New Roman"/>
                <w:sz w:val="20"/>
              </w:rPr>
              <w:t>F=7.46</w:t>
            </w:r>
          </w:p>
        </w:tc>
        <w:tc>
          <w:tcPr>
            <w:tcW w:w="0" w:type="auto"/>
          </w:tcPr>
          <w:p w14:paraId="23779912" w14:textId="7FFD4DA7">
            <w:pPr>
              <w:spacing w:before="0" w:after="0" w:line="240" w:lineRule="auto"/>
              <w:ind w:firstLine="0"/>
            </w:pPr>
            <w:r>
              <w:rPr>
                <w:rFonts w:ascii="Times New Roman" w:hAnsi="Times New Roman" w:eastAsia="Times New Roman"/>
                <w:sz w:val="20"/>
              </w:rPr>
              <w:t>—</w:t>
            </w:r>
          </w:p>
        </w:tc>
        <w:tc>
          <w:tcPr>
            <w:tcW w:w="0" w:type="auto"/>
          </w:tcPr>
          <w:p w14:paraId="3E37FBD7" w14:textId="7FFD4DA8">
            <w:pPr>
              <w:spacing w:before="0" w:after="0" w:line="240" w:lineRule="auto"/>
              <w:ind w:firstLine="0"/>
            </w:pPr>
            <w:r>
              <w:t>0.00277</w:t>
            </w:r>
          </w:p>
        </w:tc>
        <w:tc>
          <w:tcPr>
            <w:tcW w:w="0" w:type="auto"/>
          </w:tcPr>
          <w:p w14:paraId="04C538B5" w14:textId="7FFD4DA9">
            <w:pPr>
              <w:spacing w:before="0" w:after="0" w:line="240" w:lineRule="auto"/>
              <w:ind w:firstLine="0"/>
            </w:pPr>
            <w:r>
              <w:rPr>
                <w:rFonts w:ascii="Times New Roman" w:hAnsi="Times New Roman" w:eastAsia="Times New Roman"/>
                <w:sz w:val="20"/>
              </w:rPr>
              <w:t>1372/103</w:t>
            </w:r>
          </w:p>
        </w:tc>
        <w:tc>
          <w:tcPr>
            <w:tcW w:w="0" w:type="auto"/>
          </w:tcPr>
          <w:p w14:paraId="1D1D23D0" w14:textId="7FFD4F91">
            <w:pPr>
              <w:spacing w:before="0" w:after="0" w:line="240" w:lineRule="auto"/>
              <w:ind w:firstLine="0"/>
            </w:pPr>
            <w:r>
              <w:rPr>
                <w:rFonts w:ascii="Times New Roman" w:hAnsi="Times New Roman" w:eastAsia="Times New Roman"/>
                <w:sz w:val="20"/>
              </w:rPr>
              <w:t xml:space="preserve">Complex survey linearization</w:t>
            </w:r>
          </w:p>
        </w:tc>
      </w:tr>
      <w:tr w14:paraId="1672A1B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7D701A05" w14:textId="7FFD4FA0">
            <w:pPr>
              <w:spacing w:before="0" w:after="0" w:line="240" w:lineRule="auto"/>
              <w:ind w:firstLine="0"/>
            </w:pPr>
            <w:r>
              <w:rPr>
                <w:rFonts w:ascii="Times New Roman" w:hAnsi="Times New Roman" w:eastAsia="Times New Roman"/>
                <w:sz w:val="20"/>
              </w:rPr>
              <w:t xml:space="preserve">5-year restricted mean survival time</w:t>
            </w:r>
          </w:p>
        </w:tc>
        <w:tc>
          <w:tcPr>
            <w:tcW w:w="515" w:type="pct"/>
          </w:tcPr>
          <w:p w14:paraId="50A327AE" w14:textId="7FFD503A">
            <w:pPr>
              <w:spacing w:before="0" w:after="0" w:line="240" w:lineRule="auto"/>
              <w:ind w:firstLine="0"/>
            </w:pPr>
            <w:r>
              <w:rPr>
                <w:rFonts w:ascii="Times New Roman" w:hAnsi="Times New Roman" w:eastAsia="Times New Roman"/>
                <w:sz w:val="20"/>
              </w:rPr>
              <w:t xml:space="preserve">CKM stages 0–2</w:t>
            </w:r>
          </w:p>
        </w:tc>
        <w:tc>
          <w:tcPr>
            <w:tcW w:w="628" w:type="pct"/>
          </w:tcPr>
          <w:p w14:paraId="1E362457" w14:textId="7FFD4FA3">
            <w:pPr>
              <w:spacing w:before="0" w:after="0" w:line="240" w:lineRule="auto"/>
              <w:ind w:firstLine="0"/>
            </w:pPr>
            <w:r>
              <w:rPr>
                <w:rFonts w:ascii="Times New Roman" w:hAnsi="Times New Roman" w:eastAsia="Times New Roman"/>
                <w:sz w:val="20"/>
              </w:rPr>
              <w:t xml:space="preserve">Mean difference, 0.0068 years</w:t>
            </w:r>
          </w:p>
        </w:tc>
        <w:tc>
          <w:tcPr>
            <w:tcW w:w="0" w:type="auto"/>
          </w:tcPr>
          <w:p w14:paraId="1E1CE730" w14:textId="7FFD4FA6">
            <w:pPr>
              <w:spacing w:before="0" w:after="0" w:line="240" w:lineRule="auto"/>
              <w:ind w:firstLine="0"/>
            </w:pPr>
            <w:r>
              <w:rPr>
                <w:rFonts w:ascii="Times New Roman" w:hAnsi="Times New Roman" w:eastAsia="Times New Roman"/>
                <w:sz w:val="20"/>
              </w:rPr>
              <w:t xml:space="preserve">Not reported</w:t>
            </w:r>
          </w:p>
        </w:tc>
        <w:tc>
          <w:tcPr>
            <w:tcW w:w="0" w:type="auto"/>
          </w:tcPr>
          <w:p w14:paraId="55DDDE26" w14:textId="7FFD4FA7">
            <w:pPr>
              <w:spacing w:before="0" w:after="0" w:line="240" w:lineRule="auto"/>
              <w:ind w:firstLine="0"/>
            </w:pPr>
            <w:r>
              <w:rPr>
                <w:rFonts w:ascii="Times New Roman" w:hAnsi="Times New Roman" w:eastAsia="Times New Roman"/>
                <w:sz w:val="20"/>
              </w:rPr>
              <w:t xml:space="preserve">Not reported</w:t>
            </w:r>
          </w:p>
        </w:tc>
        <w:tc>
          <w:tcPr>
            <w:tcW w:w="0" w:type="auto"/>
          </w:tcPr>
          <w:p w14:paraId="3BA03D1C" w14:textId="7FFD4DB0">
            <w:pPr>
              <w:spacing w:before="0" w:after="0" w:line="240" w:lineRule="auto"/>
              <w:ind w:firstLine="0"/>
            </w:pPr>
            <w:r>
              <w:rPr>
                <w:rFonts w:ascii="Times New Roman" w:hAnsi="Times New Roman" w:eastAsia="Times New Roman"/>
                <w:sz w:val="20"/>
              </w:rPr>
              <w:t>3,890/213</w:t>
            </w:r>
          </w:p>
        </w:tc>
        <w:tc>
          <w:tcPr>
            <w:tcW w:w="0" w:type="auto"/>
          </w:tcPr>
          <w:p w14:paraId="0D5524D4" w14:textId="7FFD50B9">
            <w:pPr>
              <w:spacing w:before="0" w:after="0" w:line="240" w:lineRule="auto"/>
              <w:ind w:firstLine="0"/>
            </w:pPr>
            <w:r>
              <w:rPr>
                <w:rFonts w:ascii="Times New Roman" w:hAnsi="Times New Roman" w:eastAsia="Times New Roman"/>
                <w:sz w:val="20"/>
              </w:rPr>
              <w:t xml:space="preserve">Exploratory standardized point estimate; no interval or P-value inference</w:t>
            </w:r>
          </w:p>
        </w:tc>
      </w:tr>
      <w:tr w14:paraId="2965E25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46B20AD9" w14:textId="7FFD4FA1">
            <w:pPr>
              <w:spacing w:before="0" w:after="0" w:line="240" w:lineRule="auto"/>
              <w:ind w:firstLine="0"/>
            </w:pPr>
            <w:r>
              <w:rPr>
                <w:rFonts w:ascii="Times New Roman" w:hAnsi="Times New Roman" w:eastAsia="Times New Roman"/>
                <w:sz w:val="20"/>
              </w:rPr>
              <w:t xml:space="preserve">5-year restricted mean survival time</w:t>
            </w:r>
          </w:p>
        </w:tc>
        <w:tc>
          <w:tcPr>
            <w:tcW w:w="515" w:type="pct"/>
          </w:tcPr>
          <w:p w14:paraId="3756F0DD" w14:textId="7FFD5048">
            <w:pPr>
              <w:spacing w:before="0" w:after="0" w:line="240" w:lineRule="auto"/>
              <w:ind w:firstLine="0"/>
            </w:pPr>
            <w:r>
              <w:rPr>
                <w:rFonts w:ascii="Times New Roman" w:hAnsi="Times New Roman" w:eastAsia="Times New Roman"/>
                <w:sz w:val="20"/>
              </w:rPr>
              <w:t xml:space="preserve">CKM stage 3</w:t>
            </w:r>
          </w:p>
        </w:tc>
        <w:tc>
          <w:tcPr>
            <w:tcW w:w="628" w:type="pct"/>
          </w:tcPr>
          <w:p w14:paraId="1D631372" w14:textId="7FFD4FA4">
            <w:pPr>
              <w:spacing w:before="0" w:after="0" w:line="240" w:lineRule="auto"/>
              <w:ind w:firstLine="0"/>
            </w:pPr>
            <w:r>
              <w:rPr>
                <w:rFonts w:ascii="Times New Roman" w:hAnsi="Times New Roman" w:eastAsia="Times New Roman"/>
                <w:sz w:val="20"/>
              </w:rPr>
              <w:t xml:space="preserve">Mean difference, 0.0140 years</w:t>
            </w:r>
          </w:p>
        </w:tc>
        <w:tc>
          <w:tcPr>
            <w:tcW w:w="0" w:type="auto"/>
          </w:tcPr>
          <w:p w14:paraId="7CEDC8FD" w14:textId="7FFD4FA8">
            <w:pPr>
              <w:spacing w:before="0" w:after="0" w:line="240" w:lineRule="auto"/>
              <w:ind w:firstLine="0"/>
            </w:pPr>
            <w:r>
              <w:rPr>
                <w:rFonts w:ascii="Times New Roman" w:hAnsi="Times New Roman" w:eastAsia="Times New Roman"/>
                <w:sz w:val="20"/>
              </w:rPr>
              <w:t xml:space="preserve">Not reported</w:t>
            </w:r>
          </w:p>
        </w:tc>
        <w:tc>
          <w:tcPr>
            <w:tcW w:w="0" w:type="auto"/>
          </w:tcPr>
          <w:p w14:paraId="4944842D" w14:textId="7FFD4FA9">
            <w:pPr>
              <w:spacing w:before="0" w:after="0" w:line="240" w:lineRule="auto"/>
              <w:ind w:firstLine="0"/>
            </w:pPr>
            <w:r>
              <w:rPr>
                <w:rFonts w:ascii="Times New Roman" w:hAnsi="Times New Roman" w:eastAsia="Times New Roman"/>
                <w:sz w:val="20"/>
              </w:rPr>
              <w:t xml:space="preserve">Not reported</w:t>
            </w:r>
          </w:p>
        </w:tc>
        <w:tc>
          <w:tcPr>
            <w:tcW w:w="0" w:type="auto"/>
          </w:tcPr>
          <w:p w14:paraId="648F8C56" w14:textId="7FFD4DB7">
            <w:pPr>
              <w:spacing w:before="0" w:after="0" w:line="240" w:lineRule="auto"/>
              <w:ind w:firstLine="0"/>
            </w:pPr>
            <w:r>
              <w:rPr>
                <w:rFonts w:ascii="Times New Roman" w:hAnsi="Times New Roman" w:eastAsia="Times New Roman"/>
                <w:sz w:val="20"/>
              </w:rPr>
              <w:t>493/155</w:t>
            </w:r>
          </w:p>
        </w:tc>
        <w:tc>
          <w:tcPr>
            <w:tcW w:w="0" w:type="auto"/>
          </w:tcPr>
          <w:p w14:paraId="72079ED9" w14:textId="7FFD50BA">
            <w:pPr>
              <w:spacing w:before="0" w:after="0" w:line="240" w:lineRule="auto"/>
              <w:ind w:firstLine="0"/>
            </w:pPr>
            <w:r>
              <w:rPr>
                <w:rFonts w:ascii="Times New Roman" w:hAnsi="Times New Roman" w:eastAsia="Times New Roman"/>
                <w:sz w:val="20"/>
              </w:rPr>
              <w:t xml:space="preserve">Exploratory standardized point estimate; no interval or P-value inference</w:t>
            </w:r>
          </w:p>
        </w:tc>
      </w:tr>
      <w:tr w14:paraId="038BB97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44A91905" w14:textId="7FFD4FA2">
            <w:pPr>
              <w:spacing w:before="0" w:after="0" w:line="240" w:lineRule="auto"/>
              <w:ind w:firstLine="0"/>
            </w:pPr>
            <w:r>
              <w:rPr>
                <w:rFonts w:ascii="Times New Roman" w:hAnsi="Times New Roman" w:eastAsia="Times New Roman"/>
                <w:sz w:val="20"/>
              </w:rPr>
              <w:t xml:space="preserve">5-year restricted mean survival time</w:t>
            </w:r>
          </w:p>
        </w:tc>
        <w:tc>
          <w:tcPr>
            <w:tcW w:w="515" w:type="pct"/>
          </w:tcPr>
          <w:p w14:paraId="2631A07F" w14:textId="7FFD5057">
            <w:pPr>
              <w:spacing w:before="0" w:after="0" w:line="240" w:lineRule="auto"/>
              <w:ind w:firstLine="0"/>
            </w:pPr>
            <w:r>
              <w:rPr>
                <w:rFonts w:ascii="Times New Roman" w:hAnsi="Times New Roman" w:eastAsia="Times New Roman"/>
                <w:sz w:val="20"/>
              </w:rPr>
              <w:t xml:space="preserve">CKM stage 4</w:t>
            </w:r>
          </w:p>
        </w:tc>
        <w:tc>
          <w:tcPr>
            <w:tcW w:w="628" w:type="pct"/>
          </w:tcPr>
          <w:p w14:paraId="58E6ED25" w14:textId="7FFD4FA5">
            <w:pPr>
              <w:spacing w:before="0" w:after="0" w:line="240" w:lineRule="auto"/>
              <w:ind w:firstLine="0"/>
            </w:pPr>
            <w:r>
              <w:rPr>
                <w:rFonts w:ascii="Times New Roman" w:hAnsi="Times New Roman" w:eastAsia="Times New Roman"/>
                <w:sz w:val="20"/>
              </w:rPr>
              <w:t xml:space="preserve">Mean difference, 0.0453 years</w:t>
            </w:r>
          </w:p>
        </w:tc>
        <w:tc>
          <w:tcPr>
            <w:tcW w:w="0" w:type="auto"/>
          </w:tcPr>
          <w:p w14:paraId="2E248972" w14:textId="7FFD4FAA">
            <w:pPr>
              <w:spacing w:before="0" w:after="0" w:line="240" w:lineRule="auto"/>
              <w:ind w:firstLine="0"/>
            </w:pPr>
            <w:r>
              <w:rPr>
                <w:rFonts w:ascii="Times New Roman" w:hAnsi="Times New Roman" w:eastAsia="Times New Roman"/>
                <w:sz w:val="20"/>
              </w:rPr>
              <w:t xml:space="preserve">Not reported</w:t>
            </w:r>
          </w:p>
        </w:tc>
        <w:tc>
          <w:tcPr>
            <w:tcW w:w="0" w:type="auto"/>
          </w:tcPr>
          <w:p w14:paraId="4AB9AE8F" w14:textId="7FFD4FAB">
            <w:pPr>
              <w:spacing w:before="0" w:after="0" w:line="240" w:lineRule="auto"/>
              <w:ind w:firstLine="0"/>
            </w:pPr>
            <w:r>
              <w:rPr>
                <w:rFonts w:ascii="Times New Roman" w:hAnsi="Times New Roman" w:eastAsia="Times New Roman"/>
                <w:sz w:val="20"/>
              </w:rPr>
              <w:t xml:space="preserve">Not reported</w:t>
            </w:r>
          </w:p>
        </w:tc>
        <w:tc>
          <w:tcPr>
            <w:tcW w:w="0" w:type="auto"/>
          </w:tcPr>
          <w:p w14:paraId="506A7D1D" w14:textId="7FFD4DBE">
            <w:pPr>
              <w:spacing w:before="0" w:after="0" w:line="240" w:lineRule="auto"/>
              <w:ind w:firstLine="0"/>
            </w:pPr>
            <w:r>
              <w:rPr>
                <w:rFonts w:ascii="Times New Roman" w:hAnsi="Times New Roman" w:eastAsia="Times New Roman"/>
                <w:sz w:val="20"/>
              </w:rPr>
              <w:t>1,566/525</w:t>
            </w:r>
          </w:p>
        </w:tc>
        <w:tc>
          <w:tcPr>
            <w:tcW w:w="0" w:type="auto"/>
          </w:tcPr>
          <w:p w14:paraId="204EA139" w14:textId="7FFD50BB">
            <w:pPr>
              <w:spacing w:before="0" w:after="0" w:line="240" w:lineRule="auto"/>
              <w:ind w:firstLine="0"/>
            </w:pPr>
            <w:r>
              <w:rPr>
                <w:rFonts w:ascii="Times New Roman" w:hAnsi="Times New Roman" w:eastAsia="Times New Roman"/>
                <w:sz w:val="20"/>
              </w:rPr>
              <w:t xml:space="preserve">Exploratory standardized point estimate; no interval or P-value inference</w:t>
            </w:r>
          </w:p>
        </w:tc>
      </w:tr>
      <w:tr w14:paraId="297D36E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2256AEB9" w14:textId="7FFD4FAC">
            <w:pPr>
              <w:spacing w:before="0" w:after="0" w:line="240" w:lineRule="auto"/>
              <w:ind w:firstLine="0"/>
            </w:pPr>
            <w:r>
              <w:rPr>
                <w:rFonts w:ascii="Times New Roman" w:hAnsi="Times New Roman" w:eastAsia="Times New Roman"/>
                <w:sz w:val="20"/>
              </w:rPr>
              <w:t xml:space="preserve">Excluding deaths within 2 years of baseline</w:t>
            </w:r>
          </w:p>
        </w:tc>
        <w:tc>
          <w:tcPr>
            <w:tcW w:w="515" w:type="pct"/>
          </w:tcPr>
          <w:p w14:paraId="7279B44A" w14:textId="7FFD4F2F">
            <w:pPr>
              <w:spacing w:before="0" w:after="0" w:line="240" w:lineRule="auto"/>
              <w:ind w:firstLine="0"/>
            </w:pPr>
            <w:r>
              <w:rPr>
                <w:rFonts w:ascii="Times New Roman" w:hAnsi="Times New Roman" w:eastAsia="Times New Roman"/>
                <w:sz w:val="20"/>
              </w:rPr>
              <w:t xml:space="preserve">Overall</w:t>
            </w:r>
          </w:p>
        </w:tc>
        <w:tc>
          <w:tcPr>
            <w:tcW w:w="628" w:type="pct"/>
          </w:tcPr>
          <w:p w14:paraId="420666DB" w14:textId="7FFD4DC2">
            <w:pPr>
              <w:spacing w:before="0" w:after="0" w:line="240" w:lineRule="auto"/>
              <w:ind w:firstLine="0"/>
            </w:pPr>
            <w:r>
              <w:rPr>
                <w:rFonts w:ascii="Times New Roman" w:hAnsi="Times New Roman" w:eastAsia="Times New Roman"/>
                <w:sz w:val="20"/>
              </w:rPr>
              <w:t>F=18.15</w:t>
            </w:r>
          </w:p>
        </w:tc>
        <w:tc>
          <w:tcPr>
            <w:tcW w:w="0" w:type="auto"/>
          </w:tcPr>
          <w:p w14:paraId="0AA4AFA9" w14:textId="7FFD4DC3">
            <w:pPr>
              <w:spacing w:before="0" w:after="0" w:line="240" w:lineRule="auto"/>
              <w:ind w:firstLine="0"/>
            </w:pPr>
            <w:r>
              <w:rPr>
                <w:rFonts w:ascii="Times New Roman" w:hAnsi="Times New Roman" w:eastAsia="Times New Roman"/>
                <w:sz w:val="20"/>
              </w:rPr>
              <w:t>—</w:t>
            </w:r>
          </w:p>
        </w:tc>
        <w:tc>
          <w:tcPr>
            <w:tcW w:w="0" w:type="auto"/>
          </w:tcPr>
          <w:p w14:paraId="6AF3A089" w14:textId="7FFD4DC4">
            <w:pPr>
              <w:spacing w:before="0" w:after="0" w:line="240" w:lineRule="auto"/>
              <w:ind w:firstLine="0"/>
            </w:pPr>
            <w:r>
              <w:t>4.71×10⁻⁹</w:t>
            </w:r>
          </w:p>
        </w:tc>
        <w:tc>
          <w:tcPr>
            <w:tcW w:w="0" w:type="auto"/>
          </w:tcPr>
          <w:p w14:paraId="1F62A62D" w14:textId="7FFD4DC5">
            <w:pPr>
              <w:spacing w:before="0" w:after="0" w:line="240" w:lineRule="auto"/>
              <w:ind w:firstLine="0"/>
            </w:pPr>
            <w:r>
              <w:rPr>
                <w:rFonts w:ascii="Times New Roman" w:hAnsi="Times New Roman" w:eastAsia="Times New Roman"/>
                <w:sz w:val="20"/>
              </w:rPr>
              <w:t>5826/770</w:t>
            </w:r>
          </w:p>
        </w:tc>
        <w:tc>
          <w:tcPr>
            <w:tcW w:w="0" w:type="auto"/>
          </w:tcPr>
          <w:p w14:paraId="268DD04F" w14:textId="7FFD4F92">
            <w:pPr>
              <w:spacing w:before="0" w:after="0" w:line="240" w:lineRule="auto"/>
              <w:ind w:firstLine="0"/>
            </w:pPr>
            <w:r>
              <w:rPr>
                <w:rFonts w:ascii="Times New Roman" w:hAnsi="Times New Roman" w:eastAsia="Times New Roman"/>
                <w:sz w:val="20"/>
              </w:rPr>
              <w:t xml:space="preserve">Complex survey linearization</w:t>
            </w:r>
          </w:p>
        </w:tc>
      </w:tr>
      <w:tr w14:paraId="483E6A6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0" w:type="dxa"/>
            <w:bottom w:w="0" w:type="dxa"/>
            <w:right w:w="0" w:type="dxa"/>
          </w:tblCellMar>
        </w:tblPrEx>
        <w:tc>
          <w:tcPr>
            <w:tcW w:w="0" w:type="auto"/>
          </w:tcPr>
          <w:p w14:paraId="43AEF07D" w14:textId="7FFD4FAD">
            <w:pPr>
              <w:spacing w:before="0" w:after="0" w:line="240" w:lineRule="auto"/>
              <w:ind w:firstLine="0"/>
            </w:pPr>
            <w:r>
              <w:rPr>
                <w:rFonts w:ascii="Times New Roman" w:hAnsi="Times New Roman" w:eastAsia="Times New Roman"/>
                <w:sz w:val="20"/>
              </w:rPr>
              <w:t xml:space="preserve">Excluding deaths within 2 years of baseline</w:t>
            </w:r>
          </w:p>
        </w:tc>
        <w:tc>
          <w:tcPr>
            <w:tcW w:w="515" w:type="pct"/>
          </w:tcPr>
          <w:p w14:paraId="294CBF55" w14:textId="7FFD503B">
            <w:pPr>
              <w:spacing w:before="0" w:after="0" w:line="240" w:lineRule="auto"/>
              <w:ind w:firstLine="0"/>
            </w:pPr>
            <w:r>
              <w:rPr>
                <w:rFonts w:ascii="Times New Roman" w:hAnsi="Times New Roman" w:eastAsia="Times New Roman"/>
                <w:sz w:val="20"/>
              </w:rPr>
              <w:t xml:space="preserve">CKM stages 0–2</w:t>
            </w:r>
          </w:p>
        </w:tc>
        <w:tc>
          <w:tcPr>
            <w:tcW w:w="628" w:type="pct"/>
          </w:tcPr>
          <w:p w14:paraId="0054E425" w14:textId="7FFD4DC9">
            <w:pPr>
              <w:spacing w:before="0" w:after="0" w:line="240" w:lineRule="auto"/>
              <w:ind w:firstLine="0"/>
            </w:pPr>
            <w:r>
              <w:rPr>
                <w:rFonts w:ascii="Times New Roman" w:hAnsi="Times New Roman" w:eastAsia="Times New Roman"/>
                <w:sz w:val="20"/>
              </w:rPr>
              <w:t>HR 0.801</w:t>
            </w:r>
          </w:p>
        </w:tc>
        <w:tc>
          <w:tcPr>
            <w:tcW w:w="0" w:type="auto"/>
          </w:tcPr>
          <w:p w14:paraId="53C0FEC3" w14:textId="7FFD5080">
            <w:pPr>
              <w:spacing w:before="0" w:after="0" w:line="240" w:lineRule="auto"/>
              <w:ind w:firstLine="0"/>
            </w:pPr>
            <w:r>
              <w:rPr>
                <w:rFonts w:ascii="Times New Roman" w:hAnsi="Times New Roman" w:eastAsia="Times New Roman"/>
                <w:sz w:val="20"/>
              </w:rPr>
              <w:t xml:space="preserve">0.714–0.899</w:t>
            </w:r>
          </w:p>
        </w:tc>
        <w:tc>
          <w:tcPr>
            <w:tcW w:w="0" w:type="auto"/>
          </w:tcPr>
          <w:p w14:paraId="2DFA55D6" w14:textId="7FFD4DCB">
            <w:pPr>
              <w:spacing w:before="0" w:after="0" w:line="240" w:lineRule="auto"/>
              <w:ind w:firstLine="0"/>
            </w:pPr>
            <w:r>
              <w:t>0.000164</w:t>
            </w:r>
          </w:p>
        </w:tc>
        <w:tc>
          <w:tcPr>
            <w:tcW w:w="0" w:type="auto"/>
          </w:tcPr>
          <w:p w14:paraId="77BBB02E" w14:textId="7FFD4DCC">
            <w:pPr>
              <w:spacing w:before="0" w:after="0" w:line="240" w:lineRule="auto"/>
              <w:ind w:firstLine="0"/>
            </w:pPr>
            <w:r>
              <w:rPr>
                <w:rFonts w:ascii="Times New Roman" w:hAnsi="Times New Roman" w:eastAsia="Times New Roman"/>
                <w:sz w:val="20"/>
              </w:rPr>
              <w:t>5826/770</w:t>
            </w:r>
          </w:p>
        </w:tc>
        <w:tc>
          <w:tcPr>
            <w:tcW w:w="0" w:type="auto"/>
          </w:tcPr>
          <w:p w14:paraId="7662D2D0" w14:textId="7FFD4F93">
            <w:pPr>
              <w:spacing w:before="0" w:after="0" w:line="240" w:lineRule="auto"/>
              <w:ind w:firstLine="0"/>
            </w:pPr>
            <w:r>
              <w:rPr>
                <w:rFonts w:ascii="Times New Roman" w:hAnsi="Times New Roman" w:eastAsia="Times New Roman"/>
                <w:sz w:val="20"/>
              </w:rPr>
              <w:t xml:space="preserve">Complex survey linearization</w:t>
            </w:r>
          </w:p>
        </w:tc>
      </w:tr>
      <w:tr w14:paraId="11BB705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1D83C59C" w14:textId="7FFD4FAE">
            <w:pPr>
              <w:spacing w:before="0" w:after="0" w:line="240" w:lineRule="auto"/>
              <w:ind w:firstLine="0"/>
            </w:pPr>
            <w:r>
              <w:rPr>
                <w:rFonts w:ascii="Times New Roman" w:hAnsi="Times New Roman" w:eastAsia="Times New Roman"/>
                <w:sz w:val="20"/>
              </w:rPr>
              <w:t xml:space="preserve">Excluding deaths within 2 years of baseline</w:t>
            </w:r>
          </w:p>
        </w:tc>
        <w:tc>
          <w:tcPr>
            <w:tcW w:w="515" w:type="pct"/>
          </w:tcPr>
          <w:p w14:paraId="6340B841" w14:textId="7FFD5049">
            <w:pPr>
              <w:spacing w:before="0" w:after="0" w:line="240" w:lineRule="auto"/>
              <w:ind w:firstLine="0"/>
            </w:pPr>
            <w:r>
              <w:rPr>
                <w:rFonts w:ascii="Times New Roman" w:hAnsi="Times New Roman" w:eastAsia="Times New Roman"/>
                <w:sz w:val="20"/>
              </w:rPr>
              <w:t xml:space="preserve">CKM stage 3</w:t>
            </w:r>
          </w:p>
        </w:tc>
        <w:tc>
          <w:tcPr>
            <w:tcW w:w="628" w:type="pct"/>
          </w:tcPr>
          <w:p w14:paraId="44E97380" w14:textId="7FFD4DD0">
            <w:pPr>
              <w:spacing w:before="0" w:after="0" w:line="240" w:lineRule="auto"/>
              <w:ind w:firstLine="0"/>
            </w:pPr>
            <w:r>
              <w:rPr>
                <w:rFonts w:ascii="Times New Roman" w:hAnsi="Times New Roman" w:eastAsia="Times New Roman"/>
                <w:sz w:val="20"/>
              </w:rPr>
              <w:t>HR 0.966</w:t>
            </w:r>
          </w:p>
        </w:tc>
        <w:tc>
          <w:tcPr>
            <w:tcW w:w="0" w:type="auto"/>
          </w:tcPr>
          <w:p w14:paraId="4B00BFD4" w14:textId="7FFD5081">
            <w:pPr>
              <w:spacing w:before="0" w:after="0" w:line="240" w:lineRule="auto"/>
              <w:ind w:firstLine="0"/>
            </w:pPr>
            <w:r>
              <w:rPr>
                <w:rFonts w:ascii="Times New Roman" w:hAnsi="Times New Roman" w:eastAsia="Times New Roman"/>
                <w:sz w:val="20"/>
              </w:rPr>
              <w:t xml:space="preserve">0.837–1.114</w:t>
            </w:r>
          </w:p>
        </w:tc>
        <w:tc>
          <w:tcPr>
            <w:tcW w:w="0" w:type="auto"/>
          </w:tcPr>
          <w:p w14:paraId="76CC090B" w14:textId="7FFD4DD2">
            <w:pPr>
              <w:spacing w:before="0" w:after="0" w:line="240" w:lineRule="auto"/>
              <w:ind w:firstLine="0"/>
            </w:pPr>
            <w:r>
              <w:t>0.630</w:t>
            </w:r>
          </w:p>
        </w:tc>
        <w:tc>
          <w:tcPr>
            <w:tcW w:w="0" w:type="auto"/>
          </w:tcPr>
          <w:p w14:paraId="0C83F3D2" w14:textId="7FFD4DD3">
            <w:pPr>
              <w:spacing w:before="0" w:after="0" w:line="240" w:lineRule="auto"/>
              <w:ind w:firstLine="0"/>
            </w:pPr>
            <w:r>
              <w:rPr>
                <w:rFonts w:ascii="Times New Roman" w:hAnsi="Times New Roman" w:eastAsia="Times New Roman"/>
                <w:sz w:val="20"/>
              </w:rPr>
              <w:t>5826/770</w:t>
            </w:r>
          </w:p>
        </w:tc>
        <w:tc>
          <w:tcPr>
            <w:tcW w:w="0" w:type="auto"/>
          </w:tcPr>
          <w:p w14:paraId="3D2D6654" w14:textId="7FFD4F94">
            <w:pPr>
              <w:spacing w:before="0" w:after="0" w:line="240" w:lineRule="auto"/>
              <w:ind w:firstLine="0"/>
            </w:pPr>
            <w:r>
              <w:rPr>
                <w:rFonts w:ascii="Times New Roman" w:hAnsi="Times New Roman" w:eastAsia="Times New Roman"/>
                <w:sz w:val="20"/>
              </w:rPr>
              <w:t xml:space="preserve">Complex survey linearization</w:t>
            </w:r>
          </w:p>
        </w:tc>
      </w:tr>
      <w:tr w14:paraId="6E59278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5ED1B2EA" w14:textId="7FFD4FAF">
            <w:pPr>
              <w:spacing w:before="0" w:after="0" w:line="240" w:lineRule="auto"/>
              <w:ind w:firstLine="0"/>
            </w:pPr>
            <w:r>
              <w:rPr>
                <w:rFonts w:ascii="Times New Roman" w:hAnsi="Times New Roman" w:eastAsia="Times New Roman"/>
                <w:sz w:val="20"/>
              </w:rPr>
              <w:t xml:space="preserve">Excluding deaths within 2 years of baseline</w:t>
            </w:r>
          </w:p>
        </w:tc>
        <w:tc>
          <w:tcPr>
            <w:tcW w:w="515" w:type="pct"/>
          </w:tcPr>
          <w:p w14:paraId="2DC997C5" w14:textId="7FFD5058">
            <w:pPr>
              <w:spacing w:before="0" w:after="0" w:line="240" w:lineRule="auto"/>
              <w:ind w:firstLine="0"/>
            </w:pPr>
            <w:r>
              <w:rPr>
                <w:rFonts w:ascii="Times New Roman" w:hAnsi="Times New Roman" w:eastAsia="Times New Roman"/>
                <w:sz w:val="20"/>
              </w:rPr>
              <w:t xml:space="preserve">CKM stage 4</w:t>
            </w:r>
          </w:p>
        </w:tc>
        <w:tc>
          <w:tcPr>
            <w:tcW w:w="628" w:type="pct"/>
          </w:tcPr>
          <w:p w14:paraId="29D03576" w14:textId="7FFD4DD7">
            <w:pPr>
              <w:spacing w:before="0" w:after="0" w:line="240" w:lineRule="auto"/>
              <w:ind w:firstLine="0"/>
            </w:pPr>
            <w:r>
              <w:rPr>
                <w:rFonts w:ascii="Times New Roman" w:hAnsi="Times New Roman" w:eastAsia="Times New Roman"/>
                <w:sz w:val="20"/>
              </w:rPr>
              <w:t>HR 0.836</w:t>
            </w:r>
          </w:p>
        </w:tc>
        <w:tc>
          <w:tcPr>
            <w:tcW w:w="0" w:type="auto"/>
          </w:tcPr>
          <w:p w14:paraId="339FC1FD" w14:textId="7FFD5082">
            <w:pPr>
              <w:spacing w:before="0" w:after="0" w:line="240" w:lineRule="auto"/>
              <w:ind w:firstLine="0"/>
            </w:pPr>
            <w:r>
              <w:rPr>
                <w:rFonts w:ascii="Times New Roman" w:hAnsi="Times New Roman" w:eastAsia="Times New Roman"/>
                <w:sz w:val="20"/>
              </w:rPr>
              <w:t xml:space="preserve">0.789–0.885</w:t>
            </w:r>
          </w:p>
        </w:tc>
        <w:tc>
          <w:tcPr>
            <w:tcW w:w="0" w:type="auto"/>
          </w:tcPr>
          <w:p w14:paraId="12E1E3C0" w14:textId="7FFD4DD9">
            <w:pPr>
              <w:spacing w:before="0" w:after="0" w:line="240" w:lineRule="auto"/>
              <w:ind w:firstLine="0"/>
            </w:pPr>
            <w:r>
              <w:t>1.02×10⁻⁹</w:t>
            </w:r>
          </w:p>
        </w:tc>
        <w:tc>
          <w:tcPr>
            <w:tcW w:w="0" w:type="auto"/>
          </w:tcPr>
          <w:p w14:paraId="7EEAF23F" w14:textId="7FFD4DDA">
            <w:pPr>
              <w:spacing w:before="0" w:after="0" w:line="240" w:lineRule="auto"/>
              <w:ind w:firstLine="0"/>
            </w:pPr>
            <w:r>
              <w:rPr>
                <w:rFonts w:ascii="Times New Roman" w:hAnsi="Times New Roman" w:eastAsia="Times New Roman"/>
                <w:sz w:val="20"/>
              </w:rPr>
              <w:t>5826/770</w:t>
            </w:r>
          </w:p>
        </w:tc>
        <w:tc>
          <w:tcPr>
            <w:tcW w:w="0" w:type="auto"/>
          </w:tcPr>
          <w:p w14:paraId="165C4F41" w14:textId="7FFD4F95">
            <w:pPr>
              <w:spacing w:before="0" w:after="0" w:line="240" w:lineRule="auto"/>
              <w:ind w:firstLine="0"/>
            </w:pPr>
            <w:r>
              <w:rPr>
                <w:rFonts w:ascii="Times New Roman" w:hAnsi="Times New Roman" w:eastAsia="Times New Roman"/>
                <w:sz w:val="20"/>
              </w:rPr>
              <w:t xml:space="preserve">Complex survey linearization</w:t>
            </w:r>
          </w:p>
        </w:tc>
      </w:tr>
      <w:tr w14:paraId="0F4543D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6D4E9213" w14:textId="7FFD4FB0">
            <w:pPr>
              <w:spacing w:before="0" w:after="0" w:line="240" w:lineRule="auto"/>
              <w:ind w:firstLine="0"/>
            </w:pPr>
            <w:r>
              <w:rPr>
                <w:rFonts w:ascii="Times New Roman" w:hAnsi="Times New Roman" w:eastAsia="Times New Roman"/>
                <w:sz w:val="20"/>
              </w:rPr>
              <w:t xml:space="preserve">Alternative eGFR/CKM rules</w:t>
            </w:r>
          </w:p>
        </w:tc>
        <w:tc>
          <w:tcPr>
            <w:tcW w:w="515" w:type="pct"/>
          </w:tcPr>
          <w:p w14:paraId="7A46E4E6" w14:textId="7FFD4F30">
            <w:pPr>
              <w:spacing w:before="0" w:after="0" w:line="240" w:lineRule="auto"/>
              <w:ind w:firstLine="0"/>
            </w:pPr>
            <w:r>
              <w:rPr>
                <w:rFonts w:ascii="Times New Roman" w:hAnsi="Times New Roman" w:eastAsia="Times New Roman"/>
                <w:sz w:val="20"/>
              </w:rPr>
              <w:t xml:space="preserve">Overall</w:t>
            </w:r>
          </w:p>
        </w:tc>
        <w:tc>
          <w:tcPr>
            <w:tcW w:w="628" w:type="pct"/>
          </w:tcPr>
          <w:p w14:paraId="0CC85174" w14:textId="7FFD4DDE">
            <w:pPr>
              <w:spacing w:before="0" w:after="0" w:line="240" w:lineRule="auto"/>
              <w:ind w:firstLine="0"/>
            </w:pPr>
            <w:r>
              <w:rPr>
                <w:rFonts w:ascii="Times New Roman" w:hAnsi="Times New Roman" w:eastAsia="Times New Roman"/>
                <w:sz w:val="20"/>
              </w:rPr>
              <w:t>F=20.04</w:t>
            </w:r>
          </w:p>
        </w:tc>
        <w:tc>
          <w:tcPr>
            <w:tcW w:w="0" w:type="auto"/>
          </w:tcPr>
          <w:p w14:paraId="7BE99964" w14:textId="7FFD4DDF">
            <w:pPr>
              <w:spacing w:before="0" w:after="0" w:line="240" w:lineRule="auto"/>
              <w:ind w:firstLine="0"/>
            </w:pPr>
            <w:r>
              <w:rPr>
                <w:rFonts w:ascii="Times New Roman" w:hAnsi="Times New Roman" w:eastAsia="Times New Roman"/>
                <w:sz w:val="20"/>
              </w:rPr>
              <w:t>—</w:t>
            </w:r>
          </w:p>
        </w:tc>
        <w:tc>
          <w:tcPr>
            <w:tcW w:w="0" w:type="auto"/>
          </w:tcPr>
          <w:p w14:paraId="4BAE91C1" w14:textId="7FFD4DE0">
            <w:pPr>
              <w:spacing w:before="0" w:after="0" w:line="240" w:lineRule="auto"/>
              <w:ind w:firstLine="0"/>
            </w:pPr>
            <w:r>
              <w:t>9.36×10⁻¹⁰</w:t>
            </w:r>
          </w:p>
        </w:tc>
        <w:tc>
          <w:tcPr>
            <w:tcW w:w="0" w:type="auto"/>
          </w:tcPr>
          <w:p w14:paraId="031A7FB2" w14:textId="7FFD4DE1">
            <w:pPr>
              <w:spacing w:before="0" w:after="0" w:line="240" w:lineRule="auto"/>
              <w:ind w:firstLine="0"/>
            </w:pPr>
            <w:r>
              <w:rPr>
                <w:rFonts w:ascii="Times New Roman" w:hAnsi="Times New Roman" w:eastAsia="Times New Roman"/>
                <w:sz w:val="20"/>
              </w:rPr>
              <w:t>5,949/893</w:t>
            </w:r>
          </w:p>
        </w:tc>
        <w:tc>
          <w:tcPr>
            <w:tcW w:w="0" w:type="auto"/>
          </w:tcPr>
          <w:p w14:paraId="2AA17654" w14:textId="7FFD4F96">
            <w:pPr>
              <w:spacing w:before="0" w:after="0" w:line="240" w:lineRule="auto"/>
              <w:ind w:firstLine="0"/>
            </w:pPr>
            <w:r>
              <w:rPr>
                <w:rFonts w:ascii="Times New Roman" w:hAnsi="Times New Roman" w:eastAsia="Times New Roman"/>
                <w:sz w:val="20"/>
              </w:rPr>
              <w:t xml:space="preserve">Complex survey linearization</w:t>
            </w:r>
          </w:p>
        </w:tc>
      </w:tr>
      <w:tr w14:paraId="7D005EB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6F4973D6" w14:textId="7FFD4FB1">
            <w:pPr>
              <w:spacing w:before="0" w:after="0" w:line="240" w:lineRule="auto"/>
              <w:ind w:firstLine="0"/>
            </w:pPr>
            <w:r>
              <w:rPr>
                <w:rFonts w:ascii="Times New Roman" w:hAnsi="Times New Roman" w:eastAsia="Times New Roman"/>
                <w:sz w:val="20"/>
              </w:rPr>
              <w:t xml:space="preserve">Alternative eGFR/CKM rules</w:t>
            </w:r>
          </w:p>
        </w:tc>
        <w:tc>
          <w:tcPr>
            <w:tcW w:w="515" w:type="pct"/>
          </w:tcPr>
          <w:p w14:paraId="6FEDD0ED" w14:textId="7FFD503C">
            <w:pPr>
              <w:spacing w:before="0" w:after="0" w:line="240" w:lineRule="auto"/>
              <w:ind w:firstLine="0"/>
            </w:pPr>
            <w:r>
              <w:rPr>
                <w:rFonts w:ascii="Times New Roman" w:hAnsi="Times New Roman" w:eastAsia="Times New Roman"/>
                <w:sz w:val="20"/>
              </w:rPr>
              <w:t xml:space="preserve">CKM stages 0–2</w:t>
            </w:r>
          </w:p>
        </w:tc>
        <w:tc>
          <w:tcPr>
            <w:tcW w:w="628" w:type="pct"/>
          </w:tcPr>
          <w:p w14:paraId="1174FB6D" w14:textId="7FFD4DE5">
            <w:pPr>
              <w:spacing w:before="0" w:after="0" w:line="240" w:lineRule="auto"/>
              <w:ind w:firstLine="0"/>
            </w:pPr>
            <w:r>
              <w:rPr>
                <w:rFonts w:ascii="Times New Roman" w:hAnsi="Times New Roman" w:eastAsia="Times New Roman"/>
                <w:sz w:val="20"/>
              </w:rPr>
              <w:t>HR 0.807</w:t>
            </w:r>
          </w:p>
        </w:tc>
        <w:tc>
          <w:tcPr>
            <w:tcW w:w="0" w:type="auto"/>
          </w:tcPr>
          <w:p w14:paraId="4FDE4AA8" w14:textId="7FFD5083">
            <w:pPr>
              <w:spacing w:before="0" w:after="0" w:line="240" w:lineRule="auto"/>
              <w:ind w:firstLine="0"/>
            </w:pPr>
            <w:r>
              <w:rPr>
                <w:rFonts w:ascii="Times New Roman" w:hAnsi="Times New Roman" w:eastAsia="Times New Roman"/>
                <w:sz w:val="20"/>
              </w:rPr>
              <w:t xml:space="preserve">0.724–0.900</w:t>
            </w:r>
          </w:p>
        </w:tc>
        <w:tc>
          <w:tcPr>
            <w:tcW w:w="0" w:type="auto"/>
          </w:tcPr>
          <w:p w14:paraId="1DE2E281" w14:textId="7FFD4DE7">
            <w:pPr>
              <w:spacing w:before="0" w:after="0" w:line="240" w:lineRule="auto"/>
              <w:ind w:firstLine="0"/>
            </w:pPr>
            <w:r>
              <w:t>0.000107</w:t>
            </w:r>
          </w:p>
        </w:tc>
        <w:tc>
          <w:tcPr>
            <w:tcW w:w="0" w:type="auto"/>
          </w:tcPr>
          <w:p w14:paraId="24182FAE" w14:textId="7FFD4DE8">
            <w:pPr>
              <w:spacing w:before="0" w:after="0" w:line="240" w:lineRule="auto"/>
              <w:ind w:firstLine="0"/>
            </w:pPr>
            <w:r>
              <w:rPr>
                <w:rFonts w:ascii="Times New Roman" w:hAnsi="Times New Roman" w:eastAsia="Times New Roman"/>
                <w:sz w:val="20"/>
              </w:rPr>
              <w:t>5,949/893</w:t>
            </w:r>
          </w:p>
        </w:tc>
        <w:tc>
          <w:tcPr>
            <w:tcW w:w="0" w:type="auto"/>
          </w:tcPr>
          <w:p w14:paraId="4EE9DE42" w14:textId="7FFD4F97">
            <w:pPr>
              <w:spacing w:before="0" w:after="0" w:line="240" w:lineRule="auto"/>
              <w:ind w:firstLine="0"/>
            </w:pPr>
            <w:r>
              <w:rPr>
                <w:rFonts w:ascii="Times New Roman" w:hAnsi="Times New Roman" w:eastAsia="Times New Roman"/>
                <w:sz w:val="20"/>
              </w:rPr>
              <w:t xml:space="preserve">Complex survey linearization</w:t>
            </w:r>
          </w:p>
        </w:tc>
      </w:tr>
      <w:tr w14:paraId="697DD89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123EA365" w14:textId="7FFD4FB2">
            <w:pPr>
              <w:spacing w:before="0" w:after="0" w:line="240" w:lineRule="auto"/>
              <w:ind w:firstLine="0"/>
            </w:pPr>
            <w:r>
              <w:rPr>
                <w:rFonts w:ascii="Times New Roman" w:hAnsi="Times New Roman" w:eastAsia="Times New Roman"/>
                <w:sz w:val="20"/>
              </w:rPr>
              <w:t xml:space="preserve">Alternative eGFR/CKM rules</w:t>
            </w:r>
          </w:p>
        </w:tc>
        <w:tc>
          <w:tcPr>
            <w:tcW w:w="515" w:type="pct"/>
          </w:tcPr>
          <w:p w14:paraId="080F1869" w14:textId="7FFD504A">
            <w:pPr>
              <w:spacing w:before="0" w:after="0" w:line="240" w:lineRule="auto"/>
              <w:ind w:firstLine="0"/>
            </w:pPr>
            <w:r>
              <w:rPr>
                <w:rFonts w:ascii="Times New Roman" w:hAnsi="Times New Roman" w:eastAsia="Times New Roman"/>
                <w:sz w:val="20"/>
              </w:rPr>
              <w:t xml:space="preserve">CKM stage 3</w:t>
            </w:r>
          </w:p>
        </w:tc>
        <w:tc>
          <w:tcPr>
            <w:tcW w:w="628" w:type="pct"/>
          </w:tcPr>
          <w:p w14:paraId="462828E5" w14:textId="7FFD4DEC">
            <w:pPr>
              <w:spacing w:before="0" w:after="0" w:line="240" w:lineRule="auto"/>
              <w:ind w:firstLine="0"/>
            </w:pPr>
            <w:r>
              <w:rPr>
                <w:rFonts w:ascii="Times New Roman" w:hAnsi="Times New Roman" w:eastAsia="Times New Roman"/>
                <w:sz w:val="20"/>
              </w:rPr>
              <w:t>HR 0.952</w:t>
            </w:r>
          </w:p>
        </w:tc>
        <w:tc>
          <w:tcPr>
            <w:tcW w:w="0" w:type="auto"/>
          </w:tcPr>
          <w:p w14:paraId="0DB5AE3D" w14:textId="7FFD5084">
            <w:pPr>
              <w:spacing w:before="0" w:after="0" w:line="240" w:lineRule="auto"/>
              <w:ind w:firstLine="0"/>
            </w:pPr>
            <w:r>
              <w:rPr>
                <w:rFonts w:ascii="Times New Roman" w:hAnsi="Times New Roman" w:eastAsia="Times New Roman"/>
                <w:sz w:val="20"/>
              </w:rPr>
              <w:t xml:space="preserve">0.835–1.086</w:t>
            </w:r>
          </w:p>
        </w:tc>
        <w:tc>
          <w:tcPr>
            <w:tcW w:w="0" w:type="auto"/>
          </w:tcPr>
          <w:p w14:paraId="0DEA13DC" w14:textId="7FFD4DEE">
            <w:pPr>
              <w:spacing w:before="0" w:after="0" w:line="240" w:lineRule="auto"/>
              <w:ind w:firstLine="0"/>
            </w:pPr>
            <w:r>
              <w:t>0.463</w:t>
            </w:r>
          </w:p>
        </w:tc>
        <w:tc>
          <w:tcPr>
            <w:tcW w:w="0" w:type="auto"/>
          </w:tcPr>
          <w:p w14:paraId="68088D27" w14:textId="7FFD4DEF">
            <w:pPr>
              <w:spacing w:before="0" w:after="0" w:line="240" w:lineRule="auto"/>
              <w:ind w:firstLine="0"/>
            </w:pPr>
            <w:r>
              <w:rPr>
                <w:rFonts w:ascii="Times New Roman" w:hAnsi="Times New Roman" w:eastAsia="Times New Roman"/>
                <w:sz w:val="20"/>
              </w:rPr>
              <w:t>5,949/893</w:t>
            </w:r>
          </w:p>
        </w:tc>
        <w:tc>
          <w:tcPr>
            <w:tcW w:w="0" w:type="auto"/>
          </w:tcPr>
          <w:p w14:paraId="2B1BEDC8" w14:textId="7FFD4F98">
            <w:pPr>
              <w:spacing w:before="0" w:after="0" w:line="240" w:lineRule="auto"/>
              <w:ind w:firstLine="0"/>
            </w:pPr>
            <w:r>
              <w:rPr>
                <w:rFonts w:ascii="Times New Roman" w:hAnsi="Times New Roman" w:eastAsia="Times New Roman"/>
                <w:sz w:val="20"/>
              </w:rPr>
              <w:t xml:space="preserve">Complex survey linearization</w:t>
            </w:r>
          </w:p>
        </w:tc>
      </w:tr>
      <w:tr w14:paraId="49A3D23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1BEBD967" w14:textId="7FFD4FB3">
            <w:pPr>
              <w:spacing w:before="0" w:after="0" w:line="240" w:lineRule="auto"/>
              <w:ind w:firstLine="0"/>
            </w:pPr>
            <w:r>
              <w:rPr>
                <w:rFonts w:ascii="Times New Roman" w:hAnsi="Times New Roman" w:eastAsia="Times New Roman"/>
                <w:sz w:val="20"/>
              </w:rPr>
              <w:t xml:space="preserve">Alternative eGFR/CKM rules</w:t>
            </w:r>
          </w:p>
        </w:tc>
        <w:tc>
          <w:tcPr>
            <w:tcW w:w="515" w:type="pct"/>
          </w:tcPr>
          <w:p w14:paraId="41FFFA24" w14:textId="7FFD5059">
            <w:pPr>
              <w:spacing w:before="0" w:after="0" w:line="240" w:lineRule="auto"/>
              <w:ind w:firstLine="0"/>
            </w:pPr>
            <w:r>
              <w:rPr>
                <w:rFonts w:ascii="Times New Roman" w:hAnsi="Times New Roman" w:eastAsia="Times New Roman"/>
                <w:sz w:val="20"/>
              </w:rPr>
              <w:t xml:space="preserve">CKM stage 4</w:t>
            </w:r>
          </w:p>
        </w:tc>
        <w:tc>
          <w:tcPr>
            <w:tcW w:w="628" w:type="pct"/>
          </w:tcPr>
          <w:p w14:paraId="142C19FD" w14:textId="7FFD4DF3">
            <w:pPr>
              <w:spacing w:before="0" w:after="0" w:line="240" w:lineRule="auto"/>
              <w:ind w:firstLine="0"/>
            </w:pPr>
            <w:r>
              <w:rPr>
                <w:rFonts w:ascii="Times New Roman" w:hAnsi="Times New Roman" w:eastAsia="Times New Roman"/>
                <w:sz w:val="20"/>
              </w:rPr>
              <w:t>HR 0.831</w:t>
            </w:r>
          </w:p>
        </w:tc>
        <w:tc>
          <w:tcPr>
            <w:tcW w:w="0" w:type="auto"/>
          </w:tcPr>
          <w:p w14:paraId="7AEDA964" w14:textId="7FFD5085">
            <w:pPr>
              <w:spacing w:before="0" w:after="0" w:line="240" w:lineRule="auto"/>
              <w:ind w:firstLine="0"/>
            </w:pPr>
            <w:r>
              <w:rPr>
                <w:rFonts w:ascii="Times New Roman" w:hAnsi="Times New Roman" w:eastAsia="Times New Roman"/>
                <w:sz w:val="20"/>
              </w:rPr>
              <w:t xml:space="preserve">0.787–0.877</w:t>
            </w:r>
          </w:p>
        </w:tc>
        <w:tc>
          <w:tcPr>
            <w:tcW w:w="0" w:type="auto"/>
          </w:tcPr>
          <w:p w14:paraId="0A886129" w14:textId="7FFD4DF5">
            <w:pPr>
              <w:spacing w:before="0" w:after="0" w:line="240" w:lineRule="auto"/>
              <w:ind w:firstLine="0"/>
            </w:pPr>
            <w:r>
              <w:t>1.57×10⁻¹¹</w:t>
            </w:r>
          </w:p>
        </w:tc>
        <w:tc>
          <w:tcPr>
            <w:tcW w:w="0" w:type="auto"/>
          </w:tcPr>
          <w:p w14:paraId="2D0410BA" w14:textId="7FFD4DF6">
            <w:pPr>
              <w:spacing w:before="0" w:after="0" w:line="240" w:lineRule="auto"/>
              <w:ind w:firstLine="0"/>
            </w:pPr>
            <w:r>
              <w:rPr>
                <w:rFonts w:ascii="Times New Roman" w:hAnsi="Times New Roman" w:eastAsia="Times New Roman"/>
                <w:sz w:val="20"/>
              </w:rPr>
              <w:t>5,949/893</w:t>
            </w:r>
          </w:p>
        </w:tc>
        <w:tc>
          <w:tcPr>
            <w:tcW w:w="0" w:type="auto"/>
          </w:tcPr>
          <w:p w14:paraId="10027734" w14:textId="7FFD4F99">
            <w:pPr>
              <w:spacing w:before="0" w:after="0" w:line="240" w:lineRule="auto"/>
              <w:ind w:firstLine="0"/>
            </w:pPr>
            <w:r>
              <w:rPr>
                <w:rFonts w:ascii="Times New Roman" w:hAnsi="Times New Roman" w:eastAsia="Times New Roman"/>
                <w:sz w:val="20"/>
              </w:rPr>
              <w:t xml:space="preserve">Complex survey linearization</w:t>
            </w:r>
          </w:p>
        </w:tc>
      </w:tr>
      <w:tr w14:paraId="4E91AD6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2CC571E3" w14:textId="7FFD4F4B">
            <w:pPr>
              <w:spacing w:before="0" w:after="0" w:line="240" w:lineRule="auto"/>
              <w:ind w:firstLine="0"/>
            </w:pPr>
            <w:r>
              <w:rPr>
                <w:rFonts w:ascii="Times New Roman" w:hAnsi="Times New Roman" w:eastAsia="Times New Roman"/>
                <w:sz w:val="20"/>
              </w:rPr>
              <w:t xml:space="preserve">Attained-age time scale</w:t>
            </w:r>
          </w:p>
        </w:tc>
        <w:tc>
          <w:tcPr>
            <w:tcW w:w="515" w:type="pct"/>
          </w:tcPr>
          <w:p w14:paraId="2DAED161" w14:textId="7FFD4F31">
            <w:pPr>
              <w:spacing w:before="0" w:after="0" w:line="240" w:lineRule="auto"/>
              <w:ind w:firstLine="0"/>
            </w:pPr>
            <w:r>
              <w:rPr>
                <w:rFonts w:ascii="Times New Roman" w:hAnsi="Times New Roman" w:eastAsia="Times New Roman"/>
                <w:sz w:val="20"/>
              </w:rPr>
              <w:t xml:space="preserve">Overall</w:t>
            </w:r>
          </w:p>
        </w:tc>
        <w:tc>
          <w:tcPr>
            <w:tcW w:w="628" w:type="pct"/>
          </w:tcPr>
          <w:p w14:paraId="26A34DC2" w14:textId="7FFD4DFA">
            <w:pPr>
              <w:spacing w:before="0" w:after="0" w:line="240" w:lineRule="auto"/>
              <w:ind w:firstLine="0"/>
            </w:pPr>
            <w:r>
              <w:rPr>
                <w:rFonts w:ascii="Times New Roman" w:hAnsi="Times New Roman" w:eastAsia="Times New Roman"/>
                <w:sz w:val="20"/>
              </w:rPr>
              <w:t>F=20.74</w:t>
            </w:r>
          </w:p>
        </w:tc>
        <w:tc>
          <w:tcPr>
            <w:tcW w:w="0" w:type="auto"/>
          </w:tcPr>
          <w:p w14:paraId="61EAC4F2" w14:textId="7FFD4DFB">
            <w:pPr>
              <w:spacing w:before="0" w:after="0" w:line="240" w:lineRule="auto"/>
              <w:ind w:firstLine="0"/>
            </w:pPr>
            <w:r>
              <w:rPr>
                <w:rFonts w:ascii="Times New Roman" w:hAnsi="Times New Roman" w:eastAsia="Times New Roman"/>
                <w:sz w:val="20"/>
              </w:rPr>
              <w:t>—</w:t>
            </w:r>
          </w:p>
        </w:tc>
        <w:tc>
          <w:tcPr>
            <w:tcW w:w="0" w:type="auto"/>
          </w:tcPr>
          <w:p w14:paraId="06925DF8" w14:textId="7FFD4DFC">
            <w:pPr>
              <w:spacing w:before="0" w:after="0" w:line="240" w:lineRule="auto"/>
              <w:ind w:firstLine="0"/>
            </w:pPr>
            <w:r>
              <w:t>5.22×10⁻¹⁰</w:t>
            </w:r>
          </w:p>
        </w:tc>
        <w:tc>
          <w:tcPr>
            <w:tcW w:w="0" w:type="auto"/>
          </w:tcPr>
          <w:p w14:paraId="382BB5B5" w14:textId="7FFD4DFD">
            <w:pPr>
              <w:spacing w:before="0" w:after="0" w:line="240" w:lineRule="auto"/>
              <w:ind w:firstLine="0"/>
            </w:pPr>
            <w:r>
              <w:rPr>
                <w:rFonts w:ascii="Times New Roman" w:hAnsi="Times New Roman" w:eastAsia="Times New Roman"/>
                <w:sz w:val="20"/>
              </w:rPr>
              <w:t>5,949/893</w:t>
            </w:r>
          </w:p>
        </w:tc>
        <w:tc>
          <w:tcPr>
            <w:tcW w:w="0" w:type="auto"/>
          </w:tcPr>
          <w:p w14:paraId="7FE6A695" w14:textId="7FFD4F9A">
            <w:pPr>
              <w:spacing w:before="0" w:after="0" w:line="240" w:lineRule="auto"/>
              <w:ind w:firstLine="0"/>
            </w:pPr>
            <w:r>
              <w:rPr>
                <w:rFonts w:ascii="Times New Roman" w:hAnsi="Times New Roman" w:eastAsia="Times New Roman"/>
                <w:sz w:val="20"/>
              </w:rPr>
              <w:t xml:space="preserve">Complex survey linearization</w:t>
            </w:r>
          </w:p>
        </w:tc>
      </w:tr>
      <w:tr w14:paraId="53EB1AE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45B6D57C" w14:textId="7FFD4F4C">
            <w:pPr>
              <w:spacing w:before="0" w:after="0" w:line="240" w:lineRule="auto"/>
              <w:ind w:firstLine="0"/>
            </w:pPr>
            <w:r>
              <w:rPr>
                <w:rFonts w:ascii="Times New Roman" w:hAnsi="Times New Roman" w:eastAsia="Times New Roman"/>
                <w:sz w:val="20"/>
              </w:rPr>
              <w:t xml:space="preserve">Attained-age time scale</w:t>
            </w:r>
          </w:p>
        </w:tc>
        <w:tc>
          <w:tcPr>
            <w:tcW w:w="515" w:type="pct"/>
          </w:tcPr>
          <w:p w14:paraId="1228DA4E" w14:textId="7FFD503D">
            <w:pPr>
              <w:spacing w:before="0" w:after="0" w:line="240" w:lineRule="auto"/>
              <w:ind w:firstLine="0"/>
            </w:pPr>
            <w:r>
              <w:rPr>
                <w:rFonts w:ascii="Times New Roman" w:hAnsi="Times New Roman" w:eastAsia="Times New Roman"/>
                <w:sz w:val="20"/>
              </w:rPr>
              <w:t xml:space="preserve">CKM stages 0–2</w:t>
            </w:r>
          </w:p>
        </w:tc>
        <w:tc>
          <w:tcPr>
            <w:tcW w:w="628" w:type="pct"/>
          </w:tcPr>
          <w:p w14:paraId="444B9729" w14:textId="7FFD4E01">
            <w:pPr>
              <w:spacing w:before="0" w:after="0" w:line="240" w:lineRule="auto"/>
              <w:ind w:firstLine="0"/>
            </w:pPr>
            <w:r>
              <w:rPr>
                <w:rFonts w:ascii="Times New Roman" w:hAnsi="Times New Roman" w:eastAsia="Times New Roman"/>
                <w:sz w:val="20"/>
              </w:rPr>
              <w:t>HR 0.804</w:t>
            </w:r>
          </w:p>
        </w:tc>
        <w:tc>
          <w:tcPr>
            <w:tcW w:w="0" w:type="auto"/>
          </w:tcPr>
          <w:p w14:paraId="22F2DBE9" w14:textId="7FFD5086">
            <w:pPr>
              <w:spacing w:before="0" w:after="0" w:line="240" w:lineRule="auto"/>
              <w:ind w:firstLine="0"/>
            </w:pPr>
            <w:r>
              <w:rPr>
                <w:rFonts w:ascii="Times New Roman" w:hAnsi="Times New Roman" w:eastAsia="Times New Roman"/>
                <w:sz w:val="20"/>
              </w:rPr>
              <w:t xml:space="preserve">0.724–0.894</w:t>
            </w:r>
          </w:p>
        </w:tc>
        <w:tc>
          <w:tcPr>
            <w:tcW w:w="0" w:type="auto"/>
          </w:tcPr>
          <w:p w14:paraId="59EB2F38" w14:textId="7FFD4E03">
            <w:pPr>
              <w:spacing w:before="0" w:after="0" w:line="240" w:lineRule="auto"/>
              <w:ind w:firstLine="0"/>
            </w:pPr>
            <w:r>
              <w:t>5.48×10⁻⁵</w:t>
            </w:r>
          </w:p>
        </w:tc>
        <w:tc>
          <w:tcPr>
            <w:tcW w:w="0" w:type="auto"/>
          </w:tcPr>
          <w:p w14:paraId="2E7F4C50" w14:textId="7FFD4E04">
            <w:pPr>
              <w:spacing w:before="0" w:after="0" w:line="240" w:lineRule="auto"/>
              <w:ind w:firstLine="0"/>
            </w:pPr>
            <w:r>
              <w:rPr>
                <w:rFonts w:ascii="Times New Roman" w:hAnsi="Times New Roman" w:eastAsia="Times New Roman"/>
                <w:sz w:val="20"/>
              </w:rPr>
              <w:t>5,949/893</w:t>
            </w:r>
          </w:p>
        </w:tc>
        <w:tc>
          <w:tcPr>
            <w:tcW w:w="0" w:type="auto"/>
          </w:tcPr>
          <w:p w14:paraId="649F7226" w14:textId="7FFD4F9B">
            <w:pPr>
              <w:spacing w:before="0" w:after="0" w:line="240" w:lineRule="auto"/>
              <w:ind w:firstLine="0"/>
            </w:pPr>
            <w:r>
              <w:rPr>
                <w:rFonts w:ascii="Times New Roman" w:hAnsi="Times New Roman" w:eastAsia="Times New Roman"/>
                <w:sz w:val="20"/>
              </w:rPr>
              <w:t xml:space="preserve">Complex survey linearization</w:t>
            </w:r>
          </w:p>
        </w:tc>
      </w:tr>
      <w:tr w14:paraId="21C99AB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7D732C56" w14:textId="7FFD4F4D">
            <w:pPr>
              <w:spacing w:before="0" w:after="0" w:line="240" w:lineRule="auto"/>
              <w:ind w:firstLine="0"/>
            </w:pPr>
            <w:r>
              <w:rPr>
                <w:rFonts w:ascii="Times New Roman" w:hAnsi="Times New Roman" w:eastAsia="Times New Roman"/>
                <w:sz w:val="20"/>
              </w:rPr>
              <w:t xml:space="preserve">Attained-age time scale</w:t>
            </w:r>
          </w:p>
        </w:tc>
        <w:tc>
          <w:tcPr>
            <w:tcW w:w="515" w:type="pct"/>
          </w:tcPr>
          <w:p w14:paraId="4678D016" w14:textId="7FFD504B">
            <w:pPr>
              <w:spacing w:before="0" w:after="0" w:line="240" w:lineRule="auto"/>
              <w:ind w:firstLine="0"/>
            </w:pPr>
            <w:r>
              <w:rPr>
                <w:rFonts w:ascii="Times New Roman" w:hAnsi="Times New Roman" w:eastAsia="Times New Roman"/>
                <w:sz w:val="20"/>
              </w:rPr>
              <w:t xml:space="preserve">CKM stage 3</w:t>
            </w:r>
          </w:p>
        </w:tc>
        <w:tc>
          <w:tcPr>
            <w:tcW w:w="628" w:type="pct"/>
          </w:tcPr>
          <w:p w14:paraId="23D3A49A" w14:textId="7FFD4E08">
            <w:pPr>
              <w:spacing w:before="0" w:after="0" w:line="240" w:lineRule="auto"/>
              <w:ind w:firstLine="0"/>
            </w:pPr>
            <w:r>
              <w:rPr>
                <w:rFonts w:ascii="Times New Roman" w:hAnsi="Times New Roman" w:eastAsia="Times New Roman"/>
                <w:sz w:val="20"/>
              </w:rPr>
              <w:t>HR 0.936</w:t>
            </w:r>
          </w:p>
        </w:tc>
        <w:tc>
          <w:tcPr>
            <w:tcW w:w="0" w:type="auto"/>
          </w:tcPr>
          <w:p w14:paraId="095E5BCD" w14:textId="7FFD5087">
            <w:pPr>
              <w:spacing w:before="0" w:after="0" w:line="240" w:lineRule="auto"/>
              <w:ind w:firstLine="0"/>
            </w:pPr>
            <w:r>
              <w:rPr>
                <w:rFonts w:ascii="Times New Roman" w:hAnsi="Times New Roman" w:eastAsia="Times New Roman"/>
                <w:sz w:val="20"/>
              </w:rPr>
              <w:t xml:space="preserve">0.823–1.064</w:t>
            </w:r>
          </w:p>
        </w:tc>
        <w:tc>
          <w:tcPr>
            <w:tcW w:w="0" w:type="auto"/>
          </w:tcPr>
          <w:p w14:paraId="03F46F43" w14:textId="7FFD4E0A">
            <w:pPr>
              <w:spacing w:before="0" w:after="0" w:line="240" w:lineRule="auto"/>
              <w:ind w:firstLine="0"/>
            </w:pPr>
            <w:r>
              <w:t>0.311</w:t>
            </w:r>
          </w:p>
        </w:tc>
        <w:tc>
          <w:tcPr>
            <w:tcW w:w="0" w:type="auto"/>
          </w:tcPr>
          <w:p w14:paraId="535D2220" w14:textId="7FFD4E0B">
            <w:pPr>
              <w:spacing w:before="0" w:after="0" w:line="240" w:lineRule="auto"/>
              <w:ind w:firstLine="0"/>
            </w:pPr>
            <w:r>
              <w:rPr>
                <w:rFonts w:ascii="Times New Roman" w:hAnsi="Times New Roman" w:eastAsia="Times New Roman"/>
                <w:sz w:val="20"/>
              </w:rPr>
              <w:t>5,949/893</w:t>
            </w:r>
          </w:p>
        </w:tc>
        <w:tc>
          <w:tcPr>
            <w:tcW w:w="0" w:type="auto"/>
          </w:tcPr>
          <w:p w14:paraId="36F2F5B9" w14:textId="7FFD4F9C">
            <w:pPr>
              <w:spacing w:before="0" w:after="0" w:line="240" w:lineRule="auto"/>
              <w:ind w:firstLine="0"/>
            </w:pPr>
            <w:r>
              <w:rPr>
                <w:rFonts w:ascii="Times New Roman" w:hAnsi="Times New Roman" w:eastAsia="Times New Roman"/>
                <w:sz w:val="20"/>
              </w:rPr>
              <w:t xml:space="preserve">Complex survey linearization</w:t>
            </w:r>
          </w:p>
        </w:tc>
      </w:tr>
      <w:tr w14:paraId="2732E3F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55" w:type="dxa"/>
            <w:bottom w:w="0" w:type="dxa"/>
            <w:right w:w="55" w:type="dxa"/>
          </w:tblCellMar>
        </w:tblPrEx>
        <w:tc>
          <w:tcPr>
            <w:tcW w:w="0" w:type="auto"/>
          </w:tcPr>
          <w:p w14:paraId="4E413685" w14:textId="7FFD4F4E">
            <w:pPr>
              <w:spacing w:before="0" w:after="0" w:line="240" w:lineRule="auto"/>
              <w:ind w:firstLine="0"/>
            </w:pPr>
            <w:r>
              <w:rPr>
                <w:rFonts w:ascii="Times New Roman" w:hAnsi="Times New Roman" w:eastAsia="Times New Roman"/>
                <w:sz w:val="20"/>
              </w:rPr>
              <w:t xml:space="preserve">Attained-age time scale</w:t>
            </w:r>
          </w:p>
        </w:tc>
        <w:tc>
          <w:tcPr>
            <w:tcW w:w="515" w:type="pct"/>
          </w:tcPr>
          <w:p w14:paraId="36D57691" w14:textId="7FFD505A">
            <w:pPr>
              <w:spacing w:before="0" w:after="0" w:line="240" w:lineRule="auto"/>
              <w:ind w:firstLine="0"/>
            </w:pPr>
            <w:r>
              <w:rPr>
                <w:rFonts w:ascii="Times New Roman" w:hAnsi="Times New Roman" w:eastAsia="Times New Roman"/>
                <w:sz w:val="20"/>
              </w:rPr>
              <w:t xml:space="preserve">CKM stage 4</w:t>
            </w:r>
          </w:p>
        </w:tc>
        <w:tc>
          <w:tcPr>
            <w:tcW w:w="628" w:type="pct"/>
          </w:tcPr>
          <w:p w14:paraId="363261E2" w14:textId="7FFD4E0F">
            <w:pPr>
              <w:spacing w:before="0" w:after="0" w:line="240" w:lineRule="auto"/>
              <w:ind w:firstLine="0"/>
            </w:pPr>
            <w:r>
              <w:rPr>
                <w:rFonts w:ascii="Times New Roman" w:hAnsi="Times New Roman" w:eastAsia="Times New Roman"/>
                <w:sz w:val="20"/>
              </w:rPr>
              <w:t>HR 0.821</w:t>
            </w:r>
          </w:p>
        </w:tc>
        <w:tc>
          <w:tcPr>
            <w:tcW w:w="0" w:type="auto"/>
          </w:tcPr>
          <w:p w14:paraId="45E1E056" w14:textId="7FFD5088">
            <w:pPr>
              <w:spacing w:before="0" w:after="0" w:line="240" w:lineRule="auto"/>
              <w:ind w:firstLine="0"/>
            </w:pPr>
            <w:r>
              <w:rPr>
                <w:rFonts w:ascii="Times New Roman" w:hAnsi="Times New Roman" w:eastAsia="Times New Roman"/>
                <w:sz w:val="20"/>
              </w:rPr>
              <w:t xml:space="preserve">0.777–0.867</w:t>
            </w:r>
          </w:p>
        </w:tc>
        <w:tc>
          <w:tcPr>
            <w:tcW w:w="0" w:type="auto"/>
          </w:tcPr>
          <w:p w14:paraId="056816CB" w14:textId="7FFD4E11">
            <w:pPr>
              <w:spacing w:before="0" w:after="0" w:line="240" w:lineRule="auto"/>
              <w:ind w:firstLine="0"/>
            </w:pPr>
            <w:r>
              <w:t>2.26×10⁻¹²</w:t>
            </w:r>
          </w:p>
        </w:tc>
        <w:tc>
          <w:tcPr>
            <w:tcW w:w="0" w:type="auto"/>
          </w:tcPr>
          <w:p w14:paraId="053F0B2B" w14:textId="7FFD4E12">
            <w:pPr>
              <w:spacing w:before="0" w:after="0" w:line="240" w:lineRule="auto"/>
              <w:ind w:firstLine="0"/>
            </w:pPr>
            <w:r>
              <w:rPr>
                <w:rFonts w:ascii="Times New Roman" w:hAnsi="Times New Roman" w:eastAsia="Times New Roman"/>
                <w:sz w:val="20"/>
              </w:rPr>
              <w:t>5,949/893</w:t>
            </w:r>
          </w:p>
        </w:tc>
        <w:tc>
          <w:tcPr>
            <w:tcW w:w="0" w:type="auto"/>
          </w:tcPr>
          <w:p w14:paraId="5E9C248B" w14:textId="7FFD4F9D">
            <w:pPr>
              <w:spacing w:before="0" w:after="0" w:line="240" w:lineRule="auto"/>
              <w:ind w:firstLine="0"/>
            </w:pPr>
            <w:r>
              <w:rPr>
                <w:rFonts w:ascii="Times New Roman" w:hAnsi="Times New Roman" w:eastAsia="Times New Roman"/>
                <w:sz w:val="20"/>
              </w:rPr>
              <w:t xml:space="preserve">Complex survey linearization</w:t>
            </w:r>
          </w:p>
        </w:tc>
      </w:tr>
      <w:tr w14:paraId="6171F34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0" w:type="dxa"/>
            <w:bottom w:w="0" w:type="dxa"/>
            <w:right w:w="0" w:type="dxa"/>
          </w:tblCellMar>
        </w:tblPrEx>
        <w:trPr>
          <w:cantSplit/>
        </w:trPr>
        <w:tc>
          <w:p w14:paraId="7FFD4815" w14:textId="7FFD4FB4">
            <w:r>
              <w:t xml:space="preserve">Proportional hazards diagnostics</w:t>
            </w:r>
          </w:p>
        </w:tc>
        <w:tc>
          <w:tcPr>
            <w:tcW w:w="515" w:type="pct"/>
          </w:tcPr>
          <w:p w14:paraId="7FFD4817" w14:textId="7FFD4F32">
            <w:r>
              <w:t xml:space="preserve">Overall</w:t>
            </w:r>
          </w:p>
        </w:tc>
        <w:tc>
          <w:tcPr>
            <w:tcW w:w="628" w:type="pct"/>
          </w:tcPr>
          <w:p w14:paraId="7FFD4819" w14:textId="7FFD4FB6">
            <w:r>
              <w:t xml:space="preserve">χ²=46.69 (22 df)</w:t>
            </w:r>
          </w:p>
        </w:tc>
        <w:tc>
          <w:p w14:paraId="7FFD481B" w14:textId="7FFD4E17">
            <w:r>
              <w:t>—</w:t>
            </w:r>
          </w:p>
        </w:tc>
        <w:tc>
          <w:p w14:paraId="7FFD481D" w14:textId="7FFD4E18">
            <w:r>
              <w:t>0.00161</w:t>
            </w:r>
          </w:p>
        </w:tc>
        <w:tc>
          <w:p w14:paraId="7FFD481F" w14:textId="7FFD4E19">
            <w:r>
              <w:t>5,949/893</w:t>
            </w:r>
          </w:p>
        </w:tc>
        <w:tc>
          <w:p w14:paraId="7FFD4821" w14:textId="7FFD50BC">
            <w:pPr/>
            <w:r>
              <w:t xml:space="preserve">Global Schoenfeld residual test; complete results are shown in Supplementary Table S9</w:t>
            </w:r>
          </w:p>
        </w:tc>
      </w:tr>
    </w:tbl>
    <w:p w14:paraId="6660D4D8" w14:textId="7FFD4EDA">
      <w:pPr>
        <w:pStyle w:val="15"/>
        <w:widowControl/>
        <w:spacing w:before="60" w:after="120" w:line="240" w:lineRule="auto"/>
        <w:ind w:firstLine="0"/>
        <w:jc w:val="left"/>
      </w:pPr>
      <w:r>
        <w:rPr>
          <w:rFonts w:ascii="Times New Roman" w:hAnsi="Times New Roman" w:eastAsia="Times New Roman"/>
          <w:b/>
          <w:sz w:val="20"/>
        </w:rPr>
        <w:t xml:space="preserve">Note: F denotes the design-adjusted Wald statistic. In leave-one-cycle-out analyses, weights were rescaled across the four remaining survey cycles. Proportional hazards diagnostics used Schoenfeld residual tests. For 5-year restricted mean survival time, only standardized point estimates are reported; because the available variance implementation did not fully incorporate uncertainty from model-parameter estimation and the complex survey design, confidence intervals and P values are not reported, and no confirmatory conclusion is based on this analysis.</w:t>
      </w:r>
    </w:p>
    <w:p w14:paraId="2BD2594E" w14:textId="7FFD50B1">
      <w:pPr>
        <w:pStyle w:val="15"/>
        <w:keepNext/>
        <w:pageBreakBefore/>
        <w:spacing w:before="160" w:after="80" w:line="240" w:lineRule="auto"/>
        <w:ind w:firstLine="0"/>
        <w:jc w:val="left"/>
      </w:pPr>
      <w:r>
        <w:rPr>
          <w:rFonts w:ascii="Times New Roman" w:hAnsi="Times New Roman" w:eastAsia="Times New Roman"/>
          <w:b/>
          <w:sz w:val="20"/>
        </w:rPr>
        <w:t xml:space="preserve">Supplementary Table S6. Validation of the staging algorithm, variable construction, and variance estimation</w:t>
      </w:r>
    </w:p>
    <w:tbl>
      <w:tblPr>
        <w:tblStyle w:val="5"/>
        <w:tblW w:w="5000" w:type="pct"/>
        <w:tblInd w:w="0"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fixed"/>
        <w:tblCellMar>
          <w:top w:w="55" w:type="dxa"/>
          <w:left w:w="55" w:type="dxa"/>
          <w:bottom w:w="55" w:type="dxa"/>
          <w:right w:w="55" w:type="dxa"/>
        </w:tblCellMar>
        <w:tblCaption w:val="Supplementary Table S6. Validation of the staging algorithm, variable construction, and variance estimation"/>
      </w:tblPr>
      <w:tblGrid>
        <w:gridCol w:w="1946"/>
        <w:gridCol w:w="2428"/>
        <w:gridCol w:w="2913"/>
        <w:gridCol w:w="3397"/>
        <w:gridCol w:w="1133"/>
        <w:gridCol w:w="2863"/>
      </w:tblGrid>
      <w:tr w14:paraId="19FDEA2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rPr>
          <w:cantSplit/>
          <w:tblHeader/>
        </w:trPr>
        <w:tc>
          <w:tcPr>
            <w:tcW w:w="1200" w:type="dxa"/>
            <w:tcBorders>
              <w:bottom w:val="single" w:color="000000" w:sz="6" w:space="0"/>
            </w:tcBorders>
            <w:vAlign w:val="center"/>
          </w:tcPr>
          <w:p w14:paraId="3FB8E253" w14:textId="7FFD4FB7">
            <w:pPr>
              <w:spacing w:before="0" w:after="0" w:line="240" w:lineRule="auto"/>
              <w:ind w:firstLine="0"/>
              <w:jc w:val="center"/>
            </w:pPr>
            <w:r>
              <w:rPr>
                <w:rFonts w:ascii="Times New Roman" w:hAnsi="Times New Roman" w:eastAsia="Times New Roman"/>
                <w:b/>
                <w:sz w:val="20"/>
              </w:rPr>
              <w:t xml:space="preserve">Validation category</w:t>
            </w:r>
          </w:p>
        </w:tc>
        <w:tc>
          <w:tcPr>
            <w:tcW w:w="1500" w:type="dxa"/>
            <w:tcBorders>
              <w:bottom w:val="single" w:color="000000" w:sz="6" w:space="0"/>
            </w:tcBorders>
            <w:vAlign w:val="center"/>
          </w:tcPr>
          <w:p w14:paraId="32CF4D97" w14:textId="7FFD4FB8">
            <w:pPr>
              <w:spacing w:before="0" w:after="0" w:line="240" w:lineRule="auto"/>
              <w:ind w:firstLine="0"/>
              <w:jc w:val="center"/>
            </w:pPr>
            <w:r>
              <w:rPr>
                <w:rFonts w:ascii="Times New Roman" w:hAnsi="Times New Roman" w:eastAsia="Times New Roman"/>
                <w:b/>
                <w:sz w:val="20"/>
              </w:rPr>
              <w:t xml:space="preserve">Validation item</w:t>
            </w:r>
          </w:p>
        </w:tc>
        <w:tc>
          <w:tcPr>
            <w:tcW w:w="1800" w:type="dxa"/>
            <w:tcBorders>
              <w:bottom w:val="single" w:color="000000" w:sz="6" w:space="0"/>
            </w:tcBorders>
            <w:vAlign w:val="center"/>
          </w:tcPr>
          <w:p w14:paraId="55E05F9D" w14:textId="7FFD4FB9">
            <w:pPr>
              <w:spacing w:before="0" w:after="0" w:line="240" w:lineRule="auto"/>
              <w:ind w:firstLine="0"/>
              <w:jc w:val="center"/>
            </w:pPr>
            <w:r>
              <w:rPr>
                <w:rFonts w:ascii="Times New Roman" w:hAnsi="Times New Roman" w:eastAsia="Times New Roman"/>
                <w:b/>
                <w:sz w:val="20"/>
              </w:rPr>
              <w:t xml:space="preserve">Prespecified criterion</w:t>
            </w:r>
          </w:p>
        </w:tc>
        <w:tc>
          <w:tcPr>
            <w:tcW w:w="2100" w:type="dxa"/>
            <w:tcBorders>
              <w:bottom w:val="single" w:color="000000" w:sz="6" w:space="0"/>
            </w:tcBorders>
            <w:vAlign w:val="center"/>
          </w:tcPr>
          <w:p w14:paraId="1BC0E7FF" w14:textId="7FFD4FBA">
            <w:pPr>
              <w:spacing w:before="0" w:after="0" w:line="240" w:lineRule="auto"/>
              <w:ind w:firstLine="0"/>
              <w:jc w:val="center"/>
            </w:pPr>
            <w:r>
              <w:rPr>
                <w:rFonts w:ascii="Times New Roman" w:hAnsi="Times New Roman" w:eastAsia="Times New Roman"/>
                <w:b/>
                <w:sz w:val="20"/>
              </w:rPr>
              <w:t xml:space="preserve">Observed result</w:t>
            </w:r>
          </w:p>
        </w:tc>
        <w:tc>
          <w:tcPr>
            <w:tcW w:w="700" w:type="dxa"/>
            <w:tcBorders>
              <w:bottom w:val="single" w:color="000000" w:sz="6" w:space="0"/>
            </w:tcBorders>
            <w:vAlign w:val="center"/>
          </w:tcPr>
          <w:p w14:paraId="5290F2EF" w14:textId="7FFD4FBB">
            <w:pPr>
              <w:spacing w:before="0" w:after="0" w:line="240" w:lineRule="auto"/>
              <w:ind w:firstLine="0"/>
              <w:jc w:val="center"/>
            </w:pPr>
            <w:r>
              <w:rPr>
                <w:rFonts w:ascii="Times New Roman" w:hAnsi="Times New Roman" w:eastAsia="Times New Roman"/>
                <w:b/>
                <w:sz w:val="20"/>
              </w:rPr>
              <w:t xml:space="preserve">Conclusion</w:t>
            </w:r>
          </w:p>
        </w:tc>
        <w:tc>
          <w:tcPr>
            <w:tcW w:w="1771" w:type="dxa"/>
            <w:tcBorders>
              <w:bottom w:val="single" w:color="000000" w:sz="6" w:space="0"/>
            </w:tcBorders>
            <w:vAlign w:val="center"/>
          </w:tcPr>
          <w:p w14:paraId="1DC497BD" w14:textId="7FFD4FBC">
            <w:pPr>
              <w:spacing w:before="0" w:after="0" w:line="240" w:lineRule="auto"/>
              <w:ind w:firstLine="0"/>
              <w:jc w:val="center"/>
            </w:pPr>
            <w:r>
              <w:rPr>
                <w:rFonts w:ascii="Times New Roman" w:hAnsi="Times New Roman" w:eastAsia="Times New Roman"/>
                <w:b/>
                <w:sz w:val="20"/>
              </w:rPr>
              <w:t xml:space="preserve">Description</w:t>
            </w:r>
          </w:p>
        </w:tc>
      </w:tr>
      <w:tr w14:paraId="1E5CEAF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rPr>
          <w:cantSplit/>
        </w:trPr>
        <w:tc>
          <w:tcPr>
            <w:tcW w:w="1215" w:type="dxa"/>
          </w:tcPr>
          <w:p w14:paraId="3D0BBDDE" w14:textId="7FFD4FBE">
            <w:pPr>
              <w:spacing w:before="0" w:after="0" w:line="240" w:lineRule="auto"/>
              <w:ind w:firstLine="0"/>
            </w:pPr>
            <w:r>
              <w:rPr>
                <w:rFonts w:ascii="Times New Roman" w:hAnsi="Times New Roman" w:eastAsia="Times New Roman"/>
                <w:sz w:val="20"/>
              </w:rPr>
              <w:t xml:space="preserve">Staging algorithm</w:t>
            </w:r>
          </w:p>
        </w:tc>
        <w:tc>
          <w:tcPr>
            <w:tcW w:w="1518" w:type="dxa"/>
          </w:tcPr>
          <w:p w14:paraId="067FCB3D" w14:textId="7FFD4FC1">
            <w:pPr>
              <w:spacing w:before="0" w:after="0" w:line="240" w:lineRule="auto"/>
              <w:ind w:firstLine="0"/>
            </w:pPr>
            <w:r>
              <w:rPr>
                <w:rFonts w:ascii="Times New Roman" w:hAnsi="Times New Roman" w:eastAsia="Times New Roman"/>
                <w:sz w:val="20"/>
              </w:rPr>
              <w:t xml:space="preserve">2021 CKD-EPI boundary values</w:t>
            </w:r>
          </w:p>
        </w:tc>
        <w:tc>
          <w:tcPr>
            <w:tcW w:w="1822" w:type="dxa"/>
          </w:tcPr>
          <w:p w14:paraId="6FA4919D" w14:textId="7FFD4FC2">
            <w:pPr>
              <w:spacing w:before="0" w:after="0" w:line="240" w:lineRule="auto"/>
              <w:ind w:firstLine="0"/>
            </w:pPr>
            <w:r>
              <w:rPr>
                <w:rFonts w:ascii="Times New Roman" w:hAnsi="Times New Roman" w:eastAsia="Times New Roman"/>
                <w:sz w:val="20"/>
              </w:rPr>
              <w:t xml:space="preserve">Absolute error from reference values ≤5×10⁻⁴</w:t>
            </w:r>
          </w:p>
        </w:tc>
        <w:tc>
          <w:tcPr>
            <w:tcW w:w="2125" w:type="dxa"/>
          </w:tcPr>
          <w:p w14:paraId="1773258E" w14:textId="7FFD50D4">
            <w:pPr>
              <w:spacing w:before="0" w:after="0" w:line="240" w:lineRule="auto"/>
              <w:ind w:firstLine="0"/>
            </w:pPr>
            <w:r>
              <w:rPr>
                <w:rFonts w:ascii="Times New Roman" w:hAnsi="Times New Roman" w:eastAsia="Times New Roman"/>
                <w:sz w:val="20"/>
              </w:rPr>
              <w:t xml:space="preserve">68.633497, 91.691479, 119.244575</w:t>
            </w:r>
          </w:p>
        </w:tc>
        <w:tc>
          <w:tcPr>
            <w:tcW w:w="708" w:type="dxa"/>
          </w:tcPr>
          <w:p w14:paraId="37747341" w14:textId="7FFD4FC4">
            <w:pPr>
              <w:spacing w:before="0" w:after="0" w:line="240" w:lineRule="auto"/>
              <w:ind w:firstLine="0"/>
            </w:pPr>
            <w:r>
              <w:rPr>
                <w:rFonts w:ascii="Times New Roman" w:hAnsi="Times New Roman" w:eastAsia="Times New Roman"/>
                <w:sz w:val="20"/>
              </w:rPr>
              <w:t xml:space="preserve">Passed</w:t>
            </w:r>
          </w:p>
        </w:tc>
        <w:tc>
          <w:tcPr>
            <w:tcW w:w="1792" w:type="dxa"/>
          </w:tcPr>
          <w:p w14:paraId="09766713" w14:textId="7FFD4FCB">
            <w:pPr>
              <w:spacing w:before="0" w:after="0" w:line="240" w:lineRule="auto"/>
              <w:ind w:firstLine="0"/>
            </w:pPr>
            <w:r>
              <w:rPr>
                <w:rFonts w:hint="eastAsia" w:ascii="Times New Roman" w:hAnsi="Times New Roman" w:eastAsia="Times New Roman" w:cs="Times New Roman"/>
                <w:sz w:val="20"/>
              </w:rPr>
              <w:t xml:space="preserve">Race-free equation used for primary staging</w:t>
            </w:r>
          </w:p>
        </w:tc>
      </w:tr>
      <w:tr w14:paraId="1BDE1D8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rPr>
          <w:cantSplit/>
        </w:trPr>
        <w:tc>
          <w:tcPr>
            <w:tcW w:w="1215" w:type="dxa"/>
          </w:tcPr>
          <w:p w14:paraId="6DADEB60" w14:textId="7FFD4FBF">
            <w:pPr>
              <w:spacing w:before="0" w:after="0" w:line="240" w:lineRule="auto"/>
              <w:ind w:firstLine="0"/>
            </w:pPr>
            <w:r>
              <w:rPr>
                <w:rFonts w:ascii="Times New Roman" w:hAnsi="Times New Roman" w:eastAsia="Times New Roman"/>
                <w:sz w:val="20"/>
              </w:rPr>
              <w:t xml:space="preserve">Staging algorithm</w:t>
            </w:r>
          </w:p>
        </w:tc>
        <w:tc>
          <w:tcPr>
            <w:tcW w:w="1518" w:type="dxa"/>
          </w:tcPr>
          <w:p w14:paraId="442BBB2F" w14:textId="7FFD4FCC">
            <w:pPr>
              <w:spacing w:before="0" w:after="0" w:line="240" w:lineRule="auto"/>
              <w:ind w:firstLine="0"/>
            </w:pPr>
            <w:r>
              <w:rPr>
                <w:rFonts w:ascii="Times New Roman" w:hAnsi="Times New Roman" w:eastAsia="Times New Roman"/>
                <w:sz w:val="20"/>
              </w:rPr>
              <w:t xml:space="preserve">2009 CKD-EPI sensitivity equation</w:t>
            </w:r>
          </w:p>
        </w:tc>
        <w:tc>
          <w:tcPr>
            <w:tcW w:w="1822" w:type="dxa"/>
          </w:tcPr>
          <w:p w14:paraId="5CB8D6E9" w14:textId="7FFD4FC3">
            <w:pPr>
              <w:spacing w:before="0" w:after="0" w:line="240" w:lineRule="auto"/>
              <w:ind w:firstLine="0"/>
            </w:pPr>
            <w:r>
              <w:rPr>
                <w:rFonts w:ascii="Times New Roman" w:hAnsi="Times New Roman" w:eastAsia="Times New Roman"/>
                <w:sz w:val="20"/>
              </w:rPr>
              <w:t xml:space="preserve">Absolute error from reference values ≤5×10⁻⁴</w:t>
            </w:r>
          </w:p>
        </w:tc>
        <w:tc>
          <w:tcPr>
            <w:tcW w:w="2125" w:type="dxa"/>
          </w:tcPr>
          <w:p w14:paraId="3A198482" w14:textId="7FFD50D5">
            <w:pPr>
              <w:spacing w:before="0" w:after="0" w:line="240" w:lineRule="auto"/>
              <w:ind w:firstLine="0"/>
            </w:pPr>
            <w:r>
              <w:rPr>
                <w:rFonts w:ascii="Times New Roman" w:hAnsi="Times New Roman" w:eastAsia="Times New Roman"/>
                <w:sz w:val="20"/>
              </w:rPr>
              <w:t xml:space="preserve">65.637623, 87.369677, 101.261456</w:t>
            </w:r>
          </w:p>
        </w:tc>
        <w:tc>
          <w:tcPr>
            <w:tcW w:w="708" w:type="dxa"/>
          </w:tcPr>
          <w:p w14:paraId="7FFD3D39" w14:textId="7FFD4FC5">
            <w:pPr>
              <w:spacing w:before="0" w:after="0" w:line="240" w:lineRule="auto"/>
              <w:ind w:firstLine="0"/>
            </w:pPr>
            <w:r>
              <w:rPr>
                <w:rFonts w:ascii="Times New Roman" w:hAnsi="Times New Roman" w:eastAsia="Times New Roman"/>
                <w:sz w:val="20"/>
              </w:rPr>
              <w:t xml:space="preserve">Passed</w:t>
            </w:r>
          </w:p>
        </w:tc>
        <w:tc>
          <w:tcPr>
            <w:tcW w:w="1792" w:type="dxa"/>
          </w:tcPr>
          <w:p w14:paraId="3122B748" w14:textId="7FFD50BD">
            <w:pPr>
              <w:spacing w:before="0" w:after="0" w:line="240" w:lineRule="auto"/>
              <w:ind w:firstLine="0"/>
            </w:pPr>
            <w:r>
              <w:rPr>
                <w:rFonts w:hint="eastAsia" w:ascii="Times New Roman" w:hAnsi="Times New Roman" w:eastAsia="Times New Roman" w:cs="Times New Roman"/>
                <w:sz w:val="20"/>
              </w:rPr>
              <w:t xml:space="preserve">Used in the alternative-staging sensitivity analysis</w:t>
            </w:r>
          </w:p>
        </w:tc>
      </w:tr>
      <w:tr w14:paraId="27FFFDD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rPr>
          <w:cantSplit/>
        </w:trPr>
        <w:tc>
          <w:tcPr>
            <w:tcW w:w="1215" w:type="dxa"/>
          </w:tcPr>
          <w:p w14:paraId="331E70E5" w14:textId="7FFD4FC0">
            <w:pPr>
              <w:spacing w:before="0" w:after="0" w:line="240" w:lineRule="auto"/>
              <w:ind w:firstLine="0"/>
            </w:pPr>
            <w:r>
              <w:rPr>
                <w:rFonts w:ascii="Times New Roman" w:hAnsi="Times New Roman" w:eastAsia="Times New Roman"/>
                <w:sz w:val="20"/>
              </w:rPr>
              <w:t xml:space="preserve">Staging algorithm</w:t>
            </w:r>
          </w:p>
        </w:tc>
        <w:tc>
          <w:tcPr>
            <w:tcW w:w="1518" w:type="dxa"/>
          </w:tcPr>
          <w:p w14:paraId="31DDE047" w14:textId="7FFD4FCD">
            <w:pPr>
              <w:spacing w:before="0" w:after="0" w:line="240" w:lineRule="auto"/>
              <w:ind w:firstLine="0"/>
            </w:pPr>
            <w:r>
              <w:t xml:space="preserve">UACR threshold, PREVENT staging threshold, and official example</w:t>
            </w:r>
          </w:p>
        </w:tc>
        <w:tc>
          <w:tcPr>
            <w:tcW w:w="1822" w:type="dxa"/>
          </w:tcPr>
          <w:p w14:paraId="27F1CA87" w14:textId="7FFD4FCE">
            <w:pPr>
              <w:spacing w:before="0" w:after="0" w:line="240" w:lineRule="auto"/>
              <w:ind w:firstLine="0"/>
            </w:pPr>
            <w:r>
              <w:t xml:space="preserve">UACR=30 mg/g; PREVENT staging threshold=0.20; official S25 example prediction=0.147</w:t>
            </w:r>
          </w:p>
        </w:tc>
        <w:tc>
          <w:tcPr>
            <w:tcW w:w="2125" w:type="dxa"/>
          </w:tcPr>
          <w:p w14:paraId="01F36281" w14:textId="7FFD4FCF">
            <w:pPr>
              <w:spacing w:before="0" w:after="0" w:line="240" w:lineRule="auto"/>
              <w:ind w:firstLine="0"/>
            </w:pPr>
            <w:r>
              <w:t xml:space="preserve">UACR=30 mg/g; PREVENT threshold=0.20; S25 example=0.147</w:t>
            </w:r>
          </w:p>
        </w:tc>
        <w:tc>
          <w:tcPr>
            <w:tcW w:w="708" w:type="dxa"/>
          </w:tcPr>
          <w:p w14:paraId="7116B0F3" w14:textId="7FFD4FC6">
            <w:pPr>
              <w:spacing w:before="0" w:after="0" w:line="240" w:lineRule="auto"/>
              <w:ind w:firstLine="0"/>
            </w:pPr>
            <w:r>
              <w:rPr>
                <w:rFonts w:ascii="Times New Roman" w:hAnsi="Times New Roman" w:eastAsia="Times New Roman"/>
                <w:sz w:val="20"/>
              </w:rPr>
              <w:t xml:space="preserve">Passed</w:t>
            </w:r>
          </w:p>
        </w:tc>
        <w:tc>
          <w:tcPr>
            <w:tcW w:w="1792" w:type="dxa"/>
          </w:tcPr>
          <w:p w14:paraId="0E8F3C10" w14:textId="7FFD50BE">
            <w:pPr>
              <w:spacing w:before="0" w:after="0" w:line="240" w:lineRule="auto"/>
              <w:ind w:firstLine="0"/>
            </w:pPr>
            <w:r>
              <w:t xml:space="preserve">0.147 is an algorithm-validation output, not the CKM stage 3 threshold</w:t>
            </w:r>
          </w:p>
        </w:tc>
      </w:tr>
      <w:tr w14:paraId="44C5614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rPr>
          <w:cantSplit/>
        </w:trPr>
        <w:tc>
          <w:tcPr>
            <w:tcW w:w="1215" w:type="dxa"/>
          </w:tcPr>
          <w:p w14:paraId="22BAEF23" w14:textId="7FFD4FD1">
            <w:pPr>
              <w:spacing w:before="0" w:after="0" w:line="240" w:lineRule="auto"/>
              <w:ind w:firstLine="0"/>
            </w:pPr>
            <w:r>
              <w:rPr>
                <w:rFonts w:ascii="Times New Roman" w:hAnsi="Times New Roman" w:eastAsia="Times New Roman"/>
                <w:sz w:val="20"/>
              </w:rPr>
              <w:t xml:space="preserve">Variable construction</w:t>
            </w:r>
          </w:p>
        </w:tc>
        <w:tc>
          <w:tcPr>
            <w:tcW w:w="1518" w:type="dxa"/>
          </w:tcPr>
          <w:p w14:paraId="7874E21C" w14:textId="7FFD4FD3">
            <w:pPr>
              <w:spacing w:before="0" w:after="0" w:line="240" w:lineRule="auto"/>
              <w:ind w:firstLine="0"/>
            </w:pPr>
            <w:r>
              <w:rPr>
                <w:rFonts w:ascii="Times New Roman" w:hAnsi="Times New Roman" w:eastAsia="Times New Roman"/>
                <w:sz w:val="20"/>
              </w:rPr>
              <w:t xml:space="preserve">Ranges of scores, stages, and risk</w:t>
            </w:r>
          </w:p>
        </w:tc>
        <w:tc>
          <w:tcPr>
            <w:tcW w:w="1822" w:type="dxa"/>
          </w:tcPr>
          <w:p w14:paraId="3713488E" w14:textId="7FFD4FD4">
            <w:pPr>
              <w:spacing w:before="0" w:after="0" w:line="240" w:lineRule="auto"/>
              <w:ind w:firstLine="0"/>
            </w:pPr>
            <w:r>
              <w:rPr>
                <w:rFonts w:ascii="Times New Roman" w:hAnsi="Times New Roman" w:eastAsia="Times New Roman"/>
                <w:sz w:val="20"/>
              </w:rPr>
              <w:t xml:space="preserve">Scores 0–100, stages 0–4, risk 0–1, and nonmissing</w:t>
            </w:r>
          </w:p>
        </w:tc>
        <w:tc>
          <w:tcPr>
            <w:tcW w:w="2125" w:type="dxa"/>
          </w:tcPr>
          <w:p w14:paraId="79D33724" w14:textId="7FFD4FD5">
            <w:pPr>
              <w:spacing w:before="0" w:after="0" w:line="240" w:lineRule="auto"/>
              <w:ind w:firstLine="0"/>
            </w:pPr>
            <w:r>
              <w:rPr>
                <w:rFonts w:ascii="Times New Roman" w:hAnsi="Times New Roman" w:eastAsia="Times New Roman"/>
                <w:sz w:val="20"/>
              </w:rPr>
              <w:t xml:space="preserve">All scores were within 0–100; CKM stages were 0–4; PREVENT ranged from 0.001 to 0.581</w:t>
            </w:r>
          </w:p>
        </w:tc>
        <w:tc>
          <w:tcPr>
            <w:tcW w:w="708" w:type="dxa"/>
          </w:tcPr>
          <w:p w14:paraId="36F74BD3" w14:textId="7FFD4FC7">
            <w:pPr>
              <w:spacing w:before="0" w:after="0" w:line="240" w:lineRule="auto"/>
              <w:ind w:firstLine="0"/>
            </w:pPr>
            <w:r>
              <w:rPr>
                <w:rFonts w:ascii="Times New Roman" w:hAnsi="Times New Roman" w:eastAsia="Times New Roman"/>
                <w:sz w:val="20"/>
              </w:rPr>
              <w:t xml:space="preserve">Passed</w:t>
            </w:r>
          </w:p>
        </w:tc>
        <w:tc>
          <w:tcPr>
            <w:tcW w:w="1792" w:type="dxa"/>
          </w:tcPr>
          <w:p w14:paraId="4824BF22" w14:textId="7FFD50BF">
            <w:pPr>
              <w:spacing w:before="0" w:after="0" w:line="240" w:lineRule="auto"/>
              <w:ind w:firstLine="0"/>
            </w:pPr>
            <w:r>
              <w:rPr>
                <w:rFonts w:hint="eastAsia" w:ascii="Times New Roman" w:hAnsi="Times New Roman" w:eastAsia="Times New Roman" w:cs="Times New Roman"/>
                <w:sz w:val="20"/>
              </w:rPr>
              <w:t xml:space="preserve">Nonmissing counts varied according to variable-construction requirements</w:t>
            </w:r>
          </w:p>
        </w:tc>
      </w:tr>
      <w:tr w14:paraId="09C60A0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rPr>
          <w:cantSplit/>
        </w:trPr>
        <w:tc>
          <w:tcPr>
            <w:tcW w:w="1215" w:type="dxa"/>
          </w:tcPr>
          <w:p w14:paraId="6330D5A6" w14:textId="7FFD4FD7">
            <w:pPr>
              <w:spacing w:before="0" w:after="0" w:line="240" w:lineRule="auto"/>
              <w:ind w:firstLine="0"/>
            </w:pPr>
            <w:r>
              <w:rPr>
                <w:rFonts w:ascii="Times New Roman" w:hAnsi="Times New Roman" w:eastAsia="Times New Roman"/>
                <w:sz w:val="20"/>
              </w:rPr>
              <w:t xml:space="preserve">Variance validation</w:t>
            </w:r>
          </w:p>
        </w:tc>
        <w:tc>
          <w:tcPr>
            <w:tcW w:w="1518" w:type="dxa"/>
          </w:tcPr>
          <w:p w14:paraId="638135BE" w14:textId="7FFD4FDA">
            <w:pPr>
              <w:spacing w:before="0" w:after="0" w:line="240" w:lineRule="auto"/>
              <w:ind w:firstLine="0"/>
            </w:pPr>
            <w:r>
              <w:rPr>
                <w:rFonts w:ascii="Times New Roman" w:hAnsi="Times New Roman" w:eastAsia="Times New Roman"/>
                <w:sz w:val="20"/>
              </w:rPr>
              <w:t xml:space="preserve">Linearization-variance simulation for the primary Cox model</w:t>
            </w:r>
          </w:p>
        </w:tc>
        <w:tc>
          <w:tcPr>
            <w:tcW w:w="1822" w:type="dxa"/>
          </w:tcPr>
          <w:p w14:paraId="6EF79E33" w14:textId="7FFD4FDB">
            <w:pPr>
              <w:spacing w:before="0" w:after="0" w:line="240" w:lineRule="auto"/>
              <w:ind w:firstLine="0"/>
            </w:pPr>
            <w:r>
              <w:rPr>
                <w:rFonts w:ascii="Times New Roman" w:hAnsi="Times New Roman" w:eastAsia="Times New Roman"/>
                <w:sz w:val="20"/>
              </w:rPr>
              <w:t xml:space="preserve">100% success rate; coverage 0.925–0.975; SE ratio 0.80–1.25</w:t>
            </w:r>
          </w:p>
        </w:tc>
        <w:tc>
          <w:tcPr>
            <w:tcW w:w="2125" w:type="dxa"/>
          </w:tcPr>
          <w:p w14:paraId="2C7D051D" w14:textId="7FFD4FDC">
            <w:pPr>
              <w:spacing w:before="0" w:after="0" w:line="240" w:lineRule="auto"/>
              <w:ind w:firstLine="0"/>
            </w:pPr>
            <w:r>
              <w:rPr>
                <w:rFonts w:ascii="Times New Roman" w:hAnsi="Times New Roman" w:eastAsia="Times New Roman"/>
                <w:sz w:val="20"/>
              </w:rPr>
              <w:t xml:space="preserve">100% success rate; coverage 0.943–0.950; SE ratio 0.979–1.028</w:t>
            </w:r>
          </w:p>
        </w:tc>
        <w:tc>
          <w:tcPr>
            <w:tcW w:w="708" w:type="dxa"/>
          </w:tcPr>
          <w:p w14:paraId="5339E34E" w14:textId="7FFD4FC8">
            <w:pPr>
              <w:spacing w:before="0" w:after="0" w:line="240" w:lineRule="auto"/>
              <w:ind w:firstLine="0"/>
            </w:pPr>
            <w:r>
              <w:rPr>
                <w:rFonts w:ascii="Times New Roman" w:hAnsi="Times New Roman" w:eastAsia="Times New Roman"/>
                <w:sz w:val="20"/>
              </w:rPr>
              <w:t xml:space="preserve">Passed</w:t>
            </w:r>
          </w:p>
        </w:tc>
        <w:tc>
          <w:tcPr>
            <w:tcW w:w="1792" w:type="dxa"/>
          </w:tcPr>
          <w:p w14:paraId="6ED202E5" w14:textId="7FFD4FDD">
            <w:pPr>
              <w:spacing w:before="0" w:after="0" w:line="240" w:lineRule="auto"/>
              <w:ind w:firstLine="0"/>
            </w:pPr>
            <w:r>
              <w:rPr>
                <w:rFonts w:hint="eastAsia" w:ascii="Times New Roman" w:hAnsi="Times New Roman" w:eastAsia="Times New Roman" w:cs="Times New Roman"/>
                <w:sz w:val="20"/>
              </w:rPr>
              <w:t xml:space="preserve">Included scenarios with null effects, heterogeneous slopes, and sparse stage 4 data</w:t>
            </w:r>
          </w:p>
        </w:tc>
      </w:tr>
      <w:tr w14:paraId="5B7A2F6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rPr>
          <w:cantSplit/>
        </w:trPr>
        <w:tc>
          <w:tcPr>
            <w:tcW w:w="1215" w:type="dxa"/>
          </w:tcPr>
          <w:p w14:paraId="0D7C35C5" w14:textId="7FFD4FD8">
            <w:pPr>
              <w:spacing w:before="0" w:after="0" w:line="240" w:lineRule="auto"/>
              <w:ind w:firstLine="0"/>
            </w:pPr>
            <w:r>
              <w:rPr>
                <w:rFonts w:ascii="Times New Roman" w:hAnsi="Times New Roman" w:eastAsia="Times New Roman"/>
                <w:sz w:val="20"/>
              </w:rPr>
              <w:t xml:space="preserve">Variance validation</w:t>
            </w:r>
          </w:p>
        </w:tc>
        <w:tc>
          <w:tcPr>
            <w:tcW w:w="1518" w:type="dxa"/>
          </w:tcPr>
          <w:p w14:paraId="71277E03" w14:textId="7FFD4FDE">
            <w:pPr>
              <w:spacing w:before="0" w:after="0" w:line="240" w:lineRule="auto"/>
              <w:ind w:firstLine="0"/>
            </w:pPr>
            <w:r>
              <w:rPr>
                <w:rFonts w:ascii="Times New Roman" w:hAnsi="Times New Roman" w:eastAsia="Times New Roman"/>
                <w:sz w:val="20"/>
              </w:rPr>
              <w:t xml:space="preserve">Rao–Wu resampling for 5-year risk differences</w:t>
            </w:r>
          </w:p>
        </w:tc>
        <w:tc>
          <w:tcPr>
            <w:tcW w:w="1822" w:type="dxa"/>
          </w:tcPr>
          <w:p w14:paraId="131A22D1" w14:textId="7FFD4FDF">
            <w:pPr>
              <w:spacing w:before="0" w:after="0" w:line="240" w:lineRule="auto"/>
              <w:ind w:firstLine="0"/>
            </w:pPr>
            <w:r>
              <w:rPr>
                <w:rFonts w:ascii="Times New Roman" w:hAnsi="Times New Roman" w:eastAsia="Times New Roman"/>
                <w:sz w:val="20"/>
              </w:rPr>
              <w:t xml:space="preserve">500 complete refits; coverage 0.925–0.975; SE ratio 0.80–1.25</w:t>
            </w:r>
          </w:p>
        </w:tc>
        <w:tc>
          <w:tcPr>
            <w:tcW w:w="2125" w:type="dxa"/>
          </w:tcPr>
          <w:p w14:paraId="6CB66ACA" w14:textId="7FFD4FE0">
            <w:pPr>
              <w:spacing w:before="0" w:after="0" w:line="240" w:lineRule="auto"/>
              <w:ind w:firstLine="0"/>
            </w:pPr>
            <w:r>
              <w:rPr>
                <w:rFonts w:ascii="Times New Roman" w:hAnsi="Times New Roman" w:eastAsia="Times New Roman"/>
                <w:sz w:val="20"/>
              </w:rPr>
              <w:t xml:space="preserve">100% success rate; coverage 0.948–0.960; SE ratio 0.997–1.000</w:t>
            </w:r>
          </w:p>
        </w:tc>
        <w:tc>
          <w:tcPr>
            <w:tcW w:w="708" w:type="dxa"/>
          </w:tcPr>
          <w:p w14:paraId="2D2BB06F" w14:textId="7FFD4FC9">
            <w:pPr>
              <w:spacing w:before="0" w:after="0" w:line="240" w:lineRule="auto"/>
              <w:ind w:firstLine="0"/>
            </w:pPr>
            <w:r>
              <w:rPr>
                <w:rFonts w:ascii="Times New Roman" w:hAnsi="Times New Roman" w:eastAsia="Times New Roman"/>
                <w:sz w:val="20"/>
              </w:rPr>
              <w:t xml:space="preserve">Passed</w:t>
            </w:r>
          </w:p>
        </w:tc>
        <w:tc>
          <w:tcPr>
            <w:tcW w:w="1792" w:type="dxa"/>
          </w:tcPr>
          <w:p w14:paraId="001C5F21" w14:textId="7FFD4FE1">
            <w:pPr>
              <w:spacing w:before="0" w:after="0" w:line="240" w:lineRule="auto"/>
              <w:ind w:firstLine="0"/>
            </w:pPr>
            <w:r>
              <w:rPr>
                <w:rFonts w:hint="eastAsia" w:ascii="Times New Roman" w:hAnsi="Times New Roman" w:eastAsia="Times New Roman" w:cs="Times New Roman"/>
                <w:sz w:val="20"/>
              </w:rPr>
              <w:t xml:space="preserve">CKM stages 0–2, stage 3, and stage 4</w:t>
            </w:r>
          </w:p>
        </w:tc>
      </w:tr>
      <w:tr w14:paraId="6CA2884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55" w:type="dxa"/>
            <w:left w:w="55" w:type="dxa"/>
            <w:bottom w:w="55" w:type="dxa"/>
            <w:right w:w="55" w:type="dxa"/>
          </w:tblCellMar>
        </w:tblPrEx>
        <w:trPr>
          <w:cantSplit/>
        </w:trPr>
        <w:tc>
          <w:tcPr>
            <w:tcW w:w="1215" w:type="dxa"/>
          </w:tcPr>
          <w:p w14:paraId="797A82E0" w14:textId="7FFD4FD9">
            <w:pPr>
              <w:spacing w:before="0" w:after="0" w:line="240" w:lineRule="auto"/>
              <w:ind w:firstLine="0"/>
            </w:pPr>
            <w:r>
              <w:rPr>
                <w:rFonts w:ascii="Times New Roman" w:hAnsi="Times New Roman" w:eastAsia="Times New Roman"/>
                <w:sz w:val="20"/>
              </w:rPr>
              <w:t xml:space="preserve">Variance validation</w:t>
            </w:r>
          </w:p>
        </w:tc>
        <w:tc>
          <w:tcPr>
            <w:tcW w:w="1518" w:type="dxa"/>
          </w:tcPr>
          <w:p w14:paraId="6BFBB386" w14:textId="7FFD4FE2">
            <w:pPr>
              <w:spacing w:before="0" w:after="0" w:line="240" w:lineRule="auto"/>
              <w:ind w:firstLine="0"/>
            </w:pPr>
            <w:r>
              <w:rPr>
                <w:rFonts w:ascii="Times New Roman" w:hAnsi="Times New Roman" w:eastAsia="Times New Roman"/>
                <w:sz w:val="20"/>
              </w:rPr>
              <w:t xml:space="preserve">Resampling for differences between health behavior and total LE8 score slopes</w:t>
            </w:r>
          </w:p>
        </w:tc>
        <w:tc>
          <w:tcPr>
            <w:tcW w:w="1822" w:type="dxa"/>
          </w:tcPr>
          <w:p w14:paraId="322307F4" w14:textId="7FFD4FE3">
            <w:pPr>
              <w:spacing w:before="0" w:after="0" w:line="240" w:lineRule="auto"/>
              <w:ind w:firstLine="0"/>
            </w:pPr>
            <w:r>
              <w:rPr>
                <w:rFonts w:ascii="Times New Roman" w:hAnsi="Times New Roman" w:eastAsia="Times New Roman"/>
                <w:sz w:val="20"/>
              </w:rPr>
              <w:t xml:space="preserve">500 synchronized resamples; coverage 0.925–0.975; SE ratio 0.80–1.25</w:t>
            </w:r>
          </w:p>
        </w:tc>
        <w:tc>
          <w:tcPr>
            <w:tcW w:w="2125" w:type="dxa"/>
          </w:tcPr>
          <w:p w14:paraId="04F4E141" w14:textId="7FFD4FE4">
            <w:pPr>
              <w:spacing w:before="0" w:after="0" w:line="240" w:lineRule="auto"/>
              <w:ind w:firstLine="0"/>
            </w:pPr>
            <w:r>
              <w:rPr>
                <w:rFonts w:ascii="Times New Roman" w:hAnsi="Times New Roman" w:eastAsia="Times New Roman"/>
                <w:sz w:val="20"/>
              </w:rPr>
              <w:t xml:space="preserve">100% success rate; coverage 0.946–0.966; SE ratio 0.990–1.000</w:t>
            </w:r>
          </w:p>
        </w:tc>
        <w:tc>
          <w:tcPr>
            <w:tcW w:w="708" w:type="dxa"/>
          </w:tcPr>
          <w:p w14:paraId="41722446" w14:textId="7FFD4FCA">
            <w:pPr>
              <w:spacing w:before="0" w:after="0" w:line="240" w:lineRule="auto"/>
              <w:ind w:firstLine="0"/>
            </w:pPr>
            <w:r>
              <w:rPr>
                <w:rFonts w:ascii="Times New Roman" w:hAnsi="Times New Roman" w:eastAsia="Times New Roman"/>
                <w:sz w:val="20"/>
              </w:rPr>
              <w:t xml:space="preserve">Passed</w:t>
            </w:r>
          </w:p>
        </w:tc>
        <w:tc>
          <w:tcPr>
            <w:tcW w:w="1792" w:type="dxa"/>
          </w:tcPr>
          <w:p w14:paraId="52E66AF8" w14:textId="7FFD50C0">
            <w:pPr>
              <w:spacing w:before="0" w:after="0" w:line="240" w:lineRule="auto"/>
              <w:ind w:firstLine="0"/>
            </w:pPr>
            <w:r>
              <w:rPr>
                <w:rFonts w:hint="eastAsia" w:ascii="Times New Roman" w:hAnsi="Times New Roman" w:eastAsia="Times New Roman" w:cs="Times New Roman"/>
                <w:sz w:val="20"/>
              </w:rPr>
              <w:t xml:space="preserve">Three CKM stage groups</w:t>
            </w:r>
          </w:p>
        </w:tc>
      </w:tr>
    </w:tbl>
    <w:p w14:paraId="32520F7D" w14:textId="7FFD4EDB">
      <w:pPr>
        <w:pStyle w:val="15"/>
        <w:widowControl/>
        <w:spacing w:before="60" w:after="120" w:line="240" w:lineRule="auto"/>
        <w:ind w:firstLine="0"/>
        <w:jc w:val="left"/>
      </w:pPr>
      <w:r>
        <w:rPr>
          <w:rFonts w:ascii="Times New Roman" w:hAnsi="Times New Roman" w:eastAsia="Times New Roman"/>
          <w:b/>
          <w:sz w:val="20"/>
        </w:rPr>
        <w:t xml:space="preserve">Note: The staging algorithm, variable ranges, and complex survey variance methods were validated against prespecified standards. Only summary results suitable for scientific interpretation are reported.</w:t>
      </w:r>
    </w:p>
    <w:p w14:paraId="7FFD4824" w14:textId="7FFD50B2">
      <w:pPr>
        <w:pStyle w:val="15"/>
        <w:keepNext/>
        <w:pageBreakBefore w:val="0"/>
        <w:spacing w:before="160" w:after="80" w:line="240" w:lineRule="auto"/>
        <w:ind w:firstLine="0"/>
        <w:jc w:val="left"/>
      </w:pPr>
      <w:r>
        <w:rPr>
          <w:rFonts w:ascii="Times New Roman" w:hAnsi="Times New Roman" w:eastAsia="Times New Roman"/>
          <w:b/>
          <w:sz w:val="20"/>
        </w:rPr>
        <w:t xml:space="preserve">Supplementary Table S7. Operational definitions, thresholds, and priorities for CKM stages 0–4</w:t>
      </w:r>
    </w:p>
    <w:tbl>
      <w:tblPr>
        <w:tblStyle w:val="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60" w:type="dxa"/>
          <w:left w:w="60" w:type="dxa"/>
          <w:bottom w:w="60" w:type="dxa"/>
          <w:right w:w="60" w:type="dxa"/>
        </w:tblCellMar>
        <w:tblCaption w:val="Supplementary Table S7. Operational definitions, thresholds, and priorities for CKM stages 0-4"/>
      </w:tblPr>
      <w:tblGrid>
        <w:gridCol w:w="1448"/>
        <w:gridCol w:w="3828"/>
        <w:gridCol w:w="6310"/>
        <w:gridCol w:w="3104"/>
      </w:tblGrid>
      <w:tr w14:paraId="150207C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blHeader/>
        </w:trPr>
        <w:tc>
          <w:tcPr>
            <w:tcW w:w="1400" w:type="dxa"/>
            <w:shd w:val="clear" w:color="auto" w:fill="D9E2F3"/>
            <w:vAlign w:val="center"/>
          </w:tcPr>
          <w:p w14:paraId="7FFD4826" w14:textId="7FFD4FE5">
            <w:pPr>
              <w:spacing w:before="0" w:after="0" w:line="240" w:lineRule="auto"/>
              <w:ind w:firstLine="0"/>
              <w:jc w:val="center"/>
            </w:pPr>
            <w:r>
              <w:t xml:space="preserve">Stage/group</w:t>
            </w:r>
          </w:p>
        </w:tc>
        <w:tc>
          <w:tcPr>
            <w:tcW w:w="3700" w:type="dxa"/>
            <w:shd w:val="clear" w:color="auto" w:fill="D9E2F3"/>
            <w:vAlign w:val="center"/>
          </w:tcPr>
          <w:p w14:paraId="7FFD4828" w14:textId="7FFD4FE7">
            <w:pPr>
              <w:spacing w:before="0" w:after="0" w:line="240" w:lineRule="auto"/>
              <w:ind w:firstLine="0"/>
              <w:jc w:val="center"/>
            </w:pPr>
            <w:r>
              <w:t xml:space="preserve">Operational definition</w:t>
            </w:r>
          </w:p>
        </w:tc>
        <w:tc>
          <w:tcPr>
            <w:tcW w:w="6100" w:type="dxa"/>
            <w:shd w:val="clear" w:color="auto" w:fill="D9E2F3"/>
            <w:vAlign w:val="center"/>
          </w:tcPr>
          <w:p w14:paraId="7FFD482A" w14:textId="7FFD4FE8">
            <w:pPr>
              <w:spacing w:before="0" w:after="0" w:line="240" w:lineRule="auto"/>
              <w:ind w:firstLine="0"/>
              <w:jc w:val="center"/>
            </w:pPr>
            <w:r>
              <w:t xml:space="preserve">Thresholds and inputs</w:t>
            </w:r>
          </w:p>
        </w:tc>
        <w:tc>
          <w:tcPr>
            <w:tcW w:w="3000" w:type="dxa"/>
            <w:shd w:val="clear" w:color="auto" w:fill="D9E2F3"/>
            <w:vAlign w:val="center"/>
          </w:tcPr>
          <w:p w14:paraId="7FFD482C" w14:textId="7FFD4FE9">
            <w:pPr>
              <w:spacing w:before="0" w:after="0" w:line="240" w:lineRule="auto"/>
              <w:ind w:firstLine="0"/>
              <w:jc w:val="center"/>
            </w:pPr>
            <w:r>
              <w:t xml:space="preserve">Priority and missing-data handling</w:t>
            </w:r>
          </w:p>
        </w:tc>
      </w:tr>
      <w:tr w14:paraId="269A1F2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1400" w:type="dxa"/>
            <w:vAlign w:val="center"/>
          </w:tcPr>
          <w:p w14:paraId="7FFD482E" w14:textId="7FFD505B">
            <w:pPr>
              <w:spacing w:before="0" w:after="0" w:line="240" w:lineRule="auto"/>
              <w:ind w:firstLine="0"/>
              <w:jc w:val="center"/>
            </w:pPr>
            <w:r>
              <w:t xml:space="preserve">CKM stage 4</w:t>
            </w:r>
          </w:p>
        </w:tc>
        <w:tc>
          <w:tcPr>
            <w:tcW w:w="3700" w:type="dxa"/>
            <w:vAlign w:val="center"/>
          </w:tcPr>
          <w:p w14:paraId="7FFD4830" w14:textId="7FFD4FEA">
            <w:pPr>
              <w:spacing w:before="0" w:after="0" w:line="240" w:lineRule="auto"/>
              <w:ind w:firstLine="0"/>
              <w:jc w:val="left"/>
            </w:pPr>
            <w:r>
              <w:t xml:space="preserve">Clinical cardiovascular disease</w:t>
            </w:r>
          </w:p>
        </w:tc>
        <w:tc>
          <w:tcPr>
            <w:tcW w:w="6100" w:type="dxa"/>
            <w:vAlign w:val="center"/>
          </w:tcPr>
          <w:p w14:paraId="7FFD4832" w14:textId="7FFD4FEC">
            <w:pPr>
              <w:spacing w:before="0" w:after="0" w:line="240" w:lineRule="auto"/>
              <w:ind w:firstLine="0"/>
              <w:jc w:val="left"/>
            </w:pPr>
            <w:r>
              <w:t xml:space="preserve">Any self-reported coronary heart disease, myocardial infarction, angina, heart failure, or stroke</w:t>
            </w:r>
          </w:p>
        </w:tc>
        <w:tc>
          <w:tcPr>
            <w:tcW w:w="3000" w:type="dxa"/>
            <w:vAlign w:val="center"/>
          </w:tcPr>
          <w:p w14:paraId="7FFD4834" w14:textId="7FFD4FED">
            <w:pPr>
              <w:spacing w:before="0" w:after="0" w:line="240" w:lineRule="auto"/>
              <w:ind w:firstLine="0"/>
              <w:jc w:val="left"/>
            </w:pPr>
            <w:r>
              <w:t xml:space="preserve">Highest priority; classified as stage 4 when any criterion was met</w:t>
            </w:r>
          </w:p>
        </w:tc>
      </w:tr>
      <w:tr w14:paraId="448B365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1400" w:type="dxa"/>
            <w:vAlign w:val="center"/>
          </w:tcPr>
          <w:p w14:paraId="7FFD4836" w14:textId="7FFD504D">
            <w:pPr>
              <w:spacing w:before="0" w:after="0" w:line="240" w:lineRule="auto"/>
              <w:ind w:firstLine="0"/>
              <w:jc w:val="center"/>
            </w:pPr>
            <w:r>
              <w:t xml:space="preserve">CKM stage 3</w:t>
            </w:r>
          </w:p>
        </w:tc>
        <w:tc>
          <w:tcPr>
            <w:tcW w:w="3700" w:type="dxa"/>
            <w:vAlign w:val="center"/>
          </w:tcPr>
          <w:p w14:paraId="7FFD4838" w14:textId="7FFD50C1">
            <w:pPr>
              <w:spacing w:before="0" w:after="0" w:line="240" w:lineRule="auto"/>
              <w:ind w:firstLine="0"/>
              <w:jc w:val="left"/>
            </w:pPr>
            <w:r>
              <w:t xml:space="preserve">No clinical cardiovascular disease; at least one stage 1 or stage 2 criterion; and PREVENT 10-year total CVD risk ≥0.20</w:t>
            </w:r>
          </w:p>
        </w:tc>
        <w:tc>
          <w:tcPr>
            <w:tcW w:w="6100" w:type="dxa"/>
            <w:vAlign w:val="center"/>
          </w:tcPr>
          <w:p w14:paraId="7FFD483A" w14:textId="7FFD50C2">
            <w:pPr>
              <w:spacing w:before="0" w:after="0" w:line="240" w:lineRule="auto"/>
              <w:ind w:firstLine="0"/>
              <w:jc w:val="left"/>
            </w:pPr>
            <w:r>
              <w:t xml:space="preserve">PREVENT base model on a 0–1 scale for ages 30–79 years; inputs: age, sex, SBP, antihypertensive treatment, total cholesterol, HDL, statin treatment, diabetes, current smoking, eGFR, and BMI</w:t>
            </w:r>
          </w:p>
        </w:tc>
        <w:tc>
          <w:tcPr>
            <w:tcW w:w="3000" w:type="dxa"/>
            <w:vAlign w:val="center"/>
          </w:tcPr>
          <w:p w14:paraId="7FFD483C" w14:textId="7FFD4FEE">
            <w:pPr>
              <w:spacing w:before="0" w:after="0" w:line="240" w:lineRule="auto"/>
              <w:ind w:firstLine="0"/>
              <w:jc w:val="left"/>
            </w:pPr>
            <w:r>
              <w:t xml:space="preserve">Evaluated only among participants without stage 4; if a required input was missing, stage 3 was unknown and was not automatically reassigned to stage 2</w:t>
            </w:r>
          </w:p>
        </w:tc>
      </w:tr>
      <w:tr w14:paraId="3B60AEB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1400" w:type="dxa"/>
            <w:vAlign w:val="center"/>
          </w:tcPr>
          <w:p w14:paraId="7FFD483E" w14:textId="7FFD50C8">
            <w:pPr>
              <w:spacing w:before="0" w:after="0" w:line="240" w:lineRule="auto"/>
              <w:ind w:firstLine="0"/>
              <w:jc w:val="center"/>
            </w:pPr>
            <w:r>
              <w:t xml:space="preserve">CKM stage 2</w:t>
            </w:r>
          </w:p>
        </w:tc>
        <w:tc>
          <w:tcPr>
            <w:tcW w:w="3700" w:type="dxa"/>
            <w:vAlign w:val="center"/>
          </w:tcPr>
          <w:p w14:paraId="7FFD4840" w14:textId="7FFD4FEF">
            <w:pPr>
              <w:spacing w:before="0" w:after="0" w:line="240" w:lineRule="auto"/>
              <w:ind w:firstLine="0"/>
              <w:jc w:val="left"/>
            </w:pPr>
            <w:r>
              <w:t xml:space="preserve">Hypertension, diabetes, or chronic kidney disease</w:t>
            </w:r>
          </w:p>
        </w:tc>
        <w:tc>
          <w:tcPr>
            <w:tcW w:w="6100" w:type="dxa"/>
            <w:vAlign w:val="center"/>
          </w:tcPr>
          <w:p w14:paraId="7FFD4842" w14:textId="7FFD4FF0">
            <w:pPr>
              <w:spacing w:before="0" w:after="0" w:line="240" w:lineRule="auto"/>
              <w:ind w:firstLine="0"/>
              <w:jc w:val="left"/>
            </w:pPr>
            <w:r>
              <w:t xml:space="preserve">Hypertension: mean SBP ≥130 mmHg, DBP ≥80 mmHg, or antihypertensive treatment; diabetes: self-report, medication use, HbA1c ≥6.5%, or FPG ≥126 mg/dL; CKD: eGFR &lt;60 mL/min/1.73 m² or UACR ≥30 mg/g</w:t>
            </w:r>
            <w:bookmarkStart w:name="_GoBack" w:id="0"/>
            <w:bookmarkEnd w:id="0"/>
          </w:p>
        </w:tc>
        <w:tc>
          <w:tcPr>
            <w:tcW w:w="3000" w:type="dxa"/>
            <w:vAlign w:val="center"/>
          </w:tcPr>
          <w:p w14:paraId="7FFD4844" w14:textId="7FFD4FF1">
            <w:pPr>
              <w:spacing w:before="0" w:after="0" w:line="240" w:lineRule="auto"/>
              <w:ind w:firstLine="0"/>
              <w:jc w:val="left"/>
            </w:pPr>
            <w:r>
              <w:t xml:space="preserve">Classified when stage 3–4 criteria were not met</w:t>
            </w:r>
          </w:p>
        </w:tc>
      </w:tr>
      <w:tr w14:paraId="69F37BF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1400" w:type="dxa"/>
            <w:vAlign w:val="center"/>
          </w:tcPr>
          <w:p w14:paraId="7FFD4846" w14:textId="7FFD50C9">
            <w:pPr>
              <w:spacing w:before="0" w:after="0" w:line="240" w:lineRule="auto"/>
              <w:ind w:firstLine="0"/>
              <w:jc w:val="center"/>
            </w:pPr>
            <w:r>
              <w:t xml:space="preserve">CKM stage 1</w:t>
            </w:r>
          </w:p>
        </w:tc>
        <w:tc>
          <w:tcPr>
            <w:tcW w:w="3700" w:type="dxa"/>
            <w:vAlign w:val="center"/>
          </w:tcPr>
          <w:p w14:paraId="7FFD4848" w14:textId="7FFD4FF2">
            <w:pPr>
              <w:spacing w:before="0" w:after="0" w:line="240" w:lineRule="auto"/>
              <w:ind w:firstLine="0"/>
              <w:jc w:val="left"/>
            </w:pPr>
            <w:r>
              <w:t xml:space="preserve">Overweight/central obesity or prediabetes</w:t>
            </w:r>
          </w:p>
        </w:tc>
        <w:tc>
          <w:tcPr>
            <w:tcW w:w="6100" w:type="dxa"/>
            <w:vAlign w:val="center"/>
          </w:tcPr>
          <w:p w14:paraId="7FFD484A" w14:textId="7FFD4FF3">
            <w:pPr>
              <w:spacing w:before="0" w:after="0" w:line="240" w:lineRule="auto"/>
              <w:ind w:firstLine="0"/>
              <w:jc w:val="left"/>
            </w:pPr>
            <w:r>
              <w:t xml:space="preserve">BMI ≥25 kg/m²; waist circumference ≥102 cm in men or ≥88 cm in women; or, without diabetes, HbA1c 5.7%–6.4% or FPG 100–125 mg/dL</w:t>
            </w:r>
          </w:p>
        </w:tc>
        <w:tc>
          <w:tcPr>
            <w:tcW w:w="3000" w:type="dxa"/>
            <w:vAlign w:val="center"/>
          </w:tcPr>
          <w:p w14:paraId="7FFD484C" w14:textId="7FFD4FF4">
            <w:pPr>
              <w:spacing w:before="0" w:after="0" w:line="240" w:lineRule="auto"/>
              <w:ind w:firstLine="0"/>
              <w:jc w:val="left"/>
            </w:pPr>
            <w:r>
              <w:t xml:space="preserve">Classified when stage 2–4 criteria were not met</w:t>
            </w:r>
          </w:p>
        </w:tc>
      </w:tr>
      <w:tr w14:paraId="7B490C3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1400" w:type="dxa"/>
            <w:vAlign w:val="center"/>
          </w:tcPr>
          <w:p w14:paraId="7FFD484E" w14:textId="7FFD50CB">
            <w:pPr>
              <w:spacing w:before="0" w:after="0" w:line="240" w:lineRule="auto"/>
              <w:ind w:firstLine="0"/>
              <w:jc w:val="center"/>
            </w:pPr>
            <w:r>
              <w:t xml:space="preserve">CKM stage 0</w:t>
            </w:r>
          </w:p>
        </w:tc>
        <w:tc>
          <w:tcPr>
            <w:tcW w:w="3700" w:type="dxa"/>
            <w:vAlign w:val="center"/>
          </w:tcPr>
          <w:p w14:paraId="7FFD4850" w14:textId="7FFD4FF5">
            <w:pPr>
              <w:spacing w:before="0" w:after="0" w:line="240" w:lineRule="auto"/>
              <w:ind w:firstLine="0"/>
              <w:jc w:val="left"/>
            </w:pPr>
            <w:r>
              <w:t xml:space="preserve">No stage 1–4 criteria met</w:t>
            </w:r>
          </w:p>
        </w:tc>
        <w:tc>
          <w:tcPr>
            <w:tcW w:w="6100" w:type="dxa"/>
            <w:vAlign w:val="center"/>
          </w:tcPr>
          <w:p w14:paraId="7FFD4852" w14:textId="7FFD4FF6">
            <w:pPr>
              <w:spacing w:before="0" w:after="0" w:line="240" w:lineRule="auto"/>
              <w:ind w:firstLine="0"/>
              <w:jc w:val="left"/>
            </w:pPr>
            <w:r>
              <w:t xml:space="preserve">No metabolic, kidney, or clinical cardiovascular trigger listed above</w:t>
            </w:r>
          </w:p>
        </w:tc>
        <w:tc>
          <w:tcPr>
            <w:tcW w:w="3000" w:type="dxa"/>
            <w:vAlign w:val="center"/>
          </w:tcPr>
          <w:p w14:paraId="7FFD4854" w14:textId="7FFD4FF7">
            <w:pPr>
              <w:spacing w:before="0" w:after="0" w:line="240" w:lineRule="auto"/>
              <w:ind w:firstLine="0"/>
              <w:jc w:val="left"/>
            </w:pPr>
            <w:r>
              <w:t xml:space="preserve">Lowest stage</w:t>
            </w:r>
          </w:p>
        </w:tc>
      </w:tr>
      <w:tr w14:paraId="0ECFB3E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1400" w:type="dxa"/>
            <w:vAlign w:val="center"/>
          </w:tcPr>
          <w:p w14:paraId="7FFD4856" w14:textId="7FFD4FF8">
            <w:pPr>
              <w:spacing w:before="0" w:after="0" w:line="240" w:lineRule="auto"/>
              <w:ind w:firstLine="0"/>
              <w:jc w:val="center"/>
            </w:pPr>
            <w:r>
              <w:t xml:space="preserve">Primary analysis groups</w:t>
            </w:r>
          </w:p>
        </w:tc>
        <w:tc>
          <w:tcPr>
            <w:tcW w:w="3700" w:type="dxa"/>
            <w:vAlign w:val="center"/>
          </w:tcPr>
          <w:p w14:paraId="7FFD4858" w14:textId="7FFD4FF9">
            <w:pPr>
              <w:spacing w:before="0" w:after="0" w:line="240" w:lineRule="auto"/>
              <w:ind w:firstLine="0"/>
              <w:jc w:val="left"/>
            </w:pPr>
            <w:r>
              <w:t xml:space="preserve">Stages 0–2, stage 3, and stage 4</w:t>
            </w:r>
          </w:p>
        </w:tc>
        <w:tc>
          <w:tcPr>
            <w:tcW w:w="6100" w:type="dxa"/>
            <w:vAlign w:val="center"/>
          </w:tcPr>
          <w:p w14:paraId="7FFD485A" w14:textId="7FFD4FFA">
            <w:pPr>
              <w:spacing w:before="0" w:after="0" w:line="240" w:lineRule="auto"/>
              <w:ind w:firstLine="0"/>
              <w:jc w:val="left"/>
            </w:pPr>
            <w:r>
              <w:t xml:space="preserve">Stage 0 had only nine deaths; the prespecified minimum was 20 deaths per primary stratum</w:t>
            </w:r>
          </w:p>
        </w:tc>
        <w:tc>
          <w:tcPr>
            <w:tcW w:w="3000" w:type="dxa"/>
            <w:vAlign w:val="center"/>
          </w:tcPr>
          <w:p w14:paraId="7FFD485C" w14:textId="7FFD4FFB">
            <w:pPr>
              <w:spacing w:before="0" w:after="0" w:line="240" w:lineRule="auto"/>
              <w:ind w:firstLine="0"/>
              <w:jc w:val="left"/>
            </w:pPr>
            <w:r>
              <w:t xml:space="preserve">Grouping does not imply clinical homogeneity across stages 0, 1, and 2</w:t>
            </w:r>
          </w:p>
        </w:tc>
      </w:tr>
    </w:tbl>
    <w:p w14:paraId="7FFD485E" w14:textId="7FFD4EDC">
      <w:pPr>
        <w:pStyle w:val="15"/>
        <w:spacing w:after="120" w:line="240" w:lineRule="auto"/>
        <w:ind w:firstLine="0"/>
        <w:jc w:val="left"/>
      </w:pPr>
      <w:r>
        <w:rPr>
          <w:rFonts w:ascii="Times New Roman" w:hAnsi="Times New Roman" w:eastAsia="Times New Roman"/>
          <w:sz w:val="18"/>
        </w:rPr>
        <w:t xml:space="preserve">Note: Participants were classified according to the highest stage whose criteria they met; clinical cardiovascular disease took priority as stage 4. Because NHANES lacks subclinical imaging data, stage 3 was identified only through the high-risk PREVENT pathway. When a required PREVENT input was missing, stage 3 status was recorded as unknown and was not automatically reassigned to stage 2.</w:t>
      </w:r>
    </w:p>
    <w:p w14:paraId="7FFD4860" w14:textId="7FFD50B3">
      <w:pPr>
        <w:pStyle w:val="15"/>
        <w:keepNext/>
        <w:pageBreakBefore/>
        <w:spacing w:before="160" w:after="80" w:line="240" w:lineRule="auto"/>
        <w:ind w:firstLine="0"/>
        <w:jc w:val="left"/>
      </w:pPr>
      <w:r>
        <w:rPr>
          <w:rFonts w:ascii="Times New Roman" w:hAnsi="Times New Roman" w:eastAsia="Times New Roman"/>
          <w:b/>
          <w:sz w:val="20"/>
        </w:rPr>
        <w:t xml:space="preserve">Supplementary Table S8. Construction and scoring rules for the four LE8 health behavior components</w:t>
      </w:r>
    </w:p>
    <w:tbl>
      <w:tblPr>
        <w:tblStyle w:val="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60" w:type="dxa"/>
          <w:left w:w="60" w:type="dxa"/>
          <w:bottom w:w="60" w:type="dxa"/>
          <w:right w:w="60" w:type="dxa"/>
        </w:tblCellMar>
        <w:tblCaption w:val="Supplementary Table S8. Construction and scoring rules for the four LE8 health behavior components"/>
      </w:tblPr>
      <w:tblGrid>
        <w:gridCol w:w="1448"/>
        <w:gridCol w:w="5379"/>
        <w:gridCol w:w="5379"/>
        <w:gridCol w:w="2483"/>
      </w:tblGrid>
      <w:tr w14:paraId="183069E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blHeader/>
        </w:trPr>
        <w:tc>
          <w:tcPr>
            <w:tcW w:w="1400" w:type="dxa"/>
            <w:shd w:val="clear" w:color="auto" w:fill="D9E2F3"/>
            <w:vAlign w:val="center"/>
          </w:tcPr>
          <w:p w14:paraId="7FFD4862" w14:textId="7FFD4FFD">
            <w:pPr>
              <w:spacing w:before="0" w:after="0" w:line="240" w:lineRule="auto"/>
              <w:ind w:firstLine="0"/>
              <w:jc w:val="center"/>
            </w:pPr>
            <w:r>
              <w:t xml:space="preserve">Component</w:t>
            </w:r>
          </w:p>
        </w:tc>
        <w:tc>
          <w:tcPr>
            <w:tcW w:w="5200" w:type="dxa"/>
            <w:shd w:val="clear" w:color="auto" w:fill="D9E2F3"/>
            <w:vAlign w:val="center"/>
          </w:tcPr>
          <w:p w14:paraId="7FFD4864" w14:textId="7FFD4FFF">
            <w:pPr>
              <w:spacing w:before="0" w:after="0" w:line="240" w:lineRule="auto"/>
              <w:ind w:firstLine="0"/>
              <w:jc w:val="center"/>
            </w:pPr>
            <w:r>
              <w:t xml:space="preserve">Construction and variables</w:t>
            </w:r>
          </w:p>
        </w:tc>
        <w:tc>
          <w:tcPr>
            <w:tcW w:w="5200" w:type="dxa"/>
            <w:shd w:val="clear" w:color="auto" w:fill="D9E2F3"/>
            <w:vAlign w:val="center"/>
          </w:tcPr>
          <w:p w14:paraId="7FFD4866" w14:textId="7FFD5000">
            <w:pPr>
              <w:spacing w:before="0" w:after="0" w:line="240" w:lineRule="auto"/>
              <w:ind w:firstLine="0"/>
              <w:jc w:val="center"/>
            </w:pPr>
            <w:r>
              <w:t xml:space="preserve">0–100 scoring rule</w:t>
            </w:r>
          </w:p>
        </w:tc>
        <w:tc>
          <w:tcPr>
            <w:tcW w:w="2400" w:type="dxa"/>
            <w:shd w:val="clear" w:color="auto" w:fill="D9E2F3"/>
            <w:vAlign w:val="center"/>
          </w:tcPr>
          <w:p w14:paraId="7FFD4868" w14:textId="7FFD5001">
            <w:pPr>
              <w:spacing w:before="0" w:after="0" w:line="240" w:lineRule="auto"/>
              <w:ind w:firstLine="0"/>
              <w:jc w:val="center"/>
            </w:pPr>
            <w:r>
              <w:t xml:space="preserve">Completeness and cross-cycle handling</w:t>
            </w:r>
          </w:p>
        </w:tc>
      </w:tr>
      <w:tr w14:paraId="4C4E75B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1400" w:type="dxa"/>
            <w:vAlign w:val="center"/>
          </w:tcPr>
          <w:p w14:paraId="7FFD486A" w14:textId="7FFD5003">
            <w:pPr>
              <w:spacing w:before="0" w:after="0" w:line="240" w:lineRule="auto"/>
              <w:ind w:firstLine="0"/>
              <w:jc w:val="center"/>
            </w:pPr>
            <w:r>
              <w:t xml:space="preserve">Diet</w:t>
            </w:r>
          </w:p>
        </w:tc>
        <w:tc>
          <w:tcPr>
            <w:tcW w:w="5200" w:type="dxa"/>
            <w:vAlign w:val="center"/>
          </w:tcPr>
          <w:p w14:paraId="7FFD486C" w14:textId="7FFD5005">
            <w:pPr>
              <w:spacing w:before="0" w:after="0" w:line="240" w:lineRule="auto"/>
              <w:ind w:firstLine="0"/>
              <w:jc w:val="left"/>
            </w:pPr>
            <w:r>
              <w:t xml:space="preserve">Two-day DR1/DR2 records were linked to cycle-specific daily FPED totals by SEQN and cycle; arithmetic means of 2-day FPED equivalents and nutrients, including energy, sodium, and fatty acids, were calculated before scoring the 13 HEI-2015 components</w:t>
            </w:r>
          </w:p>
        </w:tc>
        <w:tc>
          <w:tcPr>
            <w:tcW w:w="5200" w:type="dxa"/>
            <w:vAlign w:val="center"/>
          </w:tcPr>
          <w:p w14:paraId="7FFD486E" w14:textId="7FFD5006">
            <w:pPr>
              <w:spacing w:before="0" w:after="0" w:line="240" w:lineRule="auto"/>
              <w:ind w:firstLine="0"/>
              <w:jc w:val="left"/>
            </w:pPr>
            <w:r>
              <w:t xml:space="preserve">HEI-2015 total score used directly (0–100)</w:t>
            </w:r>
          </w:p>
        </w:tc>
        <w:tc>
          <w:tcPr>
            <w:tcW w:w="2400" w:type="dxa"/>
            <w:vAlign w:val="center"/>
          </w:tcPr>
          <w:p w14:paraId="7FFD4870" w14:textId="7FFD5007">
            <w:pPr>
              <w:spacing w:before="0" w:after="0" w:line="240" w:lineRule="auto"/>
              <w:ind w:firstLine="0"/>
              <w:jc w:val="left"/>
            </w:pPr>
            <w:r>
              <w:t xml:space="preserve">Required DR1DRSTZ=1, DR2DRSTZ=1, and WTDR2D&gt;0; energy ≤0, linkage failure, or an invalid denominator was treated as missing, with no substitution of a 1-day score</w:t>
            </w:r>
          </w:p>
        </w:tc>
      </w:tr>
      <w:tr w14:paraId="3AC5D57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1400" w:type="dxa"/>
            <w:vAlign w:val="center"/>
          </w:tcPr>
          <w:p w14:paraId="7FFD4872" w14:textId="7FFD5009">
            <w:pPr>
              <w:spacing w:before="0" w:after="0" w:line="240" w:lineRule="auto"/>
              <w:ind w:firstLine="0"/>
              <w:jc w:val="center"/>
            </w:pPr>
            <w:r>
              <w:t xml:space="preserve">Physical activity</w:t>
            </w:r>
          </w:p>
        </w:tc>
        <w:tc>
          <w:tcPr>
            <w:tcW w:w="5200" w:type="dxa"/>
            <w:vAlign w:val="center"/>
          </w:tcPr>
          <w:p w14:paraId="7FFD4874" w14:textId="7FFD500B">
            <w:pPr>
              <w:spacing w:before="0" w:after="0" w:line="240" w:lineRule="auto"/>
              <w:ind w:firstLine="0"/>
              <w:jc w:val="left"/>
            </w:pPr>
            <w:r>
              <w:t xml:space="preserve">Moderate-intensity-equivalent minutes/week=moderate-intensity minutes+2×vigorous-intensity minutes; calculated from activity-level PAQIAF records in 2005–2006 and from GPAQ in 2007–2014</w:t>
            </w:r>
          </w:p>
        </w:tc>
        <w:tc>
          <w:tcPr>
            <w:tcW w:w="5200" w:type="dxa"/>
            <w:vAlign w:val="center"/>
          </w:tcPr>
          <w:p w14:paraId="7FFD4876" w14:textId="7FFD500C">
            <w:pPr>
              <w:spacing w:before="0" w:after="0" w:line="240" w:lineRule="auto"/>
              <w:ind w:firstLine="0"/>
              <w:jc w:val="left"/>
            </w:pPr>
            <w:r>
              <w:t xml:space="preserve">0→0; 1–29→20; 30–59→40; 60–89→60; 90–119→80; 120–149→90; ≥150→100</w:t>
            </w:r>
          </w:p>
        </w:tc>
        <w:tc>
          <w:tcPr>
            <w:tcW w:w="2400" w:type="dxa"/>
            <w:vAlign w:val="center"/>
          </w:tcPr>
          <w:p w14:paraId="7FFD4878" w14:textId="7FFD500D">
            <w:pPr>
              <w:spacing w:before="0" w:after="0" w:line="240" w:lineRule="auto"/>
              <w:ind w:firstLine="0"/>
              <w:jc w:val="left"/>
            </w:pPr>
            <w:r>
              <w:t xml:space="preserve">GPAQ days were restricted to 0–7 and minutes to 0–960; out-of-range values were set to missing; both questionnaires were harmonized to the same weekly-minute scale</w:t>
            </w:r>
          </w:p>
        </w:tc>
      </w:tr>
      <w:tr w14:paraId="658BBB4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1400" w:type="dxa"/>
            <w:vAlign w:val="center"/>
          </w:tcPr>
          <w:p w14:paraId="7FFD487A" w14:textId="7FFD500F">
            <w:pPr>
              <w:spacing w:before="0" w:after="0" w:line="240" w:lineRule="auto"/>
              <w:ind w:firstLine="0"/>
              <w:jc w:val="center"/>
            </w:pPr>
            <w:r>
              <w:t xml:space="preserve">Nicotine exposure</w:t>
            </w:r>
          </w:p>
        </w:tc>
        <w:tc>
          <w:tcPr>
            <w:tcW w:w="5200" w:type="dxa"/>
            <w:vAlign w:val="center"/>
          </w:tcPr>
          <w:p w14:paraId="7FFD487C" w14:textId="7FFD50C3">
            <w:pPr>
              <w:spacing w:before="0" w:after="0" w:line="240" w:lineRule="auto"/>
              <w:ind w:firstLine="0"/>
              <w:jc w:val="left"/>
            </w:pPr>
            <w:r>
              <w:t xml:space="preserve">Current smoking status and years since cessation among former smokers</w:t>
            </w:r>
          </w:p>
        </w:tc>
        <w:tc>
          <w:tcPr>
            <w:tcW w:w="5200" w:type="dxa"/>
            <w:vAlign w:val="center"/>
          </w:tcPr>
          <w:p w14:paraId="7FFD487E" w14:textId="7FFD5011">
            <w:pPr>
              <w:spacing w:before="0" w:after="0" w:line="240" w:lineRule="auto"/>
              <w:ind w:firstLine="0"/>
              <w:jc w:val="left"/>
            </w:pPr>
            <w:r>
              <w:t xml:space="preserve">Current smoking 0; cessation &lt;1 year 25; cessation 1 to &lt;5 years 50; cessation ≥5 years 75; never smoking 100</w:t>
            </w:r>
          </w:p>
        </w:tc>
        <w:tc>
          <w:tcPr>
            <w:tcW w:w="2400" w:type="dxa"/>
            <w:vAlign w:val="center"/>
          </w:tcPr>
          <w:p w14:paraId="7FFD4880" w14:textId="7FFD50C4">
            <w:pPr>
              <w:spacing w:before="0" w:after="0" w:line="240" w:lineRule="auto"/>
              <w:ind w:firstLine="0"/>
              <w:jc w:val="left"/>
            </w:pPr>
            <w:r>
              <w:t xml:space="preserve">The primary score across five cycles did not deduct points for secondhand smoke; secondhand smoke was evaluated in cycle-specific sensitivity analyses</w:t>
            </w:r>
          </w:p>
        </w:tc>
      </w:tr>
      <w:tr w14:paraId="56FCAB4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1400" w:type="dxa"/>
            <w:vAlign w:val="center"/>
          </w:tcPr>
          <w:p w14:paraId="7FFD4882" w14:textId="7FFD5013">
            <w:pPr>
              <w:spacing w:before="0" w:after="0" w:line="240" w:lineRule="auto"/>
              <w:ind w:firstLine="0"/>
              <w:jc w:val="center"/>
            </w:pPr>
            <w:r>
              <w:t xml:space="preserve">Sleep</w:t>
            </w:r>
          </w:p>
        </w:tc>
        <w:tc>
          <w:tcPr>
            <w:tcW w:w="5200" w:type="dxa"/>
            <w:vAlign w:val="center"/>
          </w:tcPr>
          <w:p w14:paraId="7FFD4884" w14:textId="7FFD50C5">
            <w:pPr>
              <w:spacing w:before="0" w:after="0" w:line="240" w:lineRule="auto"/>
              <w:ind w:firstLine="0"/>
              <w:jc w:val="left"/>
            </w:pPr>
            <w:r>
              <w:t xml:space="preserve">Usual nightly sleep duration (h/night)</w:t>
            </w:r>
          </w:p>
        </w:tc>
        <w:tc>
          <w:tcPr>
            <w:tcW w:w="5200" w:type="dxa"/>
            <w:vAlign w:val="center"/>
          </w:tcPr>
          <w:p w14:paraId="7FFD4886" w14:textId="7FFD5016">
            <w:pPr>
              <w:spacing w:before="0" w:after="0" w:line="240" w:lineRule="auto"/>
              <w:ind w:firstLine="0"/>
              <w:jc w:val="left"/>
            </w:pPr>
            <w:r>
              <w:t xml:space="preserve">&lt;4→0; 4 to &lt;5→20; 5 to &lt;6→40; 6 to &lt;7→70; 7 to &lt;9→100; 9 to &lt;10→90; ≥10→40</w:t>
            </w:r>
          </w:p>
        </w:tc>
        <w:tc>
          <w:tcPr>
            <w:tcW w:w="2400" w:type="dxa"/>
            <w:vAlign w:val="center"/>
          </w:tcPr>
          <w:p w14:paraId="7FFD4888" w14:textId="7FFD5017">
            <w:pPr>
              <w:spacing w:before="0" w:after="0" w:line="240" w:lineRule="auto"/>
              <w:ind w:firstLine="0"/>
              <w:jc w:val="left"/>
            </w:pPr>
            <w:r>
              <w:t xml:space="preserve">Valid range 0–24 h; out-of-range values were set to missing</w:t>
            </w:r>
          </w:p>
        </w:tc>
      </w:tr>
      <w:tr w14:paraId="339B646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1400" w:type="dxa"/>
            <w:vAlign w:val="center"/>
          </w:tcPr>
          <w:p w14:paraId="7FFD488A" w14:textId="7FFD5018">
            <w:pPr>
              <w:spacing w:before="0" w:after="0" w:line="240" w:lineRule="auto"/>
              <w:ind w:firstLine="0"/>
              <w:jc w:val="center"/>
            </w:pPr>
            <w:r>
              <w:t xml:space="preserve">Composite scores</w:t>
            </w:r>
          </w:p>
        </w:tc>
        <w:tc>
          <w:tcPr>
            <w:tcW w:w="5200" w:type="dxa"/>
            <w:vAlign w:val="center"/>
          </w:tcPr>
          <w:p w14:paraId="7FFD488C" w14:textId="7FFD50C6">
            <w:pPr>
              <w:spacing w:before="0" w:after="0" w:line="240" w:lineRule="auto"/>
              <w:ind w:firstLine="0"/>
              <w:jc w:val="left"/>
            </w:pPr>
            <w:r>
              <w:t xml:space="preserve">Health behavior score=equally weighted mean of diet, physical activity, nicotine exposure, and sleep; health factor score=equally weighted mean of BMI, non-HDL cholesterol, blood glucose, and blood pressure; total LE8=equally weighted mean of all eight components</w:t>
            </w:r>
          </w:p>
        </w:tc>
        <w:tc>
          <w:tcPr>
            <w:tcW w:w="5200" w:type="dxa"/>
            <w:vAlign w:val="center"/>
          </w:tcPr>
          <w:p w14:paraId="7FFD488E" w14:textId="7FFD50C7">
            <w:pPr>
              <w:spacing w:before="0" w:after="0" w:line="240" w:lineRule="auto"/>
              <w:ind w:firstLine="0"/>
              <w:jc w:val="left"/>
            </w:pPr>
            <w:r>
              <w:t xml:space="preserve">All component and composite scores were restricted to 0–100</w:t>
            </w:r>
          </w:p>
        </w:tc>
        <w:tc>
          <w:tcPr>
            <w:tcW w:w="2400" w:type="dxa"/>
            <w:vAlign w:val="center"/>
          </w:tcPr>
          <w:p w14:paraId="7FFD4890" w14:textId="7FFD501A">
            <w:pPr>
              <w:spacing w:before="0" w:after="0" w:line="240" w:lineRule="auto"/>
              <w:ind w:firstLine="0"/>
              <w:jc w:val="left"/>
            </w:pPr>
            <w:r>
              <w:t xml:space="preserve">The primary behavior score required all four components; the common sample for comparison with total LE8 required all eight components and the primary adjustment set to be complete</w:t>
            </w:r>
          </w:p>
        </w:tc>
      </w:tr>
    </w:tbl>
    <w:p w14:paraId="7FFD4892" w14:textId="7FFD4EDD">
      <w:pPr>
        <w:pStyle w:val="15"/>
        <w:spacing w:after="120" w:line="240" w:lineRule="auto"/>
        <w:ind w:firstLine="0"/>
        <w:jc w:val="left"/>
      </w:pPr>
      <w:r>
        <w:rPr>
          <w:rFonts w:ascii="Times New Roman" w:hAnsi="Times New Roman" w:eastAsia="Times New Roman"/>
          <w:sz w:val="18"/>
        </w:rPr>
        <w:t xml:space="preserve">Note: When all four behavior components were complete, their equally weighted mean yielded the health behavior score on a 0–100 scale. The score excluding nicotine was the mean of diet, physical activity, and sleep; each leave-one-component-out score was the mean of the remaining three behavior components.</w:t>
      </w:r>
    </w:p>
    <w:p w14:paraId="7FFD4894" w14:textId="7FFD50B4">
      <w:pPr>
        <w:pStyle w:val="15"/>
        <w:keepNext/>
        <w:pageBreakBefore/>
        <w:spacing w:before="160" w:after="80" w:line="240" w:lineRule="auto"/>
        <w:ind w:firstLine="0"/>
        <w:jc w:val="left"/>
      </w:pPr>
      <w:r>
        <w:rPr>
          <w:rFonts w:ascii="Times New Roman" w:hAnsi="Times New Roman" w:eastAsia="Times New Roman"/>
          <w:b/>
          <w:sz w:val="20"/>
        </w:rPr>
        <w:t xml:space="preserve">Supplementary Table S9. Schoenfeld residual proportional hazards diagnostics for the primary Cox model</w:t>
      </w:r>
    </w:p>
    <w:tbl>
      <w:tblPr>
        <w:tblStyle w:val="5"/>
        <w:tblW w:w="5000" w:type="pct"/>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60" w:type="dxa"/>
          <w:left w:w="60" w:type="dxa"/>
          <w:bottom w:w="60" w:type="dxa"/>
          <w:right w:w="60" w:type="dxa"/>
        </w:tblCellMar>
        <w:tblCaption w:val="Supplementary Table S9. Schoenfeld residual proportional hazards diagnostics for the primary Cox model"/>
      </w:tblPr>
      <w:tblGrid>
        <w:gridCol w:w="7674"/>
        <w:gridCol w:w="2521"/>
        <w:gridCol w:w="2083"/>
        <w:gridCol w:w="2412"/>
      </w:tblGrid>
      <w:tr w14:paraId="53C613A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blHeader/>
        </w:trPr>
        <w:tc>
          <w:tcPr>
            <w:tcW w:w="7000" w:type="dxa"/>
            <w:shd w:val="clear" w:color="auto" w:fill="D9E2F3"/>
            <w:vAlign w:val="center"/>
          </w:tcPr>
          <w:p w14:paraId="7FFD4896" w14:textId="7FFD501B">
            <w:pPr>
              <w:spacing w:before="0" w:after="0" w:line="240" w:lineRule="auto"/>
              <w:ind w:firstLine="0"/>
              <w:jc w:val="center"/>
            </w:pPr>
            <w:r>
              <w:t xml:space="preserve">Model term</w:t>
            </w:r>
          </w:p>
        </w:tc>
        <w:tc>
          <w:tcPr>
            <w:tcW w:w="2300" w:type="dxa"/>
            <w:shd w:val="clear" w:color="auto" w:fill="D9E2F3"/>
            <w:vAlign w:val="center"/>
          </w:tcPr>
          <w:p w14:paraId="7FFD4898" w14:textId="7FFD4E88">
            <w:pPr>
              <w:spacing w:before="0" w:after="0" w:line="240" w:lineRule="auto"/>
              <w:ind w:firstLine="0"/>
              <w:jc w:val="center"/>
            </w:pPr>
            <w:r>
              <w:t>χ²</w:t>
            </w:r>
          </w:p>
        </w:tc>
        <w:tc>
          <w:tcPr>
            <w:tcW w:w="1900" w:type="dxa"/>
            <w:shd w:val="clear" w:color="auto" w:fill="D9E2F3"/>
            <w:vAlign w:val="center"/>
          </w:tcPr>
          <w:p w14:paraId="7FFD489A" w14:textId="7FFD501D">
            <w:pPr>
              <w:spacing w:before="0" w:after="0" w:line="240" w:lineRule="auto"/>
              <w:ind w:firstLine="0"/>
              <w:jc w:val="center"/>
            </w:pPr>
            <w:r>
              <w:t xml:space="preserve">Degrees of freedom</w:t>
            </w:r>
          </w:p>
        </w:tc>
        <w:tc>
          <w:tcPr>
            <w:tcW w:w="2200" w:type="dxa"/>
            <w:shd w:val="clear" w:color="auto" w:fill="D9E2F3"/>
            <w:vAlign w:val="center"/>
          </w:tcPr>
          <w:p w14:paraId="7FFD489C" w14:textId="7FFD4EFC">
            <w:pPr>
              <w:spacing w:before="0" w:after="0" w:line="240" w:lineRule="auto"/>
              <w:ind w:firstLine="0"/>
              <w:jc w:val="center"/>
            </w:pPr>
            <w:r>
              <w:t xml:space="preserve">P value</w:t>
            </w:r>
          </w:p>
        </w:tc>
      </w:tr>
      <w:tr w14:paraId="4FF085E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7000" w:type="dxa"/>
            <w:vAlign w:val="center"/>
          </w:tcPr>
          <w:p w14:paraId="7FFD489E" w14:textId="7FFD5023">
            <w:pPr>
              <w:spacing w:before="0" w:after="0" w:line="240" w:lineRule="auto"/>
              <w:ind w:firstLine="0"/>
              <w:jc w:val="center"/>
            </w:pPr>
            <w:r>
              <w:t xml:space="preserve">Health behavior score</w:t>
            </w:r>
          </w:p>
        </w:tc>
        <w:tc>
          <w:tcPr>
            <w:tcW w:w="2300" w:type="dxa"/>
            <w:vAlign w:val="center"/>
          </w:tcPr>
          <w:p w14:paraId="7FFD48A0" w14:textId="7FFD4E8C">
            <w:pPr>
              <w:spacing w:before="0" w:after="0" w:line="240" w:lineRule="auto"/>
              <w:ind w:firstLine="0"/>
              <w:jc w:val="center"/>
            </w:pPr>
            <w:r>
              <w:t>10.8703</w:t>
            </w:r>
          </w:p>
        </w:tc>
        <w:tc>
          <w:tcPr>
            <w:tcW w:w="1900" w:type="dxa"/>
            <w:vAlign w:val="center"/>
          </w:tcPr>
          <w:p w14:paraId="7FFD48A2" w14:textId="7FFD4E8D">
            <w:pPr>
              <w:spacing w:before="0" w:after="0" w:line="240" w:lineRule="auto"/>
              <w:ind w:firstLine="0"/>
              <w:jc w:val="center"/>
            </w:pPr>
            <w:r>
              <w:t>1</w:t>
            </w:r>
          </w:p>
        </w:tc>
        <w:tc>
          <w:tcPr>
            <w:tcW w:w="2200" w:type="dxa"/>
            <w:vAlign w:val="center"/>
          </w:tcPr>
          <w:p w14:paraId="7FFD48A4" w14:textId="7FFD4E8E">
            <w:pPr>
              <w:spacing w:before="0" w:after="0" w:line="240" w:lineRule="auto"/>
              <w:ind w:firstLine="0"/>
              <w:jc w:val="center"/>
            </w:pPr>
            <w:r>
              <w:t>0.000977</w:t>
            </w:r>
          </w:p>
        </w:tc>
      </w:tr>
      <w:tr w14:paraId="0CD8308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7000" w:type="dxa"/>
            <w:vAlign w:val="center"/>
          </w:tcPr>
          <w:p w14:paraId="7FFD48A6" w14:textId="7FFD4F1D">
            <w:pPr>
              <w:spacing w:before="0" w:after="0" w:line="240" w:lineRule="auto"/>
              <w:ind w:firstLine="0"/>
              <w:jc w:val="center"/>
            </w:pPr>
            <w:r>
              <w:t xml:space="preserve">CKM stage group</w:t>
            </w:r>
          </w:p>
        </w:tc>
        <w:tc>
          <w:tcPr>
            <w:tcW w:w="2300" w:type="dxa"/>
            <w:vAlign w:val="center"/>
          </w:tcPr>
          <w:p w14:paraId="7FFD48A8" w14:textId="7FFD4E90">
            <w:pPr>
              <w:spacing w:before="0" w:after="0" w:line="240" w:lineRule="auto"/>
              <w:ind w:firstLine="0"/>
              <w:jc w:val="center"/>
            </w:pPr>
            <w:r>
              <w:t>2.3434</w:t>
            </w:r>
          </w:p>
        </w:tc>
        <w:tc>
          <w:tcPr>
            <w:tcW w:w="1900" w:type="dxa"/>
            <w:vAlign w:val="center"/>
          </w:tcPr>
          <w:p w14:paraId="7FFD48AA" w14:textId="7FFD4E91">
            <w:pPr>
              <w:spacing w:before="0" w:after="0" w:line="240" w:lineRule="auto"/>
              <w:ind w:firstLine="0"/>
              <w:jc w:val="center"/>
            </w:pPr>
            <w:r>
              <w:t>2</w:t>
            </w:r>
          </w:p>
        </w:tc>
        <w:tc>
          <w:tcPr>
            <w:tcW w:w="2200" w:type="dxa"/>
            <w:vAlign w:val="center"/>
          </w:tcPr>
          <w:p w14:paraId="7FFD48AC" w14:textId="7FFD4E92">
            <w:pPr>
              <w:spacing w:before="0" w:after="0" w:line="240" w:lineRule="auto"/>
              <w:ind w:firstLine="0"/>
              <w:jc w:val="center"/>
            </w:pPr>
            <w:r>
              <w:t>0.3098</w:t>
            </w:r>
          </w:p>
        </w:tc>
      </w:tr>
      <w:tr w14:paraId="73CD3E6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7000" w:type="dxa"/>
            <w:vAlign w:val="center"/>
          </w:tcPr>
          <w:p w14:paraId="7FFD48AE" w14:textId="7FFD5025">
            <w:pPr>
              <w:spacing w:before="0" w:after="0" w:line="240" w:lineRule="auto"/>
              <w:ind w:firstLine="0"/>
              <w:jc w:val="center"/>
            </w:pPr>
            <w:r>
              <w:t xml:space="preserve">Age spline term 1</w:t>
            </w:r>
          </w:p>
        </w:tc>
        <w:tc>
          <w:tcPr>
            <w:tcW w:w="2300" w:type="dxa"/>
            <w:vAlign w:val="center"/>
          </w:tcPr>
          <w:p w14:paraId="7FFD48B0" w14:textId="7FFD4E94">
            <w:pPr>
              <w:spacing w:before="0" w:after="0" w:line="240" w:lineRule="auto"/>
              <w:ind w:firstLine="0"/>
              <w:jc w:val="center"/>
            </w:pPr>
            <w:r>
              <w:t>6.1710</w:t>
            </w:r>
          </w:p>
        </w:tc>
        <w:tc>
          <w:tcPr>
            <w:tcW w:w="1900" w:type="dxa"/>
            <w:vAlign w:val="center"/>
          </w:tcPr>
          <w:p w14:paraId="7FFD48B2" w14:textId="7FFD4E95">
            <w:pPr>
              <w:spacing w:before="0" w:after="0" w:line="240" w:lineRule="auto"/>
              <w:ind w:firstLine="0"/>
              <w:jc w:val="center"/>
            </w:pPr>
            <w:r>
              <w:t>1</w:t>
            </w:r>
          </w:p>
        </w:tc>
        <w:tc>
          <w:tcPr>
            <w:tcW w:w="2200" w:type="dxa"/>
            <w:vAlign w:val="center"/>
          </w:tcPr>
          <w:p w14:paraId="7FFD48B4" w14:textId="7FFD4E96">
            <w:pPr>
              <w:spacing w:before="0" w:after="0" w:line="240" w:lineRule="auto"/>
              <w:ind w:firstLine="0"/>
              <w:jc w:val="center"/>
            </w:pPr>
            <w:r>
              <w:t>0.0130</w:t>
            </w:r>
          </w:p>
        </w:tc>
      </w:tr>
      <w:tr w14:paraId="4A3351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7000" w:type="dxa"/>
            <w:vAlign w:val="center"/>
          </w:tcPr>
          <w:p w14:paraId="7FFD48B6" w14:textId="7FFD5026">
            <w:pPr>
              <w:spacing w:before="0" w:after="0" w:line="240" w:lineRule="auto"/>
              <w:ind w:firstLine="0"/>
              <w:jc w:val="center"/>
            </w:pPr>
            <w:r>
              <w:t xml:space="preserve">Age spline term 2</w:t>
            </w:r>
          </w:p>
        </w:tc>
        <w:tc>
          <w:tcPr>
            <w:tcW w:w="2300" w:type="dxa"/>
            <w:vAlign w:val="center"/>
          </w:tcPr>
          <w:p w14:paraId="7FFD48B8" w14:textId="7FFD4E98">
            <w:pPr>
              <w:spacing w:before="0" w:after="0" w:line="240" w:lineRule="auto"/>
              <w:ind w:firstLine="0"/>
              <w:jc w:val="center"/>
            </w:pPr>
            <w:r>
              <w:t>1.1625</w:t>
            </w:r>
          </w:p>
        </w:tc>
        <w:tc>
          <w:tcPr>
            <w:tcW w:w="1900" w:type="dxa"/>
            <w:vAlign w:val="center"/>
          </w:tcPr>
          <w:p w14:paraId="7FFD48BA" w14:textId="7FFD4E99">
            <w:pPr>
              <w:spacing w:before="0" w:after="0" w:line="240" w:lineRule="auto"/>
              <w:ind w:firstLine="0"/>
              <w:jc w:val="center"/>
            </w:pPr>
            <w:r>
              <w:t>1</w:t>
            </w:r>
          </w:p>
        </w:tc>
        <w:tc>
          <w:tcPr>
            <w:tcW w:w="2200" w:type="dxa"/>
            <w:vAlign w:val="center"/>
          </w:tcPr>
          <w:p w14:paraId="7FFD48BC" w14:textId="7FFD4E9A">
            <w:pPr>
              <w:spacing w:before="0" w:after="0" w:line="240" w:lineRule="auto"/>
              <w:ind w:firstLine="0"/>
              <w:jc w:val="center"/>
            </w:pPr>
            <w:r>
              <w:t>0.2809</w:t>
            </w:r>
          </w:p>
        </w:tc>
      </w:tr>
      <w:tr w14:paraId="02D99F5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7000" w:type="dxa"/>
            <w:vAlign w:val="center"/>
          </w:tcPr>
          <w:p w14:paraId="7FFD48BE" w14:textId="7FFD5027">
            <w:pPr>
              <w:spacing w:before="0" w:after="0" w:line="240" w:lineRule="auto"/>
              <w:ind w:firstLine="0"/>
              <w:jc w:val="center"/>
            </w:pPr>
            <w:r>
              <w:t xml:space="preserve">Age spline term 3</w:t>
            </w:r>
          </w:p>
        </w:tc>
        <w:tc>
          <w:tcPr>
            <w:tcW w:w="2300" w:type="dxa"/>
            <w:vAlign w:val="center"/>
          </w:tcPr>
          <w:p w14:paraId="7FFD48C0" w14:textId="7FFD4E9C">
            <w:pPr>
              <w:spacing w:before="0" w:after="0" w:line="240" w:lineRule="auto"/>
              <w:ind w:firstLine="0"/>
              <w:jc w:val="center"/>
            </w:pPr>
            <w:r>
              <w:t>15.4896</w:t>
            </w:r>
          </w:p>
        </w:tc>
        <w:tc>
          <w:tcPr>
            <w:tcW w:w="1900" w:type="dxa"/>
            <w:vAlign w:val="center"/>
          </w:tcPr>
          <w:p w14:paraId="7FFD48C2" w14:textId="7FFD4E9D">
            <w:pPr>
              <w:spacing w:before="0" w:after="0" w:line="240" w:lineRule="auto"/>
              <w:ind w:firstLine="0"/>
              <w:jc w:val="center"/>
            </w:pPr>
            <w:r>
              <w:t>1</w:t>
            </w:r>
          </w:p>
        </w:tc>
        <w:tc>
          <w:tcPr>
            <w:tcW w:w="2200" w:type="dxa"/>
            <w:vAlign w:val="center"/>
          </w:tcPr>
          <w:p w14:paraId="7FFD48C4" w14:textId="7FFD4E9E">
            <w:pPr>
              <w:spacing w:before="0" w:after="0" w:line="240" w:lineRule="auto"/>
              <w:ind w:firstLine="0"/>
              <w:jc w:val="center"/>
            </w:pPr>
            <w:r>
              <w:t>8.30×10⁻⁵</w:t>
            </w:r>
          </w:p>
        </w:tc>
      </w:tr>
      <w:tr w14:paraId="3E04806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7000" w:type="dxa"/>
            <w:vAlign w:val="center"/>
          </w:tcPr>
          <w:p w14:paraId="7FFD48C6" w14:textId="7FFD5029">
            <w:pPr>
              <w:spacing w:before="0" w:after="0" w:line="240" w:lineRule="auto"/>
              <w:ind w:firstLine="0"/>
              <w:jc w:val="center"/>
            </w:pPr>
            <w:r>
              <w:t xml:space="preserve">Sex</w:t>
            </w:r>
          </w:p>
        </w:tc>
        <w:tc>
          <w:tcPr>
            <w:tcW w:w="2300" w:type="dxa"/>
            <w:vAlign w:val="center"/>
          </w:tcPr>
          <w:p w14:paraId="7FFD48C8" w14:textId="7FFD4EA0">
            <w:pPr>
              <w:spacing w:before="0" w:after="0" w:line="240" w:lineRule="auto"/>
              <w:ind w:firstLine="0"/>
              <w:jc w:val="center"/>
            </w:pPr>
            <w:r>
              <w:t>0.0048</w:t>
            </w:r>
          </w:p>
        </w:tc>
        <w:tc>
          <w:tcPr>
            <w:tcW w:w="1900" w:type="dxa"/>
            <w:vAlign w:val="center"/>
          </w:tcPr>
          <w:p w14:paraId="7FFD48CA" w14:textId="7FFD4EA1">
            <w:pPr>
              <w:spacing w:before="0" w:after="0" w:line="240" w:lineRule="auto"/>
              <w:ind w:firstLine="0"/>
              <w:jc w:val="center"/>
            </w:pPr>
            <w:r>
              <w:t>1</w:t>
            </w:r>
          </w:p>
        </w:tc>
        <w:tc>
          <w:tcPr>
            <w:tcW w:w="2200" w:type="dxa"/>
            <w:vAlign w:val="center"/>
          </w:tcPr>
          <w:p w14:paraId="7FFD48CC" w14:textId="7FFD4EA2">
            <w:pPr>
              <w:spacing w:before="0" w:after="0" w:line="240" w:lineRule="auto"/>
              <w:ind w:firstLine="0"/>
              <w:jc w:val="center"/>
            </w:pPr>
            <w:r>
              <w:t>0.9445</w:t>
            </w:r>
          </w:p>
        </w:tc>
      </w:tr>
      <w:tr w14:paraId="263D38A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7000" w:type="dxa"/>
            <w:vAlign w:val="center"/>
          </w:tcPr>
          <w:p w14:paraId="7FFD48CE" w14:textId="7FFD502A">
            <w:pPr>
              <w:spacing w:before="0" w:after="0" w:line="240" w:lineRule="auto"/>
              <w:ind w:firstLine="0"/>
              <w:jc w:val="center"/>
            </w:pPr>
            <w:r>
              <w:t xml:space="preserve">Race and ethnicity</w:t>
            </w:r>
          </w:p>
        </w:tc>
        <w:tc>
          <w:tcPr>
            <w:tcW w:w="2300" w:type="dxa"/>
            <w:vAlign w:val="center"/>
          </w:tcPr>
          <w:p w14:paraId="7FFD48D0" w14:textId="7FFD4EA4">
            <w:pPr>
              <w:spacing w:before="0" w:after="0" w:line="240" w:lineRule="auto"/>
              <w:ind w:firstLine="0"/>
              <w:jc w:val="center"/>
            </w:pPr>
            <w:r>
              <w:t>9.0455</w:t>
            </w:r>
          </w:p>
        </w:tc>
        <w:tc>
          <w:tcPr>
            <w:tcW w:w="1900" w:type="dxa"/>
            <w:vAlign w:val="center"/>
          </w:tcPr>
          <w:p w14:paraId="7FFD48D2" w14:textId="7FFD4EA5">
            <w:pPr>
              <w:spacing w:before="0" w:after="0" w:line="240" w:lineRule="auto"/>
              <w:ind w:firstLine="0"/>
              <w:jc w:val="center"/>
            </w:pPr>
            <w:r>
              <w:t>4</w:t>
            </w:r>
          </w:p>
        </w:tc>
        <w:tc>
          <w:tcPr>
            <w:tcW w:w="2200" w:type="dxa"/>
            <w:vAlign w:val="center"/>
          </w:tcPr>
          <w:p w14:paraId="7FFD48D4" w14:textId="7FFD4EA6">
            <w:pPr>
              <w:spacing w:before="0" w:after="0" w:line="240" w:lineRule="auto"/>
              <w:ind w:firstLine="0"/>
              <w:jc w:val="center"/>
            </w:pPr>
            <w:r>
              <w:t>0.0600</w:t>
            </w:r>
          </w:p>
        </w:tc>
      </w:tr>
      <w:tr w14:paraId="29FD2CC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7000" w:type="dxa"/>
            <w:vAlign w:val="center"/>
          </w:tcPr>
          <w:p w14:paraId="7FFD48D6" w14:textId="7FFD502B">
            <w:pPr>
              <w:spacing w:before="0" w:after="0" w:line="240" w:lineRule="auto"/>
              <w:ind w:firstLine="0"/>
              <w:jc w:val="center"/>
            </w:pPr>
            <w:r>
              <w:t xml:space="preserve">Educational attainment</w:t>
            </w:r>
          </w:p>
        </w:tc>
        <w:tc>
          <w:tcPr>
            <w:tcW w:w="2300" w:type="dxa"/>
            <w:vAlign w:val="center"/>
          </w:tcPr>
          <w:p w14:paraId="7FFD48D8" w14:textId="7FFD4EA8">
            <w:pPr>
              <w:spacing w:before="0" w:after="0" w:line="240" w:lineRule="auto"/>
              <w:ind w:firstLine="0"/>
              <w:jc w:val="center"/>
            </w:pPr>
            <w:r>
              <w:t>4.3856</w:t>
            </w:r>
          </w:p>
        </w:tc>
        <w:tc>
          <w:tcPr>
            <w:tcW w:w="1900" w:type="dxa"/>
            <w:vAlign w:val="center"/>
          </w:tcPr>
          <w:p w14:paraId="7FFD48DA" w14:textId="7FFD4EA9">
            <w:pPr>
              <w:spacing w:before="0" w:after="0" w:line="240" w:lineRule="auto"/>
              <w:ind w:firstLine="0"/>
              <w:jc w:val="center"/>
            </w:pPr>
            <w:r>
              <w:t>4</w:t>
            </w:r>
          </w:p>
        </w:tc>
        <w:tc>
          <w:tcPr>
            <w:tcW w:w="2200" w:type="dxa"/>
            <w:vAlign w:val="center"/>
          </w:tcPr>
          <w:p w14:paraId="7FFD48DC" w14:textId="7FFD4EAA">
            <w:pPr>
              <w:spacing w:before="0" w:after="0" w:line="240" w:lineRule="auto"/>
              <w:ind w:firstLine="0"/>
              <w:jc w:val="center"/>
            </w:pPr>
            <w:r>
              <w:t>0.3563</w:t>
            </w:r>
          </w:p>
        </w:tc>
      </w:tr>
      <w:tr w14:paraId="5AAA1FB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7000" w:type="dxa"/>
            <w:vAlign w:val="center"/>
          </w:tcPr>
          <w:p w14:paraId="7FFD48DE" w14:textId="7FFD502C">
            <w:pPr>
              <w:spacing w:before="0" w:after="0" w:line="240" w:lineRule="auto"/>
              <w:ind w:firstLine="0"/>
              <w:jc w:val="center"/>
            </w:pPr>
            <w:r>
              <w:t xml:space="preserve">Family income-to-poverty ratio</w:t>
            </w:r>
          </w:p>
        </w:tc>
        <w:tc>
          <w:tcPr>
            <w:tcW w:w="2300" w:type="dxa"/>
            <w:vAlign w:val="center"/>
          </w:tcPr>
          <w:p w14:paraId="7FFD48E0" w14:textId="7FFD4EAC">
            <w:pPr>
              <w:spacing w:before="0" w:after="0" w:line="240" w:lineRule="auto"/>
              <w:ind w:firstLine="0"/>
              <w:jc w:val="center"/>
            </w:pPr>
            <w:r>
              <w:t>0.4432</w:t>
            </w:r>
          </w:p>
        </w:tc>
        <w:tc>
          <w:tcPr>
            <w:tcW w:w="1900" w:type="dxa"/>
            <w:vAlign w:val="center"/>
          </w:tcPr>
          <w:p w14:paraId="7FFD48E2" w14:textId="7FFD4EAD">
            <w:pPr>
              <w:spacing w:before="0" w:after="0" w:line="240" w:lineRule="auto"/>
              <w:ind w:firstLine="0"/>
              <w:jc w:val="center"/>
            </w:pPr>
            <w:r>
              <w:t>1</w:t>
            </w:r>
          </w:p>
        </w:tc>
        <w:tc>
          <w:tcPr>
            <w:tcW w:w="2200" w:type="dxa"/>
            <w:vAlign w:val="center"/>
          </w:tcPr>
          <w:p w14:paraId="7FFD48E4" w14:textId="7FFD4EAE">
            <w:pPr>
              <w:spacing w:before="0" w:after="0" w:line="240" w:lineRule="auto"/>
              <w:ind w:firstLine="0"/>
              <w:jc w:val="center"/>
            </w:pPr>
            <w:r>
              <w:t>0.5056</w:t>
            </w:r>
          </w:p>
        </w:tc>
      </w:tr>
      <w:tr w14:paraId="4F3CFBA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7000" w:type="dxa"/>
            <w:vAlign w:val="center"/>
          </w:tcPr>
          <w:p w14:paraId="7FFD48E6" w14:textId="7FFD502E">
            <w:pPr>
              <w:spacing w:before="0" w:after="0" w:line="240" w:lineRule="auto"/>
              <w:ind w:firstLine="0"/>
              <w:jc w:val="center"/>
            </w:pPr>
            <w:r>
              <w:t xml:space="preserve">NHANES survey cycle</w:t>
            </w:r>
          </w:p>
        </w:tc>
        <w:tc>
          <w:tcPr>
            <w:tcW w:w="2300" w:type="dxa"/>
            <w:vAlign w:val="center"/>
          </w:tcPr>
          <w:p w14:paraId="7FFD48E8" w14:textId="7FFD4EB0">
            <w:pPr>
              <w:spacing w:before="0" w:after="0" w:line="240" w:lineRule="auto"/>
              <w:ind w:firstLine="0"/>
              <w:jc w:val="center"/>
            </w:pPr>
            <w:r>
              <w:t>5.6756</w:t>
            </w:r>
          </w:p>
        </w:tc>
        <w:tc>
          <w:tcPr>
            <w:tcW w:w="1900" w:type="dxa"/>
            <w:vAlign w:val="center"/>
          </w:tcPr>
          <w:p w14:paraId="7FFD48EA" w14:textId="7FFD4EB1">
            <w:pPr>
              <w:spacing w:before="0" w:after="0" w:line="240" w:lineRule="auto"/>
              <w:ind w:firstLine="0"/>
              <w:jc w:val="center"/>
            </w:pPr>
            <w:r>
              <w:t>4</w:t>
            </w:r>
          </w:p>
        </w:tc>
        <w:tc>
          <w:tcPr>
            <w:tcW w:w="2200" w:type="dxa"/>
            <w:vAlign w:val="center"/>
          </w:tcPr>
          <w:p w14:paraId="7FFD48EC" w14:textId="7FFD4EB2">
            <w:pPr>
              <w:spacing w:before="0" w:after="0" w:line="240" w:lineRule="auto"/>
              <w:ind w:firstLine="0"/>
              <w:jc w:val="center"/>
            </w:pPr>
            <w:r>
              <w:t>0.2247</w:t>
            </w:r>
          </w:p>
        </w:tc>
      </w:tr>
      <w:tr w14:paraId="344AA39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7000" w:type="dxa"/>
            <w:vAlign w:val="center"/>
          </w:tcPr>
          <w:p w14:paraId="7FFD48EE" w14:textId="7FFD5024">
            <w:pPr>
              <w:spacing w:before="0" w:after="0" w:line="240" w:lineRule="auto"/>
              <w:ind w:firstLine="0"/>
              <w:jc w:val="center"/>
            </w:pPr>
            <w:r>
              <w:t xml:space="preserve">Health behavior score×CKM stage group</w:t>
            </w:r>
          </w:p>
        </w:tc>
        <w:tc>
          <w:tcPr>
            <w:tcW w:w="2300" w:type="dxa"/>
            <w:vAlign w:val="center"/>
          </w:tcPr>
          <w:p w14:paraId="7FFD48F0" w14:textId="7FFD4EB4">
            <w:pPr>
              <w:spacing w:before="0" w:after="0" w:line="240" w:lineRule="auto"/>
              <w:ind w:firstLine="0"/>
              <w:jc w:val="center"/>
            </w:pPr>
            <w:r>
              <w:t>5.9273</w:t>
            </w:r>
          </w:p>
        </w:tc>
        <w:tc>
          <w:tcPr>
            <w:tcW w:w="1900" w:type="dxa"/>
            <w:vAlign w:val="center"/>
          </w:tcPr>
          <w:p w14:paraId="7FFD48F2" w14:textId="7FFD4EB5">
            <w:pPr>
              <w:spacing w:before="0" w:after="0" w:line="240" w:lineRule="auto"/>
              <w:ind w:firstLine="0"/>
              <w:jc w:val="center"/>
            </w:pPr>
            <w:r>
              <w:t>2</w:t>
            </w:r>
          </w:p>
        </w:tc>
        <w:tc>
          <w:tcPr>
            <w:tcW w:w="2200" w:type="dxa"/>
            <w:vAlign w:val="center"/>
          </w:tcPr>
          <w:p w14:paraId="7FFD48F4" w14:textId="7FFD4EB6">
            <w:pPr>
              <w:spacing w:before="0" w:after="0" w:line="240" w:lineRule="auto"/>
              <w:ind w:firstLine="0"/>
              <w:jc w:val="center"/>
            </w:pPr>
            <w:r>
              <w:t>0.0516</w:t>
            </w:r>
          </w:p>
        </w:tc>
      </w:tr>
      <w:tr w14:paraId="6C94A0F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60" w:type="dxa"/>
            <w:left w:w="60" w:type="dxa"/>
            <w:bottom w:w="60" w:type="dxa"/>
            <w:right w:w="60" w:type="dxa"/>
          </w:tblCellMar>
        </w:tblPrEx>
        <w:trPr>
          <w:cantSplit/>
        </w:trPr>
        <w:tc>
          <w:tcPr>
            <w:tcW w:w="7000" w:type="dxa"/>
            <w:vAlign w:val="center"/>
          </w:tcPr>
          <w:p w14:paraId="7FFD48F6" w14:textId="7FFD5030">
            <w:pPr>
              <w:spacing w:before="0" w:after="0" w:line="240" w:lineRule="auto"/>
              <w:ind w:firstLine="0"/>
              <w:jc w:val="center"/>
            </w:pPr>
            <w:r>
              <w:t xml:space="preserve">Global test</w:t>
            </w:r>
          </w:p>
        </w:tc>
        <w:tc>
          <w:tcPr>
            <w:tcW w:w="2300" w:type="dxa"/>
            <w:vAlign w:val="center"/>
          </w:tcPr>
          <w:p w14:paraId="7FFD48F8" w14:textId="7FFD4EB8">
            <w:pPr>
              <w:spacing w:before="0" w:after="0" w:line="240" w:lineRule="auto"/>
              <w:ind w:firstLine="0"/>
              <w:jc w:val="center"/>
            </w:pPr>
            <w:r>
              <w:t>46.6907</w:t>
            </w:r>
          </w:p>
        </w:tc>
        <w:tc>
          <w:tcPr>
            <w:tcW w:w="1900" w:type="dxa"/>
            <w:vAlign w:val="center"/>
          </w:tcPr>
          <w:p w14:paraId="7FFD48FA" w14:textId="7FFD4EB9">
            <w:pPr>
              <w:spacing w:before="0" w:after="0" w:line="240" w:lineRule="auto"/>
              <w:ind w:firstLine="0"/>
              <w:jc w:val="center"/>
            </w:pPr>
            <w:r>
              <w:t>22</w:t>
            </w:r>
          </w:p>
        </w:tc>
        <w:tc>
          <w:tcPr>
            <w:tcW w:w="2200" w:type="dxa"/>
            <w:vAlign w:val="center"/>
          </w:tcPr>
          <w:p w14:paraId="7FFD48FC" w14:textId="7FFD4EBA">
            <w:pPr>
              <w:spacing w:before="0" w:after="0" w:line="240" w:lineRule="auto"/>
              <w:ind w:firstLine="0"/>
              <w:jc w:val="center"/>
            </w:pPr>
            <w:r>
              <w:t>0.00161</w:t>
            </w:r>
          </w:p>
        </w:tc>
      </w:tr>
    </w:tbl>
    <w:p w14:paraId="7FFD48FE" w14:textId="7FFD4EDE">
      <w:pPr>
        <w:pStyle w:val="15"/>
        <w:spacing w:after="120" w:line="240" w:lineRule="auto"/>
        <w:ind w:firstLine="0"/>
        <w:jc w:val="left"/>
      </w:pPr>
      <w:r>
        <w:rPr>
          <w:rFonts w:ascii="Times New Roman" w:hAnsi="Times New Roman" w:eastAsia="Times New Roman"/>
          <w:sz w:val="18"/>
        </w:rPr>
        <w:t xml:space="preserve">Note: Statistics were obtained from survival::cox.zph(primary_model$fit). The global P value of 0.00161 was below the prespecified trigger threshold of 0.01; therefore, the exploratory 5-year restricted mean survival time analysis was initiated. This analysis does not replace the primary complex survey-weighted Cox analysis.</w:t>
      </w:r>
    </w:p>
    <w:sectPr>
      <w:footerReference w:type="default" r:id="rId5"/>
      <w:pgSz w:w="16838" w:h="11906" w:orient="landscape"/>
      <w:pgMar w:top="1134" w:right="1134" w:bottom="1134" w:left="1134" w:header="850" w:footer="85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14:paraId="7FFD4EC1" w14:textId="7FFD4EC2">
      <w:pPr>
        <w:spacing w:line="240" w:lineRule="auto"/>
      </w:pPr>
      <w:r>
        <w:separator/>
      </w:r>
    </w:p>
  </w:endnote>
  <w:endnote w:type="continuationSeparator" w:id="1">
    <w:p w14:paraId="7FFD4EC3" w14:textId="7FFD4E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w14:paraId="3A76A1A3" w14:textId="7FFD4EBC">
    <w:pPr>
      <w:spacing w:line="240" w:lineRule="auto"/>
      <w:jc w:val="center"/>
    </w:pPr>
    <w:r>
      <w:rPr>
        <w:rFonts w:ascii="Times New Roman" w:hAnsi="Times New Roman" w:eastAsia="Times New Roman"/>
        <w:sz w:val="20"/>
      </w:rPr>
      <w:fldChar w:fldCharType="begin"/>
    </w:r>
    <w:r>
      <w:rPr>
        <w:rFonts w:ascii="Times New Roman" w:hAnsi="Times New Roman" w:eastAsia="Times New Roman"/>
        <w:sz w:val="20"/>
      </w:rPr>
      <w:instrText xml:space="preserve"> PAGE </w:instrText>
    </w:r>
    <w:r>
      <w:rPr>
        <w:rFonts w:ascii="Times New Roman" w:hAnsi="Times New Roman" w:eastAsia="Times New Roman"/>
        <w:sz w:val="20"/>
      </w:rPr>
      <w:fldChar w:fldCharType="separate"/>
    </w:r>
    <w:r>
      <w:rPr>
        <w:rFonts w:ascii="Times New Roman" w:hAnsi="Times New Roman" w:eastAsia="Times New Roman"/>
        <w:sz w:val="20"/>
      </w:rPr>
      <w:t>1</w:t>
    </w:r>
    <w:r>
      <w:rPr>
        <w:rFonts w:ascii="Times New Roman" w:hAnsi="Times New Roman" w:eastAsia="Times New Roman"/>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14:paraId="7FFD4EBD" w14:textId="7FFD4EBE">
      <w:pPr>
        <w:spacing w:line="259" w:lineRule="auto"/>
      </w:pPr>
      <w:r>
        <w:separator/>
      </w:r>
    </w:p>
  </w:footnote>
  <w:footnote w:type="continuationSeparator" w:id="1">
    <w:p w14:paraId="7FFD4EBF" w14:textId="7FFD4EC0">
      <w:pPr>
        <w:spacing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percent="120"/>
  <w:doNotDisplayPageBoundarie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val="1"/>
  <w:bordersDoNotSurroundHeader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val="1"/>
  <w:bordersDoNotSurroundFooter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val="1"/>
  <w:hideSpellingError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hideGrammaticalError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documentProtectio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enforcement="0"/>
  <w:defaultTabStop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val="420"/>
  <w:characterSpacingControl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val="doNotCompress"/>
  <w:footnotePr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footnote w:id="0"/>
    <w:footnote w:id="1"/>
  </w:footnotePr>
  <w:endnotePr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endnote w:id="0"/>
    <w:endnote w:id="1"/>
  </w:endnotePr>
  <w:compat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rsidRoot w:val="002C30C3"/>
    <w:rsid w:val="000557C9"/>
    <w:rsid w:val="00115EA4"/>
    <w:rsid w:val="001162F2"/>
    <w:rsid w:val="001224B0"/>
    <w:rsid w:val="002635C9"/>
    <w:rsid w:val="002B665B"/>
    <w:rsid w:val="002C30C3"/>
    <w:rsid w:val="00315100"/>
    <w:rsid w:val="00324626"/>
    <w:rsid w:val="003F1C34"/>
    <w:rsid w:val="004B67E9"/>
    <w:rsid w:val="004F3AB9"/>
    <w:rsid w:val="005D736B"/>
    <w:rsid w:val="007D44BB"/>
    <w:rsid w:val="00851CDD"/>
    <w:rsid w:val="00862C2C"/>
    <w:rsid w:val="008A7C20"/>
    <w:rsid w:val="009D19A6"/>
    <w:rsid w:val="00B06713"/>
    <w:rsid w:val="00C04860"/>
    <w:rsid w:val="00C90EDE"/>
    <w:rsid w:val="00EE6D84"/>
    <w:rsid w:val="00F50F50"/>
    <w:rsid w:val="0F9569FF"/>
    <w:rsid w:val="10AB056D"/>
    <w:rsid w:val="18CB4112"/>
    <w:rsid w:val="22C8721D"/>
    <w:rsid w:val="24E50BB2"/>
    <w:rsid w:val="539163D5"/>
  </w:rsids>
  <m:mathPr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mathFont m:val="Cambria Math"/>
    <m:brkBin m:val="before"/>
    <m:brkBinSub m:val="--"/>
    <m:smallFrac m:val="0"/>
    <m:dispDef/>
    <m:lMargin m:val="0"/>
    <m:rMargin m:val="0"/>
    <m:defJc m:val="centerGroup"/>
    <m:wrapIndent m:val="1440"/>
    <m:intLim m:val="subSup"/>
    <m:naryLim m:val="undOvr"/>
  </m:mathPr>
  <w:themeFontLa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val="en-US" w:eastAsia="en-US"/>
  <w:clrSchemeMapp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bg1="light1" w:t1="dark1" w:bg2="light2" w:t2="dark2" w:accent1="accent1" w:accent2="accent2" w:accent3="accent3" w:accent4="accent4" w:accent5="accent5" w:accent6="accent6" w:hyperlink="hyperlink" w:followedHyperlink="followedHyperlink"/>
  <w:doNotIncludeSubdocsInStat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rPrDefault>
      <w:rPr>
        <w:rFonts w:ascii="Times New Roman" w:hAnsi="Times New Roman" w:cs="Times New Roman" w:eastAsiaTheme="minorEastAsia"/>
      </w:rPr>
    </w:rPrDefault>
    <w:pPrDefault/>
  </w:docDefaults>
  <w:latent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defLockedState="0" w:defUIPriority="99" w:defSemiHidden="1" w:defUnhideWhenUsed="1" w:defQFormat="0" w:count="260">
    <w:lsdException w:name="Normal" w:uiPriority="0" w:semiHidden="1" w:unhideWhenUsed="0" w:qFormat="0"/>
    <w:lsdException w:name="heading 1" w:uiPriority="0" w:semiHidden="1" w:unhideWhenUsed="0" w:qFormat="0"/>
    <w:lsdException w:name="heading 2" w:uiPriority="0" w:semiHidden="1" w:unhideWhenUsed="0" w:qFormat="0"/>
    <w:lsdException w:name="heading 3" w:uiPriority="0" w:semiHidden="1" w:unhideWhenUsed="0" w:qFormat="0"/>
    <w:lsdException w:name="heading 4" w:uiPriority="0" w:semiHidden="1" w:unhideWhenUsed="0" w:qFormat="0"/>
    <w:lsdException w:name="heading 5" w:uiPriority="0" w:semiHidden="1" w:unhideWhenUsed="0" w:qFormat="0"/>
    <w:lsdException w:name="heading 6" w:uiPriority="0" w:semiHidden="1" w:unhideWhenUsed="0" w:qFormat="0"/>
    <w:lsdException w:name="heading 7" w:uiPriority="0" w:semiHidden="1" w:unhideWhenUsed="0" w:qFormat="0"/>
    <w:lsdException w:name="heading 8" w:uiPriority="0" w:semiHidden="1" w:unhideWhenUsed="0" w:qFormat="0"/>
    <w:lsdException w:name="heading 9" w:uiPriority="0" w:semiHidden="1" w:unhideWhenUsed="0" w:qFormat="0"/>
    <w:lsdException w:name="index 1" w:uiPriority="0" w:semiHidden="1" w:unhideWhenUsed="0"/>
    <w:lsdException w:name="index 2" w:uiPriority="0" w:semiHidden="1" w:unhideWhenUsed="0"/>
    <w:lsdException w:name="index 3" w:uiPriority="0" w:semiHidden="1" w:unhideWhenUsed="0"/>
    <w:lsdException w:name="index 4" w:uiPriority="0" w:semiHidden="1" w:unhideWhenUsed="0"/>
    <w:lsdException w:name="index 5" w:uiPriority="0" w:semiHidden="1" w:unhideWhenUsed="0"/>
    <w:lsdException w:name="index 6" w:uiPriority="0" w:semiHidden="1" w:unhideWhenUsed="0"/>
    <w:lsdException w:name="index 7" w:uiPriority="0" w:semiHidden="1" w:unhideWhenUsed="0"/>
    <w:lsdException w:name="index 8" w:uiPriority="0" w:semiHidden="1" w:unhideWhenUsed="0"/>
    <w:lsdException w:name="index 9" w:uiPriority="0" w:semiHidden="1" w:unhideWhenUsed="0"/>
    <w:lsdException w:name="toc 1" w:uiPriority="0" w:semiHidden="1" w:unhideWhenUsed="0"/>
    <w:lsdException w:name="toc 2" w:uiPriority="0" w:semiHidden="1" w:unhideWhenUsed="0"/>
    <w:lsdException w:name="toc 3" w:uiPriority="0" w:semiHidden="1" w:unhideWhenUsed="0"/>
    <w:lsdException w:name="toc 4" w:uiPriority="0" w:semiHidden="1" w:unhideWhenUsed="0"/>
    <w:lsdException w:name="toc 5" w:uiPriority="0" w:semiHidden="1" w:unhideWhenUsed="0"/>
    <w:lsdException w:name="toc 6" w:uiPriority="0" w:semiHidden="1" w:unhideWhenUsed="0"/>
    <w:lsdException w:name="toc 7" w:uiPriority="0" w:semiHidden="1" w:unhideWhenUsed="0"/>
    <w:lsdException w:name="toc 8" w:uiPriority="0" w:semiHidden="1" w:unhideWhenUsed="0"/>
    <w:lsdException w:name="toc 9" w:uiPriority="0" w:semiHidden="1" w:unhideWhenUsed="0"/>
    <w:lsdException w:name="Normal Indent" w:uiPriority="0" w:semiHidden="1" w:unhideWhenUsed="0"/>
    <w:lsdException w:name="footnote text" w:uiPriority="0" w:semiHidden="1" w:unhideWhenUsed="0"/>
    <w:lsdException w:name="annotation text" w:uiPriority="0" w:semiHidden="1" w:unhideWhenUsed="0" w:qFormat="0"/>
    <w:lsdException w:name="header" w:uiPriority="0" w:semiHidden="1" w:unhideWhenUsed="0"/>
    <w:lsdException w:name="footer" w:uiPriority="0" w:semiHidden="1" w:unhideWhenUsed="0"/>
    <w:lsdException w:name="index heading" w:uiPriority="0" w:semiHidden="1" w:unhideWhenUsed="0"/>
    <w:lsdException w:name="caption" w:uiPriority="0" w:semiHidden="1" w:unhideWhenUsed="0" w:qFormat="0"/>
    <w:lsdException w:name="table of figures" w:uiPriority="0" w:semiHidden="1" w:unhideWhenUsed="0"/>
    <w:lsdException w:name="envelope address" w:uiPriority="0" w:semiHidden="1" w:unhideWhenUsed="0"/>
    <w:lsdException w:name="envelope return" w:uiPriority="0" w:semiHidden="1" w:unhideWhenUsed="0"/>
    <w:lsdException w:name="footnote reference" w:uiPriority="0" w:semiHidden="1" w:unhideWhenUsed="0"/>
    <w:lsdException w:name="annotation reference" w:uiPriority="0" w:semiHidden="1" w:unhideWhenUsed="0" w:qFormat="0"/>
    <w:lsdException w:name="line number" w:uiPriority="0" w:semiHidden="1" w:unhideWhenUsed="0"/>
    <w:lsdException w:name="page number" w:uiPriority="0" w:semiHidden="1" w:unhideWhenUsed="0"/>
    <w:lsdException w:name="endnote reference" w:uiPriority="0" w:semiHidden="1" w:unhideWhenUsed="0"/>
    <w:lsdException w:name="endnote text" w:uiPriority="0" w:semiHidden="1" w:unhideWhenUsed="0"/>
    <w:lsdException w:name="table of authorities" w:uiPriority="0" w:semiHidden="1" w:unhideWhenUsed="0"/>
    <w:lsdException w:name="macro" w:uiPriority="0" w:semiHidden="1" w:unhideWhenUsed="0"/>
    <w:lsdException w:name="toa heading" w:uiPriority="0" w:semiHidden="1" w:unhideWhenUsed="0"/>
    <w:lsdException w:name="List" w:uiPriority="0" w:semiHidden="1" w:unhideWhenUsed="0"/>
    <w:lsdException w:name="List Bullet" w:uiPriority="0" w:semiHidden="1" w:unhideWhenUsed="0"/>
    <w:lsdException w:name="List Number" w:uiPriority="0" w:semiHidden="1" w:unhideWhenUsed="0"/>
    <w:lsdException w:name="List 2" w:uiPriority="0" w:semiHidden="1" w:unhideWhenUsed="0"/>
    <w:lsdException w:name="List 3" w:uiPriority="0" w:semiHidden="1" w:unhideWhenUsed="0"/>
    <w:lsdException w:name="List 4" w:uiPriority="0" w:semiHidden="1" w:unhideWhenUsed="0"/>
    <w:lsdException w:name="List 5" w:uiPriority="0" w:semiHidden="1" w:unhideWhenUsed="0"/>
    <w:lsdException w:name="List Bullet 2" w:uiPriority="0" w:semiHidden="1" w:unhideWhenUsed="0"/>
    <w:lsdException w:name="List Bullet 3" w:uiPriority="0" w:semiHidden="1" w:unhideWhenUsed="0"/>
    <w:lsdException w:name="List Bullet 4" w:uiPriority="0" w:semiHidden="1" w:unhideWhenUsed="0"/>
    <w:lsdException w:name="List Bullet 5" w:uiPriority="0" w:semiHidden="1" w:unhideWhenUsed="0"/>
    <w:lsdException w:name="List Number 2" w:uiPriority="0" w:semiHidden="1" w:unhideWhenUsed="0"/>
    <w:lsdException w:name="List Number 3" w:uiPriority="0" w:semiHidden="1" w:unhideWhenUsed="0"/>
    <w:lsdException w:name="List Number 4" w:uiPriority="0" w:semiHidden="1" w:unhideWhenUsed="0"/>
    <w:lsdException w:name="List Number 5" w:uiPriority="0" w:semiHidden="1" w:unhideWhenUsed="0"/>
    <w:lsdException w:name="Title" w:uiPriority="0" w:semiHidden="1" w:unhideWhenUsed="0" w:qFormat="0"/>
    <w:lsdException w:name="Closing" w:uiPriority="0" w:semiHidden="1" w:unhideWhenUsed="0"/>
    <w:lsdException w:name="Signature" w:uiPriority="0" w:semiHidden="1" w:unhideWhenUsed="0"/>
    <w:lsdException w:name="Default Paragraph Font" w:uiPriority="0" w:semiHidden="1" w:unhideWhenUsed="0" w:qFormat="0"/>
    <w:lsdException w:name="Body Text" w:uiPriority="0" w:semiHidden="1" w:unhideWhenUsed="0"/>
    <w:lsdException w:name="Body Text Indent" w:uiPriority="0" w:semiHidden="1" w:unhideWhenUsed="0"/>
    <w:lsdException w:name="List Continue" w:uiPriority="0" w:semiHidden="1" w:unhideWhenUsed="0"/>
    <w:lsdException w:name="List Continue 2" w:uiPriority="0" w:semiHidden="1" w:unhideWhenUsed="0"/>
    <w:lsdException w:name="List Continue 3" w:uiPriority="0" w:semiHidden="1" w:unhideWhenUsed="0"/>
    <w:lsdException w:name="List Continue 4" w:uiPriority="0" w:semiHidden="1" w:unhideWhenUsed="0"/>
    <w:lsdException w:name="List Continue 5" w:uiPriority="0" w:semiHidden="1" w:unhideWhenUsed="0"/>
    <w:lsdException w:name="Message Header" w:uiPriority="0" w:semiHidden="1" w:unhideWhenUsed="0"/>
    <w:lsdException w:name="Subtitle" w:uiPriority="0" w:semiHidden="1" w:unhideWhenUsed="0" w:qFormat="0"/>
    <w:lsdException w:name="Salutation" w:uiPriority="0" w:semiHidden="1" w:unhideWhenUsed="0"/>
    <w:lsdException w:name="Date" w:uiPriority="0" w:semiHidden="1" w:unhideWhenUsed="0"/>
    <w:lsdException w:name="Body Text First Indent" w:uiPriority="0" w:semiHidden="1" w:unhideWhenUsed="0"/>
    <w:lsdException w:name="Body Text First Indent 2" w:uiPriority="0" w:semiHidden="1" w:unhideWhenUsed="0"/>
    <w:lsdException w:name="Note Heading" w:uiPriority="0" w:semiHidden="1" w:unhideWhenUsed="0"/>
    <w:lsdException w:name="Body Text 2" w:uiPriority="0" w:semiHidden="1" w:unhideWhenUsed="0"/>
    <w:lsdException w:name="Body Text 3" w:uiPriority="0" w:semiHidden="1" w:unhideWhenUsed="0"/>
    <w:lsdException w:name="Body Text Indent 2" w:uiPriority="0" w:semiHidden="1" w:unhideWhenUsed="0"/>
    <w:lsdException w:name="Body Text Indent 3" w:uiPriority="0" w:semiHidden="1" w:unhideWhenUsed="0"/>
    <w:lsdException w:name="Block Text" w:uiPriority="0" w:semiHidden="1" w:unhideWhenUsed="0"/>
    <w:lsdException w:name="Hyperlink" w:uiPriority="0" w:semiHidden="1" w:unhideWhenUsed="0"/>
    <w:lsdException w:name="FollowedHyperlink" w:uiPriority="0" w:semiHidden="1" w:unhideWhenUsed="0"/>
    <w:lsdException w:name="Strong" w:uiPriority="0" w:semiHidden="1" w:unhideWhenUsed="0" w:qFormat="0"/>
    <w:lsdException w:name="Emphasis" w:uiPriority="0" w:semiHidden="1" w:unhideWhenUsed="0" w:qFormat="0"/>
    <w:lsdException w:name="Document Map" w:uiPriority="0" w:semiHidden="1" w:unhideWhenUsed="0"/>
    <w:lsdException w:name="Plain Text" w:uiPriority="0" w:semiHidden="1" w:unhideWhenUsed="0"/>
    <w:lsdException w:name="E-mail Signature" w:uiPriority="0" w:semiHidden="1" w:unhideWhenUsed="0"/>
    <w:lsdException w:name="Normal (Web)" w:uiPriority="0" w:semiHidden="1" w:unhideWhenUsed="0"/>
    <w:lsdException w:name="HTML Acronym" w:uiPriority="0" w:semiHidden="1" w:unhideWhenUsed="0"/>
    <w:lsdException w:name="HTML Address" w:uiPriority="0" w:semiHidden="1" w:unhideWhenUsed="0"/>
    <w:lsdException w:name="HTML Cite" w:uiPriority="0" w:semiHidden="1" w:unhideWhenUsed="0"/>
    <w:lsdException w:name="HTML Code" w:uiPriority="0" w:semiHidden="1" w:unhideWhenUsed="0"/>
    <w:lsdException w:name="HTML Definition" w:uiPriority="0" w:semiHidden="1" w:unhideWhenUsed="0"/>
    <w:lsdException w:name="HTML Keyboard" w:uiPriority="0" w:semiHidden="1" w:unhideWhenUsed="0"/>
    <w:lsdException w:name="HTML Preformatted" w:uiPriority="0" w:semiHidden="1" w:unhideWhenUsed="0"/>
    <w:lsdException w:name="HTML Sample" w:uiPriority="0" w:semiHidden="1" w:unhideWhenUsed="0"/>
    <w:lsdException w:name="HTML Typewriter" w:uiPriority="0" w:semiHidden="1" w:unhideWhenUsed="0"/>
    <w:lsdException w:name="HTML Variable" w:uiPriority="0" w:semiHidden="1" w:unhideWhenUsed="0"/>
    <w:lsdException w:name="Normal Table" w:uiPriority="0" w:semiHidden="1" w:unhideWhenUsed="0" w:qFormat="0"/>
    <w:lsdException w:name="annotation subject" w:uiPriority="0" w:semiHidden="1" w:unhideWhenUsed="0" w:qFormat="0"/>
    <w:lsdException w:name="Table Simple 1" w:uiPriority="0" w:semiHidden="1" w:unhideWhenUsed="0"/>
    <w:lsdException w:name="Table Simple 2" w:uiPriority="0" w:semiHidden="1" w:unhideWhenUsed="0"/>
    <w:lsdException w:name="Table Simple 3" w:uiPriority="0" w:semiHidden="1" w:unhideWhenUsed="0"/>
    <w:lsdException w:name="Table Classic 1" w:uiPriority="0" w:semiHidden="1" w:unhideWhenUsed="0"/>
    <w:lsdException w:name="Table Classic 2" w:uiPriority="0" w:semiHidden="1" w:unhideWhenUsed="0"/>
    <w:lsdException w:name="Table Classic 3" w:uiPriority="0" w:semiHidden="1" w:unhideWhenUsed="0"/>
    <w:lsdException w:name="Table Classic 4" w:uiPriority="0" w:semiHidden="1" w:unhideWhenUsed="0"/>
    <w:lsdException w:name="Table Colorful 1" w:uiPriority="0" w:semiHidden="1" w:unhideWhenUsed="0"/>
    <w:lsdException w:name="Table Colorful 2" w:uiPriority="0" w:semiHidden="1" w:unhideWhenUsed="0"/>
    <w:lsdException w:name="Table Colorful 3" w:uiPriority="0" w:semiHidden="1" w:unhideWhenUsed="0"/>
    <w:lsdException w:name="Table Columns 1" w:uiPriority="0" w:semiHidden="1" w:unhideWhenUsed="0"/>
    <w:lsdException w:name="Table Columns 2" w:uiPriority="0" w:semiHidden="1" w:unhideWhenUsed="0"/>
    <w:lsdException w:name="Table Columns 3" w:uiPriority="0" w:semiHidden="1" w:unhideWhenUsed="0"/>
    <w:lsdException w:name="Table Columns 4" w:uiPriority="0" w:semiHidden="1" w:unhideWhenUsed="0"/>
    <w:lsdException w:name="Table Columns 5" w:uiPriority="0" w:semiHidden="1" w:unhideWhenUsed="0"/>
    <w:lsdException w:name="Table Grid 1" w:uiPriority="0" w:semiHidden="1" w:unhideWhenUsed="0"/>
    <w:lsdException w:name="Table Grid 2" w:uiPriority="0" w:semiHidden="1" w:unhideWhenUsed="0"/>
    <w:lsdException w:name="Table Grid 3" w:uiPriority="0" w:semiHidden="1" w:unhideWhenUsed="0"/>
    <w:lsdException w:name="Table Grid 4" w:uiPriority="0" w:semiHidden="1" w:unhideWhenUsed="0"/>
    <w:lsdException w:name="Table Grid 5" w:uiPriority="0" w:semiHidden="1" w:unhideWhenUsed="0"/>
    <w:lsdException w:name="Table Grid 6" w:uiPriority="0" w:semiHidden="1" w:unhideWhenUsed="0"/>
    <w:lsdException w:name="Table Grid 7" w:uiPriority="0" w:semiHidden="1" w:unhideWhenUsed="0"/>
    <w:lsdException w:name="Table Grid 8" w:uiPriority="0" w:semiHidden="1" w:unhideWhenUsed="0"/>
    <w:lsdException w:name="Table List 1" w:uiPriority="0" w:semiHidden="1" w:unhideWhenUsed="0"/>
    <w:lsdException w:name="Table List 2" w:uiPriority="0" w:semiHidden="1" w:unhideWhenUsed="0"/>
    <w:lsdException w:name="Table List 3" w:uiPriority="0" w:semiHidden="1" w:unhideWhenUsed="0"/>
    <w:lsdException w:name="Table List 4" w:uiPriority="0" w:semiHidden="1" w:unhideWhenUsed="0"/>
    <w:lsdException w:name="Table List 5" w:uiPriority="0" w:semiHidden="1" w:unhideWhenUsed="0"/>
    <w:lsdException w:name="Table List 6" w:uiPriority="0" w:semiHidden="1" w:unhideWhenUsed="0"/>
    <w:lsdException w:name="Table List 7" w:uiPriority="0" w:semiHidden="1" w:unhideWhenUsed="0"/>
    <w:lsdException w:name="Table List 8" w:uiPriority="0" w:semiHidden="1" w:unhideWhenUsed="0"/>
    <w:lsdException w:name="Table 3D effects 1" w:uiPriority="0" w:semiHidden="1" w:unhideWhenUsed="0"/>
    <w:lsdException w:name="Table 3D effects 2" w:uiPriority="0" w:semiHidden="1" w:unhideWhenUsed="0"/>
    <w:lsdException w:name="Table 3D effects 3" w:uiPriority="0" w:semiHidden="1" w:unhideWhenUsed="0"/>
    <w:lsdException w:name="Table Contemporary" w:uiPriority="0" w:semiHidden="1" w:unhideWhenUsed="0"/>
    <w:lsdException w:name="Table Elegant" w:uiPriority="0" w:semiHidden="1" w:unhideWhenUsed="0"/>
    <w:lsdException w:name="Table Professional" w:uiPriority="0" w:semiHidden="1" w:unhideWhenUsed="0"/>
    <w:lsdException w:name="Table Subtle 1" w:uiPriority="0" w:semiHidden="1" w:unhideWhenUsed="0"/>
    <w:lsdException w:name="Table Subtle 2" w:uiPriority="0" w:semiHidden="1" w:unhideWhenUsed="0"/>
    <w:lsdException w:name="Table Web 1" w:uiPriority="0" w:semiHidden="1" w:unhideWhenUsed="0"/>
    <w:lsdException w:name="Table Web 2" w:uiPriority="0" w:semiHidden="1" w:unhideWhenUsed="0"/>
    <w:lsdException w:name="Table Web 3" w:uiPriority="0" w:semiHidden="1" w:unhideWhenUsed="0"/>
    <w:lsdException w:name="Balloon Text" w:uiPriority="0" w:semiHidden="1" w:unhideWhenUsed="0"/>
    <w:lsdException w:name="Table Grid" w:uiPriority="0" w:semiHidden="1" w:unhideWhenUsed="0"/>
    <w:lsdException w:name="Table Theme" w:uiPriority="0" w:semiHidden="1" w:unhideWhenUsed="0"/>
    <w:lsdException w:name="Light Shading" w:uiPriority="60" w:semiHidden="1" w:unhideWhenUsed="0"/>
    <w:lsdException w:name="Light List" w:uiPriority="61" w:semiHidden="1" w:unhideWhenUsed="0"/>
    <w:lsdException w:name="Light Grid" w:uiPriority="62" w:semiHidden="1" w:unhideWhenUsed="0"/>
    <w:lsdException w:name="Medium Shading 1" w:uiPriority="63" w:semiHidden="1" w:unhideWhenUsed="0"/>
    <w:lsdException w:name="Medium Shading 2" w:uiPriority="64" w:semiHidden="1" w:unhideWhenUsed="0"/>
    <w:lsdException w:name="Medium List 1" w:uiPriority="65" w:semiHidden="1" w:unhideWhenUsed="0"/>
    <w:lsdException w:name="Medium List 2" w:uiPriority="66" w:semiHidden="1" w:unhideWhenUsed="0"/>
    <w:lsdException w:name="Medium Grid 1" w:uiPriority="67" w:semiHidden="1" w:unhideWhenUsed="0"/>
    <w:lsdException w:name="Medium Grid 2" w:uiPriority="68" w:semiHidden="1" w:unhideWhenUsed="0"/>
    <w:lsdException w:name="Medium Grid 3" w:uiPriority="69" w:semiHidden="1" w:unhideWhenUsed="0"/>
    <w:lsdException w:name="Dark List" w:uiPriority="70" w:semiHidden="1" w:unhideWhenUsed="0"/>
    <w:lsdException w:name="Colorful Shading" w:uiPriority="71" w:semiHidden="1" w:unhideWhenUsed="0"/>
    <w:lsdException w:name="Colorful List" w:uiPriority="72" w:semiHidden="1" w:unhideWhenUsed="0"/>
    <w:lsdException w:name="Colorful Grid" w:uiPriority="73" w:semiHidden="1" w:unhideWhenUsed="0"/>
    <w:lsdException w:name="Light Shading Accent 1" w:uiPriority="60" w:semiHidden="1" w:unhideWhenUsed="0"/>
    <w:lsdException w:name="Light List Accent 1" w:uiPriority="61" w:semiHidden="1" w:unhideWhenUsed="0"/>
    <w:lsdException w:name="Light Grid Accent 1" w:uiPriority="62" w:semiHidden="1" w:unhideWhenUsed="0"/>
    <w:lsdException w:name="Medium Shading 1 Accent 1" w:uiPriority="63" w:semiHidden="1" w:unhideWhenUsed="0"/>
    <w:lsdException w:name="Medium Shading 2 Accent 1" w:uiPriority="64" w:semiHidden="1" w:unhideWhenUsed="0"/>
    <w:lsdException w:name="Medium List 1 Accent 1" w:uiPriority="65" w:semiHidden="1" w:unhideWhenUsed="0"/>
    <w:lsdException w:name="Medium List 2 Accent 1" w:uiPriority="66" w:semiHidden="1" w:unhideWhenUsed="0"/>
    <w:lsdException w:name="Medium Grid 1 Accent 1" w:uiPriority="67" w:semiHidden="1" w:unhideWhenUsed="0"/>
    <w:lsdException w:name="Medium Grid 2 Accent 1" w:uiPriority="68" w:semiHidden="1" w:unhideWhenUsed="0"/>
    <w:lsdException w:name="Medium Grid 3 Accent 1" w:uiPriority="69" w:semiHidden="1" w:unhideWhenUsed="0"/>
    <w:lsdException w:name="Dark List Accent 1" w:uiPriority="70" w:semiHidden="1" w:unhideWhenUsed="0"/>
    <w:lsdException w:name="Colorful Shading Accent 1" w:uiPriority="71" w:semiHidden="1" w:unhideWhenUsed="0"/>
    <w:lsdException w:name="Colorful List Accent 1" w:uiPriority="72" w:semiHidden="1" w:unhideWhenUsed="0"/>
    <w:lsdException w:name="Colorful Grid Accent 1" w:uiPriority="73" w:semiHidden="1" w:unhideWhenUsed="0"/>
    <w:lsdException w:name="Light Shading Accent 2" w:uiPriority="60" w:semiHidden="1" w:unhideWhenUsed="0"/>
    <w:lsdException w:name="Light List Accent 2" w:uiPriority="61" w:semiHidden="1" w:unhideWhenUsed="0"/>
    <w:lsdException w:name="Light Grid Accent 2" w:uiPriority="62" w:semiHidden="1" w:unhideWhenUsed="0"/>
    <w:lsdException w:name="Medium Shading 1 Accent 2" w:uiPriority="63" w:semiHidden="1" w:unhideWhenUsed="0"/>
    <w:lsdException w:name="Medium Shading 2 Accent 2" w:uiPriority="64" w:semiHidden="1" w:unhideWhenUsed="0"/>
    <w:lsdException w:name="Medium List 1 Accent 2" w:uiPriority="65" w:semiHidden="1" w:unhideWhenUsed="0"/>
    <w:lsdException w:name="Medium List 2 Accent 2" w:uiPriority="66" w:semiHidden="1" w:unhideWhenUsed="0"/>
    <w:lsdException w:name="Medium Grid 1 Accent 2" w:uiPriority="67" w:semiHidden="1" w:unhideWhenUsed="0"/>
    <w:lsdException w:name="Medium Grid 2 Accent 2" w:uiPriority="68" w:semiHidden="1" w:unhideWhenUsed="0"/>
    <w:lsdException w:name="Medium Grid 3 Accent 2" w:uiPriority="69" w:semiHidden="1" w:unhideWhenUsed="0"/>
    <w:lsdException w:name="Dark List Accent 2" w:uiPriority="70" w:semiHidden="1" w:unhideWhenUsed="0"/>
    <w:lsdException w:name="Colorful Shading Accent 2" w:uiPriority="71" w:semiHidden="1" w:unhideWhenUsed="0"/>
    <w:lsdException w:name="Colorful List Accent 2" w:uiPriority="72" w:semiHidden="1" w:unhideWhenUsed="0"/>
    <w:lsdException w:name="Colorful Grid Accent 2" w:uiPriority="73" w:semiHidden="1" w:unhideWhenUsed="0"/>
    <w:lsdException w:name="Light Shading Accent 3" w:uiPriority="60" w:semiHidden="1" w:unhideWhenUsed="0"/>
    <w:lsdException w:name="Light List Accent 3" w:uiPriority="61" w:semiHidden="1" w:unhideWhenUsed="0"/>
    <w:lsdException w:name="Light Grid Accent 3" w:uiPriority="62" w:semiHidden="1" w:unhideWhenUsed="0"/>
    <w:lsdException w:name="Medium Shading 1 Accent 3" w:uiPriority="63" w:semiHidden="1" w:unhideWhenUsed="0"/>
    <w:lsdException w:name="Medium Shading 2 Accent 3" w:uiPriority="64" w:semiHidden="1" w:unhideWhenUsed="0"/>
    <w:lsdException w:name="Medium List 1 Accent 3" w:uiPriority="65" w:semiHidden="1" w:unhideWhenUsed="0"/>
    <w:lsdException w:name="Medium List 2 Accent 3" w:uiPriority="66" w:semiHidden="1" w:unhideWhenUsed="0"/>
    <w:lsdException w:name="Medium Grid 1 Accent 3" w:uiPriority="67" w:semiHidden="1" w:unhideWhenUsed="0"/>
    <w:lsdException w:name="Medium Grid 2 Accent 3" w:uiPriority="68" w:semiHidden="1" w:unhideWhenUsed="0"/>
    <w:lsdException w:name="Medium Grid 3 Accent 3" w:uiPriority="69" w:semiHidden="1" w:unhideWhenUsed="0"/>
    <w:lsdException w:name="Dark List Accent 3" w:uiPriority="70" w:semiHidden="1" w:unhideWhenUsed="0"/>
    <w:lsdException w:name="Colorful Shading Accent 3" w:uiPriority="71" w:semiHidden="1" w:unhideWhenUsed="0"/>
    <w:lsdException w:name="Colorful List Accent 3" w:uiPriority="72" w:semiHidden="1" w:unhideWhenUsed="0"/>
    <w:lsdException w:name="Colorful Grid Accent 3" w:uiPriority="73" w:semiHidden="1" w:unhideWhenUsed="0"/>
    <w:lsdException w:name="Light Shading Accent 4" w:uiPriority="60" w:semiHidden="1" w:unhideWhenUsed="0"/>
    <w:lsdException w:name="Light List Accent 4" w:uiPriority="61" w:semiHidden="1" w:unhideWhenUsed="0"/>
    <w:lsdException w:name="Light Grid Accent 4" w:uiPriority="62" w:semiHidden="1" w:unhideWhenUsed="0"/>
    <w:lsdException w:name="Medium Shading 1 Accent 4" w:uiPriority="63" w:semiHidden="1" w:unhideWhenUsed="0"/>
    <w:lsdException w:name="Medium Shading 2 Accent 4" w:uiPriority="64" w:semiHidden="1" w:unhideWhenUsed="0"/>
    <w:lsdException w:name="Medium List 1 Accent 4" w:uiPriority="65" w:semiHidden="1" w:unhideWhenUsed="0"/>
    <w:lsdException w:name="Medium List 2 Accent 4" w:uiPriority="66" w:semiHidden="1" w:unhideWhenUsed="0"/>
    <w:lsdException w:name="Medium Grid 1 Accent 4" w:uiPriority="67" w:semiHidden="1" w:unhideWhenUsed="0"/>
    <w:lsdException w:name="Medium Grid 2 Accent 4" w:uiPriority="68" w:semiHidden="1" w:unhideWhenUsed="0"/>
    <w:lsdException w:name="Medium Grid 3 Accent 4" w:uiPriority="69" w:semiHidden="1" w:unhideWhenUsed="0"/>
    <w:lsdException w:name="Dark List Accent 4" w:uiPriority="70" w:semiHidden="1" w:unhideWhenUsed="0"/>
    <w:lsdException w:name="Colorful Shading Accent 4" w:uiPriority="71" w:semiHidden="1" w:unhideWhenUsed="0"/>
    <w:lsdException w:name="Colorful List Accent 4" w:uiPriority="72" w:semiHidden="1" w:unhideWhenUsed="0"/>
    <w:lsdException w:name="Colorful Grid Accent 4" w:uiPriority="73" w:semiHidden="1" w:unhideWhenUsed="0"/>
    <w:lsdException w:name="Light Shading Accent 5" w:uiPriority="60" w:semiHidden="1" w:unhideWhenUsed="0"/>
    <w:lsdException w:name="Light List Accent 5" w:uiPriority="61" w:semiHidden="1" w:unhideWhenUsed="0"/>
    <w:lsdException w:name="Light Grid Accent 5" w:uiPriority="62" w:semiHidden="1" w:unhideWhenUsed="0"/>
    <w:lsdException w:name="Medium Shading 1 Accent 5" w:uiPriority="63" w:semiHidden="1" w:unhideWhenUsed="0"/>
    <w:lsdException w:name="Medium Shading 2 Accent 5" w:uiPriority="64" w:semiHidden="1" w:unhideWhenUsed="0"/>
    <w:lsdException w:name="Medium List 1 Accent 5" w:uiPriority="65" w:semiHidden="1" w:unhideWhenUsed="0"/>
    <w:lsdException w:name="Medium List 2 Accent 5" w:uiPriority="66" w:semiHidden="1" w:unhideWhenUsed="0"/>
    <w:lsdException w:name="Medium Grid 1 Accent 5" w:uiPriority="67" w:semiHidden="1" w:unhideWhenUsed="0"/>
    <w:lsdException w:name="Medium Grid 2 Accent 5" w:uiPriority="68" w:semiHidden="1" w:unhideWhenUsed="0"/>
    <w:lsdException w:name="Medium Grid 3 Accent 5" w:uiPriority="69" w:semiHidden="1" w:unhideWhenUsed="0"/>
    <w:lsdException w:name="Dark List Accent 5" w:uiPriority="70" w:semiHidden="1" w:unhideWhenUsed="0"/>
    <w:lsdException w:name="Colorful Shading Accent 5" w:uiPriority="71" w:semiHidden="1" w:unhideWhenUsed="0"/>
    <w:lsdException w:name="Colorful List Accent 5" w:uiPriority="72" w:semiHidden="1" w:unhideWhenUsed="0"/>
    <w:lsdException w:name="Colorful Grid Accent 5" w:uiPriority="73" w:semiHidden="1" w:unhideWhenUsed="0"/>
    <w:lsdException w:name="Light Shading Accent 6" w:uiPriority="60" w:semiHidden="1" w:unhideWhenUsed="0"/>
    <w:lsdException w:name="Light List Accent 6" w:uiPriority="61" w:semiHidden="1" w:unhideWhenUsed="0"/>
    <w:lsdException w:name="Light Grid Accent 6" w:uiPriority="62" w:semiHidden="1" w:unhideWhenUsed="0"/>
    <w:lsdException w:name="Medium Shading 1 Accent 6" w:uiPriority="63" w:semiHidden="1" w:unhideWhenUsed="0"/>
    <w:lsdException w:name="Medium Shading 2 Accent 6" w:uiPriority="64" w:semiHidden="1" w:unhideWhenUsed="0"/>
    <w:lsdException w:name="Medium List 1 Accent 6" w:uiPriority="65" w:semiHidden="1" w:unhideWhenUsed="0"/>
    <w:lsdException w:name="Medium List 2 Accent 6" w:uiPriority="66" w:semiHidden="1" w:unhideWhenUsed="0"/>
    <w:lsdException w:name="Medium Grid 1 Accent 6" w:uiPriority="67" w:semiHidden="1" w:unhideWhenUsed="0"/>
    <w:lsdException w:name="Medium Grid 2 Accent 6" w:uiPriority="68" w:semiHidden="1" w:unhideWhenUsed="0"/>
    <w:lsdException w:name="Medium Grid 3 Accent 6" w:uiPriority="69" w:semiHidden="1" w:unhideWhenUsed="0"/>
    <w:lsdException w:name="Dark List Accent 6" w:uiPriority="70" w:semiHidden="1" w:unhideWhenUsed="0"/>
    <w:lsdException w:name="Colorful Shading Accent 6" w:uiPriority="71" w:semiHidden="1" w:unhideWhenUsed="0"/>
    <w:lsdException w:name="Colorful List Accent 6" w:uiPriority="72" w:semiHidden="1" w:unhideWhenUsed="0"/>
    <w:lsdException w:name="Colorful Grid Accent 6" w:uiPriority="73" w:semiHidden="1" w:unhideWhenUsed="0"/>
  </w:latentStyles>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paragraph" w:styleId="1" w:default="1">
    <w:name w:val="Normal"/>
    <w:uiPriority w:val="99"/>
    <w:semiHidden/>
    <w:pPr>
      <w:spacing w:line="259" w:lineRule="auto"/>
    </w:pPr>
    <w:rPr>
      <w:rFonts w:ascii="Times New Roman" w:hAnsi="Times New Roman" w:eastAsia="Times New Roman" w:cs="Times New Roman"/>
      <w:sz w:val="24"/>
      <w:szCs w:val="24"/>
      <w:lang w:val="en-US" w:eastAsia="en-US" w:bidi="ar-SA"/>
    </w:rPr>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paragraph" w:styleId="2">
    <w:name w:val="heading 2"/>
    <w:basedOn w:val="1"/>
    <w:next w:val="1"/>
    <w:link w:val="10"/>
    <w:uiPriority w:val="99"/>
    <w:semiHidden/>
    <w:pPr>
      <w:keepNext/>
      <w:keepLines/>
      <w:spacing w:before="180" w:after="80" w:line="360" w:lineRule="auto"/>
      <w:outlineLvl w:val="1"/>
    </w:pPr>
    <w:rPr>
      <w:rFonts w:asciiTheme="majorHAnsi" w:hAnsiTheme="majorHAnsi" w:eastAsiaTheme="majorEastAsia" w:cstheme="majorBidi"/>
      <w:b/>
      <w:bCs/>
      <w:color w:val="000000"/>
      <w:sz w:val="24"/>
      <w:szCs w:val="26"/>
      <w:lang w:eastAsia="en-US"/>
    </w:rPr>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character" w:styleId="6" w:default="1">
    <w:name w:val="Default Paragraph Font"/>
    <w:uiPriority w:val="99"/>
    <w:semiHidden/>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table" w:styleId="5" w:default="1">
    <w:name w:val="Normal Table"/>
    <w:uiPriority w:val="99"/>
    <w:semiHidden/>
    <w:tblPr>
      <w:tblCellMar>
        <w:top w:w="0" w:type="dxa"/>
        <w:left w:w="108" w:type="dxa"/>
        <w:bottom w:w="0" w:type="dxa"/>
        <w:right w:w="108" w:type="dxa"/>
      </w:tblCellMar>
    </w:tblPr>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paragraph" w:styleId="3">
    <w:name w:val="annotation text"/>
    <w:basedOn w:val="1"/>
    <w:link w:val="8"/>
    <w:uiPriority w:val="99"/>
    <w:semiHidden/>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paragraph" w:styleId="4">
    <w:name w:val="annotation subject"/>
    <w:basedOn w:val="3"/>
    <w:next w:val="3"/>
    <w:link w:val="9"/>
    <w:uiPriority w:val="99"/>
    <w:semiHidden/>
    <w:rPr>
      <w:b/>
      <w:bCs/>
    </w:rPr>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character" w:styleId="7">
    <w:name w:val="annotation reference"/>
    <w:basedOn w:val="6"/>
    <w:uiPriority w:val="99"/>
    <w:semiHidden/>
    <w:rPr>
      <w:sz w:val="21"/>
      <w:szCs w:val="21"/>
    </w:rPr>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character" w:styleId="8" w:customStyle="1">
    <w:name w:val="Comment Text Character"/>
    <w:basedOn w:val="6"/>
    <w:link w:val="3"/>
    <w:uiPriority w:val="99"/>
    <w:semiHidden/>
    <w:rPr>
      <w:rFonts w:eastAsia="Times New Roman"/>
    </w:rPr>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character" w:styleId="9" w:customStyle="1">
    <w:name w:val="Comment Subject Character"/>
    <w:basedOn w:val="8"/>
    <w:link w:val="4"/>
    <w:uiPriority w:val="99"/>
    <w:semiHidden/>
    <w:rPr>
      <w:rFonts w:eastAsia="Times New Roman"/>
      <w:b/>
      <w:bCs/>
    </w:rPr>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character" w:styleId="10" w:customStyle="1">
    <w:name w:val="Heading 2 Character"/>
    <w:basedOn w:val="6"/>
    <w:link w:val="2"/>
    <w:uiPriority w:val="99"/>
    <w:semiHidden/>
    <w:rPr>
      <w:rFonts w:asciiTheme="majorHAnsi" w:hAnsiTheme="majorHAnsi" w:eastAsiaTheme="majorEastAsia" w:cstheme="majorBidi"/>
      <w:b/>
      <w:bCs/>
      <w:color w:val="000000"/>
      <w:sz w:val="24"/>
      <w:szCs w:val="26"/>
      <w:lang w:eastAsia="en-US"/>
    </w:rPr>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paragraph" w:styleId="11" w:customStyle="1">
    <w:name w:val="SR Body"/>
    <w:basedOn w:val="1"/>
    <w:uiPriority w:val="0"/>
    <w:qFormat/>
    <w:pPr>
      <w:widowControl/>
      <w:spacing w:line="360" w:lineRule="auto"/>
      <w:jc w:val="left"/>
      <w:outlineLvl w:val="9"/>
    </w:pPr>
    <w:rPr>
      <w:rFonts w:ascii="Times New Roman" w:hAnsi="Times New Roman" w:eastAsia="Times New Roman"/>
      <w:sz w:val="24"/>
    </w:rPr>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paragraph" w:styleId="12" w:customStyle="1">
    <w:name w:val="SR Heading 1"/>
    <w:basedOn w:val="1"/>
    <w:next w:val="11"/>
    <w:uiPriority w:val="1"/>
    <w:qFormat/>
    <w:pPr>
      <w:keepNext/>
      <w:spacing w:before="240" w:after="160" w:line="240" w:lineRule="auto"/>
      <w:jc w:val="left"/>
      <w:outlineLvl w:val="0"/>
    </w:pPr>
    <w:rPr>
      <w:rFonts w:ascii="Times New Roman" w:hAnsi="Times New Roman" w:eastAsia="Times New Roman"/>
      <w:b/>
      <w:sz w:val="28"/>
    </w:rPr>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paragraph" w:styleId="13" w:customStyle="1">
    <w:name w:val="SR Heading 2"/>
    <w:basedOn w:val="1"/>
    <w:next w:val="11"/>
    <w:uiPriority w:val="2"/>
    <w:qFormat/>
    <w:pPr>
      <w:keepNext/>
      <w:spacing w:before="160" w:after="80" w:line="240" w:lineRule="auto"/>
      <w:jc w:val="left"/>
      <w:outlineLvl w:val="1"/>
    </w:pPr>
    <w:rPr>
      <w:rFonts w:ascii="Times New Roman" w:hAnsi="Times New Roman" w:eastAsia="Times New Roman"/>
      <w:b/>
      <w:sz w:val="24"/>
    </w:rPr>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paragraph" w:styleId="14" w:customStyle="1">
    <w:name w:val="SR References"/>
    <w:basedOn w:val="1"/>
    <w:uiPriority w:val="3"/>
    <w:qFormat/>
    <w:pPr>
      <w:widowControl/>
      <w:spacing w:line="240" w:lineRule="auto"/>
      <w:jc w:val="left"/>
      <w:outlineLvl w:val="9"/>
    </w:pPr>
    <w:rPr>
      <w:rFonts w:ascii="Times New Roman" w:hAnsi="Times New Roman" w:eastAsia="Times New Roman"/>
      <w:sz w:val="20"/>
    </w:rPr>
  </w:style>
  <w:style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w:type="paragraph" w:styleId="15" w:customStyle="1">
    <w:name w:val="SR Figure and Table Caption"/>
    <w:basedOn w:val="1"/>
    <w:uiPriority w:val="4"/>
    <w:qFormat/>
    <w:pPr>
      <w:widowControl/>
      <w:spacing w:line="240" w:lineRule="auto"/>
      <w:jc w:val="left"/>
      <w:outlineLvl w:val="9"/>
    </w:pPr>
    <w:rPr>
      <w:rFonts w:ascii="Times New Roman" w:hAnsi="Times New Roman" w:eastAsia="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Times New Roman"/>
        <a:cs typeface=""/>
      </a:majorFont>
      <a:minorFont>
        <a:latin typeface="Calibri"/>
        <a:ea typeface="Times New Roman"/>
        <a:cs typeface=""/>
      </a:minorFont>
    </a:fontScheme>
    <a:fmtScheme name="Office">
      <a:fillStyleLst>
        <a:solidFill>
          <a:schemeClr val="phClr"/>
        </a:solidFill>
        <a:solidFill>
          <a:schemeClr val="phClr"/>
        </a:solidFill>
        <a:solidFill>
          <a:schemeClr val="phClr"/>
        </a:solidFill>
      </a:fillStyleLst>
      <a:lnStyleLst>
        <a:ln w="6350" cap="flat">
          <a:solidFill>
            <a:schemeClr val="phClr"/>
          </a:solidFill>
        </a:ln>
        <a:ln w="12700" cap="flat">
          <a:solidFill>
            <a:schemeClr val="phClr"/>
          </a:solidFill>
        </a:ln>
        <a:ln w="19050" cap="flat">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xmlns:a="http://schemas.openxmlformats.org/drawingml/2006/main"/>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DC72-3D05-CC44-A40B-1FC664D77ACB}">
  <ds:schemaRefs/>
</ds:datastoreItem>
</file>

<file path=docProps/app.xml><?xml version="1.0" encoding="utf-8"?>
<ap:Properties xmlns:vt="http://schemas.openxmlformats.org/officeDocument/2006/docPropsVTypes" xmlns:ap="http://schemas.openxmlformats.org/officeDocument/2006/extended-properties">
  <ap:Template>Normal.dotm</ap:Template>
  <ap:Pages>13</ap:Pages>
  <ap:Words>1851</ap:Words>
  <ap:Characters>3538</ap:Characters>
  <ap:Lines>186</ap:Lines>
  <ap:Paragraphs>52</ap:Paragraphs>
  <ap:TotalTime>1</ap:TotalTime>
  <ap:ScaleCrop>false</ap:ScaleCrop>
  <ap:LinksUpToDate>false</ap:LinksUpToDate>
  <ap:CharactersWithSpaces>3700</ap:CharactersWithSpaces>
  <ap:Application>WPS Office_12.1.0.23542_F1E327BC-269C-435d-A152-05C5408002CA</ap:Application>
  <ap:DocSecurity>0</ap:DocSecurity>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2026-08-04T07:28:00Z</dcterms:created>
  <dc:creator>OfficeCLI</dc:creator>
  <cp:lastModifiedBy>Arra</cp:lastModifiedBy>
  <dcterms:modified xsi:type="dcterms:W3CDTF">2026-08-06T12:42:17Z</dcterms:modified>
  <cp:revision>6</cp:revision>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OfficeCLI.Version">
    <vt:lpwstr>1.0.143</vt:lpwstr>
  </op:property>
  <op:property fmtid="{D5CDD505-2E9C-101B-9397-08002B2CF9AE}" pid="3" name="OfficeCLI.LastModified">
    <vt:lpwstr>2026-08-07T02:26:08Z</vt:lpwstr>
  </op:property>
  <op:property fmtid="{D5CDD505-2E9C-101B-9397-08002B2CF9AE}" pid="4" name="KSOProductBuildVer">
    <vt:lpwstr>2052-12.1.0.23542</vt:lpwstr>
  </op:property>
  <op:property fmtid="{D5CDD505-2E9C-101B-9397-08002B2CF9AE}" pid="5" name="ICV">
    <vt:lpwstr>ACA8DB6C925945D79B5408D91DD44FF8_13</vt:lpwstr>
  </op:property>
  <op:property fmtid="{D5CDD505-2E9C-101B-9397-08002B2CF9AE}" pid="6" name="KSOTemplateDocerSaveRecord">
    <vt:lpwstr>eyJoZGlkIjoiMTM4NWVlZWE4NWUzMjA4YjMyNGI1OTIxNjMzMWIxOTciLCJ1c2VySWQiOiIzNjc0NjM2MjgifQ==</vt:lpwstr>
  </op:property>
</op:Properties>
</file>