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A43B" w14:textId="77777777" w:rsidR="00C004D3" w:rsidRDefault="00C004D3" w:rsidP="00C004D3">
      <w:pPr>
        <w:spacing w:before="280" w:after="100" w:line="440" w:lineRule="exact"/>
      </w:pPr>
      <w:r>
        <w:rPr>
          <w:b/>
          <w:sz w:val="26"/>
        </w:rPr>
        <w:t>Appendix A. The Seven First-Time Entrants of 2022</w:t>
      </w:r>
    </w:p>
    <w:p w14:paraId="05485696" w14:textId="77777777" w:rsidR="00C004D3" w:rsidRDefault="00C004D3" w:rsidP="00C004D3">
      <w:pPr>
        <w:spacing w:after="120" w:line="440" w:lineRule="exact"/>
        <w:ind w:firstLine="480"/>
        <w:jc w:val="both"/>
      </w:pPr>
      <w:r>
        <w:t>The seven universities added in the second round are compared with the 28 continuing institutions in the same designation category, holding neither 985 nor 211 status. Because the pre-period and post-period differ in length, all growth rates are annualized: pre-period growth is the log change from 2018 to 2021 divided by three, and post-period growth the log change from 2021 to 2023 divided by two.</w:t>
      </w:r>
    </w:p>
    <w:p w14:paraId="432E623A" w14:textId="77777777" w:rsidR="00C004D3" w:rsidRDefault="00C004D3" w:rsidP="00C004D3">
      <w:pPr>
        <w:spacing w:after="120" w:line="440" w:lineRule="exact"/>
        <w:ind w:firstLine="480"/>
        <w:jc w:val="both"/>
      </w:pPr>
      <w:r>
        <w:t>On this basis four of the seven show higher annual growth after entry than before: Guangzhou Medical University at plus 0.146, Xiangtan University at plus 0.095, South China Agricultural University at plus 0.052 and Shanxi University at plus 0.048. Three show lower growth: ShanghaiTech University at minus 0.429, Southern University of Science and Technology at minus 0.147 and Nanjing Medical University at minus 0.062. The two largest decelerations belong to the institutions with the steepest pre-period growth, which is consistent with mean reversion.</w:t>
      </w:r>
    </w:p>
    <w:p w14:paraId="657B2B93" w14:textId="77777777" w:rsidR="00C004D3" w:rsidRDefault="00C004D3" w:rsidP="00C004D3">
      <w:pPr>
        <w:spacing w:after="120" w:line="440" w:lineRule="exact"/>
        <w:ind w:firstLine="480"/>
        <w:jc w:val="both"/>
      </w:pPr>
      <w:r>
        <w:t>The aggregate difference against the comparison group is -0.114 per year. Enumerating all 6,724,520 ways of assigning the entry label among the 35 institutions places this at an exact two-sided p-value of 0.265. Using equal two-year windows on both sides, 2019-2021 against 2021-2023, gives -0.166 at p = 0.257; extending to the provisional 2024 endpoint with equal three-year windows gives -0.069 at p = 0.600.</w:t>
      </w:r>
    </w:p>
    <w:p w14:paraId="4143A4CE" w14:textId="77777777" w:rsidR="00C004D3" w:rsidRDefault="00C004D3" w:rsidP="00C004D3">
      <w:pPr>
        <w:spacing w:after="120" w:line="440" w:lineRule="exact"/>
        <w:ind w:firstLine="480"/>
        <w:jc w:val="both"/>
      </w:pPr>
      <w:r>
        <w:t>This is a label-permutation benchmark rather than design-based inference. The 28 continuing institutions were already designated and could not have entered in 2022, so the permutation describes a counterfactual about entry timing under an exchangeability assumption that the selection process does not guarantee. Pre-period growth also differs between the groups, and four pre-period years cannot establish parallel trends. We draw from this only the conclusion that first-time entry was not followed by a common short-run trajectory.</w:t>
      </w:r>
    </w:p>
    <w:p w14:paraId="5B165D15" w14:textId="77777777" w:rsidR="00C004D3" w:rsidRDefault="00C004D3" w:rsidP="00C004D3">
      <w:pPr>
        <w:spacing w:before="280" w:after="100" w:line="440" w:lineRule="exact"/>
      </w:pPr>
      <w:r>
        <w:rPr>
          <w:b/>
          <w:sz w:val="26"/>
        </w:rPr>
        <w:t>Appendix B. Baseline Profile and Auxiliary Correlates</w:t>
      </w:r>
    </w:p>
    <w:p w14:paraId="03FDDE33" w14:textId="77777777" w:rsidR="00C004D3" w:rsidRDefault="00C004D3" w:rsidP="00C004D3">
      <w:pPr>
        <w:spacing w:after="120" w:line="440" w:lineRule="exact"/>
        <w:ind w:firstLine="480"/>
        <w:jc w:val="both"/>
      </w:pPr>
      <w:r>
        <w:t xml:space="preserve">Baseline structure over the 2018-2020 cohort is as follows. Former 985 universities filed 22.0 percent of academic applications with a grant rate of 67.6 percent, a top-decile citation rate of 14.77 percent and mean inventor count of 4.91. Designated non-985 universities filed 18.5 percent at 61.4 percent, 13.80 percent and 5.22. Universities outside the scheme filed 41.7 </w:t>
      </w:r>
      <w:r>
        <w:lastRenderedPageBreak/>
        <w:t>percent at 50.8 percent, 10.00 percent and 4.78. Academy units filed 5.1 percent at 66.2 percent, 11.50 percent and 5.01. Research institutes filed 12.7 percent at 55.9 percent, 9.48 percent and 6.31, with the highest enterprise co-application rate in the system at 11.25 percent. These are descriptive and carry no test statistics for the reasons given in Section 3.3.</w:t>
      </w:r>
    </w:p>
    <w:p w14:paraId="3D420FC3" w14:textId="77777777" w:rsidR="00C004D3" w:rsidRDefault="00C004D3" w:rsidP="00C004D3">
      <w:pPr>
        <w:spacing w:after="120" w:line="440" w:lineRule="exact"/>
        <w:ind w:firstLine="480"/>
        <w:jc w:val="both"/>
      </w:pPr>
      <w:r>
        <w:t>Two auxiliary results are reported for completeness. Disruption scores for a 2018-2020 publication cohort show Academy units with the highest mean citations at 42.6 and the lowest share of works with positive CD at 22.6 percent, and universities outside the scheme the reverse at 20.6 and 39.7 percent. CD coverage differs across the groups compared, at roughly 73 percent for Academy and elite university works against 57 to 66 percent elsewhere, so the contrast is confounded and we draw no inference from it. Separately, two-way fixed-effects models over 297 cities for 2019-2022 give an elasticity of certified high-technology enterprise counts with respect to 985 university patents of 0.0036 with a clustered standard error of 0.0012, with no other type distinguishable from zero after Holm adjustment. The outcome is a stock rather than new formations, the city classification does not implement the three-stratum university split, and reverse causation is unaddressed. Neither result bears on the paper's main claims.</w:t>
      </w:r>
    </w:p>
    <w:p w14:paraId="52755411"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4D3"/>
    <w:rsid w:val="000C4033"/>
    <w:rsid w:val="00173ED8"/>
    <w:rsid w:val="002F50B1"/>
    <w:rsid w:val="004B42CB"/>
    <w:rsid w:val="005F2B46"/>
    <w:rsid w:val="006E1731"/>
    <w:rsid w:val="00866D74"/>
    <w:rsid w:val="0087106C"/>
    <w:rsid w:val="00882A73"/>
    <w:rsid w:val="00906905"/>
    <w:rsid w:val="0095305D"/>
    <w:rsid w:val="00B10170"/>
    <w:rsid w:val="00B260B7"/>
    <w:rsid w:val="00B85331"/>
    <w:rsid w:val="00C004D3"/>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93FA"/>
  <w15:chartTrackingRefBased/>
  <w15:docId w15:val="{24C2E893-A404-4C5D-9FD9-B4EBB2D99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4D3"/>
    <w:pPr>
      <w:spacing w:after="0" w:line="276" w:lineRule="auto"/>
    </w:pPr>
    <w:rPr>
      <w:rFonts w:ascii="Times New Roman" w:eastAsiaTheme="minorEastAsia" w:hAnsi="Times New Roman"/>
      <w:kern w:val="0"/>
      <w:szCs w:val="22"/>
      <w:lang w:val="en-US"/>
      <w14:ligatures w14:val="none"/>
    </w:rPr>
  </w:style>
  <w:style w:type="paragraph" w:styleId="Heading1">
    <w:name w:val="heading 1"/>
    <w:basedOn w:val="Normal"/>
    <w:next w:val="Normal"/>
    <w:link w:val="Heading1Char"/>
    <w:uiPriority w:val="9"/>
    <w:qFormat/>
    <w:rsid w:val="00C004D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C004D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C004D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C004D3"/>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IN"/>
      <w14:ligatures w14:val="standardContextual"/>
    </w:rPr>
  </w:style>
  <w:style w:type="paragraph" w:styleId="Heading5">
    <w:name w:val="heading 5"/>
    <w:basedOn w:val="Normal"/>
    <w:next w:val="Normal"/>
    <w:link w:val="Heading5Char"/>
    <w:uiPriority w:val="9"/>
    <w:semiHidden/>
    <w:unhideWhenUsed/>
    <w:qFormat/>
    <w:rsid w:val="00C004D3"/>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IN"/>
      <w14:ligatures w14:val="standardContextual"/>
    </w:rPr>
  </w:style>
  <w:style w:type="paragraph" w:styleId="Heading6">
    <w:name w:val="heading 6"/>
    <w:basedOn w:val="Normal"/>
    <w:next w:val="Normal"/>
    <w:link w:val="Heading6Char"/>
    <w:uiPriority w:val="9"/>
    <w:semiHidden/>
    <w:unhideWhenUsed/>
    <w:qFormat/>
    <w:rsid w:val="00C004D3"/>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IN"/>
      <w14:ligatures w14:val="standardContextual"/>
    </w:rPr>
  </w:style>
  <w:style w:type="paragraph" w:styleId="Heading7">
    <w:name w:val="heading 7"/>
    <w:basedOn w:val="Normal"/>
    <w:next w:val="Normal"/>
    <w:link w:val="Heading7Char"/>
    <w:uiPriority w:val="9"/>
    <w:semiHidden/>
    <w:unhideWhenUsed/>
    <w:qFormat/>
    <w:rsid w:val="00C004D3"/>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IN"/>
      <w14:ligatures w14:val="standardContextual"/>
    </w:rPr>
  </w:style>
  <w:style w:type="paragraph" w:styleId="Heading8">
    <w:name w:val="heading 8"/>
    <w:basedOn w:val="Normal"/>
    <w:next w:val="Normal"/>
    <w:link w:val="Heading8Char"/>
    <w:uiPriority w:val="9"/>
    <w:semiHidden/>
    <w:unhideWhenUsed/>
    <w:qFormat/>
    <w:rsid w:val="00C004D3"/>
    <w:pPr>
      <w:keepNext/>
      <w:keepLines/>
      <w:spacing w:line="278" w:lineRule="auto"/>
      <w:outlineLvl w:val="7"/>
    </w:pPr>
    <w:rPr>
      <w:rFonts w:asciiTheme="minorHAnsi" w:eastAsiaTheme="majorEastAsia" w:hAnsiTheme="minorHAnsi" w:cstheme="majorBidi"/>
      <w:i/>
      <w:iCs/>
      <w:color w:val="272727" w:themeColor="text1" w:themeTint="D8"/>
      <w:kern w:val="2"/>
      <w:szCs w:val="24"/>
      <w:lang w:val="en-IN"/>
      <w14:ligatures w14:val="standardContextual"/>
    </w:rPr>
  </w:style>
  <w:style w:type="paragraph" w:styleId="Heading9">
    <w:name w:val="heading 9"/>
    <w:basedOn w:val="Normal"/>
    <w:next w:val="Normal"/>
    <w:link w:val="Heading9Char"/>
    <w:uiPriority w:val="9"/>
    <w:semiHidden/>
    <w:unhideWhenUsed/>
    <w:qFormat/>
    <w:rsid w:val="00C004D3"/>
    <w:pPr>
      <w:keepNext/>
      <w:keepLines/>
      <w:spacing w:line="278" w:lineRule="auto"/>
      <w:outlineLvl w:val="8"/>
    </w:pPr>
    <w:rPr>
      <w:rFonts w:asciiTheme="minorHAnsi" w:eastAsiaTheme="majorEastAsia" w:hAnsiTheme="minorHAnsi" w:cstheme="majorBidi"/>
      <w:color w:val="272727" w:themeColor="text1" w:themeTint="D8"/>
      <w:kern w:val="2"/>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4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4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4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4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4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4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4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4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4D3"/>
    <w:rPr>
      <w:rFonts w:eastAsiaTheme="majorEastAsia" w:cstheme="majorBidi"/>
      <w:color w:val="272727" w:themeColor="text1" w:themeTint="D8"/>
    </w:rPr>
  </w:style>
  <w:style w:type="paragraph" w:styleId="Title">
    <w:name w:val="Title"/>
    <w:basedOn w:val="Normal"/>
    <w:next w:val="Normal"/>
    <w:link w:val="TitleChar"/>
    <w:uiPriority w:val="10"/>
    <w:qFormat/>
    <w:rsid w:val="00C004D3"/>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C004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4D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C004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4D3"/>
    <w:pPr>
      <w:spacing w:before="160" w:after="160" w:line="278" w:lineRule="auto"/>
      <w:jc w:val="center"/>
    </w:pPr>
    <w:rPr>
      <w:rFonts w:asciiTheme="minorHAnsi" w:eastAsiaTheme="minorHAnsi" w:hAnsiTheme="minorHAnsi"/>
      <w:i/>
      <w:iCs/>
      <w:color w:val="404040" w:themeColor="text1" w:themeTint="BF"/>
      <w:kern w:val="2"/>
      <w:szCs w:val="24"/>
      <w:lang w:val="en-IN"/>
      <w14:ligatures w14:val="standardContextual"/>
    </w:rPr>
  </w:style>
  <w:style w:type="character" w:customStyle="1" w:styleId="QuoteChar">
    <w:name w:val="Quote Char"/>
    <w:basedOn w:val="DefaultParagraphFont"/>
    <w:link w:val="Quote"/>
    <w:uiPriority w:val="29"/>
    <w:rsid w:val="00C004D3"/>
    <w:rPr>
      <w:i/>
      <w:iCs/>
      <w:color w:val="404040" w:themeColor="text1" w:themeTint="BF"/>
    </w:rPr>
  </w:style>
  <w:style w:type="paragraph" w:styleId="ListParagraph">
    <w:name w:val="List Paragraph"/>
    <w:basedOn w:val="Normal"/>
    <w:uiPriority w:val="34"/>
    <w:qFormat/>
    <w:rsid w:val="00C004D3"/>
    <w:pPr>
      <w:spacing w:after="160" w:line="278" w:lineRule="auto"/>
      <w:ind w:left="720"/>
      <w:contextualSpacing/>
    </w:pPr>
    <w:rPr>
      <w:rFonts w:asciiTheme="minorHAnsi" w:eastAsiaTheme="minorHAnsi" w:hAnsiTheme="minorHAnsi"/>
      <w:kern w:val="2"/>
      <w:szCs w:val="24"/>
      <w:lang w:val="en-IN"/>
      <w14:ligatures w14:val="standardContextual"/>
    </w:rPr>
  </w:style>
  <w:style w:type="character" w:styleId="IntenseEmphasis">
    <w:name w:val="Intense Emphasis"/>
    <w:basedOn w:val="DefaultParagraphFont"/>
    <w:uiPriority w:val="21"/>
    <w:qFormat/>
    <w:rsid w:val="00C004D3"/>
    <w:rPr>
      <w:i/>
      <w:iCs/>
      <w:color w:val="0F4761" w:themeColor="accent1" w:themeShade="BF"/>
    </w:rPr>
  </w:style>
  <w:style w:type="paragraph" w:styleId="IntenseQuote">
    <w:name w:val="Intense Quote"/>
    <w:basedOn w:val="Normal"/>
    <w:next w:val="Normal"/>
    <w:link w:val="IntenseQuoteChar"/>
    <w:uiPriority w:val="30"/>
    <w:qFormat/>
    <w:rsid w:val="00C004D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lang w:val="en-IN"/>
      <w14:ligatures w14:val="standardContextual"/>
    </w:rPr>
  </w:style>
  <w:style w:type="character" w:customStyle="1" w:styleId="IntenseQuoteChar">
    <w:name w:val="Intense Quote Char"/>
    <w:basedOn w:val="DefaultParagraphFont"/>
    <w:link w:val="IntenseQuote"/>
    <w:uiPriority w:val="30"/>
    <w:rsid w:val="00C004D3"/>
    <w:rPr>
      <w:i/>
      <w:iCs/>
      <w:color w:val="0F4761" w:themeColor="accent1" w:themeShade="BF"/>
    </w:rPr>
  </w:style>
  <w:style w:type="character" w:styleId="IntenseReference">
    <w:name w:val="Intense Reference"/>
    <w:basedOn w:val="DefaultParagraphFont"/>
    <w:uiPriority w:val="32"/>
    <w:qFormat/>
    <w:rsid w:val="00C004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3218</Characters>
  <Application>Microsoft Office Word</Application>
  <DocSecurity>0</DocSecurity>
  <Lines>26</Lines>
  <Paragraphs>7</Paragraphs>
  <ScaleCrop>false</ScaleCrop>
  <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2026-09-11T13:17:00Z</dcterms:created>
  <dcterms:modified xsi:type="dcterms:W3CDTF">2026-09-11T13:17:00Z</dcterms:modified>
</cp:coreProperties>
</file>