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B3B13" w14:textId="77777777" w:rsidR="00E50941" w:rsidRPr="006C73D5" w:rsidRDefault="00000000" w:rsidP="006C73D5">
      <w:pPr>
        <w:pStyle w:val="Heading1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reporting-summary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Reporting Summary</w:t>
      </w:r>
    </w:p>
    <w:p w14:paraId="55763B4A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b/>
          <w:bCs/>
          <w:color w:val="000000" w:themeColor="text1"/>
        </w:rPr>
        <w:t>Manuscript title</w:t>
      </w:r>
      <w:r w:rsidRPr="006C73D5">
        <w:rPr>
          <w:rFonts w:ascii="Times New Roman" w:hAnsi="Times New Roman" w:cs="Times New Roman"/>
          <w:color w:val="000000" w:themeColor="text1"/>
        </w:rPr>
        <w:br/>
      </w:r>
      <w:r w:rsidRPr="006C73D5">
        <w:rPr>
          <w:rFonts w:ascii="Times New Roman" w:hAnsi="Times New Roman" w:cs="Times New Roman"/>
          <w:i/>
          <w:iCs/>
          <w:color w:val="000000" w:themeColor="text1"/>
        </w:rPr>
        <w:t>Preferential Ebola virus glycoprotein recognition 16–17 years after Bundibugyo virus infection</w:t>
      </w:r>
    </w:p>
    <w:p w14:paraId="33CD7B99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study-design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Study Design</w:t>
      </w:r>
    </w:p>
    <w:p w14:paraId="6D0B5DC4" w14:textId="77777777" w:rsidR="00E50941" w:rsidRPr="006C73D5" w:rsidRDefault="00000000">
      <w:pPr>
        <w:pStyle w:val="Heading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study-description"/>
      <w:r w:rsidRPr="006C73D5">
        <w:rPr>
          <w:rFonts w:ascii="Times New Roman" w:hAnsi="Times New Roman" w:cs="Times New Roman"/>
          <w:color w:val="000000" w:themeColor="text1"/>
          <w:sz w:val="24"/>
          <w:szCs w:val="24"/>
        </w:rPr>
        <w:t>Study description</w:t>
      </w:r>
    </w:p>
    <w:p w14:paraId="68192974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This cross-sectional serological study investigated the long-term magnitude, breadth and pattern of homologous and heterologous ebolavirus glycoprotein-specific IgG responses following natural Bundibugyo virus (BDBV) infection. Plasma collected approximately 16–17 years after PCR-confirmed infection was analysed using an indirect glycoprotein-specific ELISA against recombinant prefusion trimeric glycoproteins representing BDBV, Ebola virus strain Mayinga (EBOV-Mayinga), and Sudan virus strains Gulu and Boniface (SUDV-Gulu and SUDV-Boniface).</w:t>
      </w:r>
    </w:p>
    <w:p w14:paraId="28582DB8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study assessed the frequency and magnitude of glycoprotein-specific IgG recognition, relationships among antigen-specific responses, heterologous-to-homologous response ratios, and antibody breadth. Endpoint antibody titration was additionally performed for BDBV and EBOV-Mayinga in participants with detectable responses to both glycoproteins.</w:t>
      </w:r>
    </w:p>
    <w:p w14:paraId="59DEB8DE" w14:textId="77777777" w:rsidR="00E50941" w:rsidRPr="006C73D5" w:rsidRDefault="00000000">
      <w:pPr>
        <w:pStyle w:val="Heading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objective"/>
      <w:bookmarkEnd w:id="2"/>
      <w:r w:rsidRPr="006C73D5">
        <w:rPr>
          <w:rFonts w:ascii="Times New Roman" w:hAnsi="Times New Roman" w:cs="Times New Roman"/>
          <w:color w:val="000000" w:themeColor="text1"/>
          <w:sz w:val="24"/>
          <w:szCs w:val="24"/>
        </w:rPr>
        <w:t>Objective</w:t>
      </w:r>
    </w:p>
    <w:p w14:paraId="5067125C" w14:textId="77777777" w:rsidR="00E50941" w:rsidRPr="006C73D5" w:rsidRDefault="00000000" w:rsidP="006C73D5">
      <w:pPr>
        <w:pStyle w:val="FirstParagraph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To determine whether naturally acquired BDBV infection is associated with durable recognition of heterologous ebolavirus glycoproteins and to characterise the relative strength and pattern of BDBV, EBOV-Mayinga and SUDV glycoprotein recognition relevant to evaluation of current and future ebolavirus countermeasures.</w:t>
      </w:r>
    </w:p>
    <w:p w14:paraId="1D383AFA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" w:name="sample-size"/>
      <w:bookmarkEnd w:id="1"/>
      <w:bookmarkEnd w:id="3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Sample Size</w:t>
      </w:r>
    </w:p>
    <w:p w14:paraId="113B3D59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study included 40 survivors of PCR-confirmed BDBV disease from the 2007–2008 Ugandan outbreak, representing 40 of 89 documented survivors (44.9%).</w:t>
      </w:r>
    </w:p>
    <w:p w14:paraId="28AD3F79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sample size was determined by the finite size of this rare outbreak-survivor population and the number of survivors who could be successfully traced, consented and sampled, rather than by a formal prospective power calculation.</w:t>
      </w:r>
    </w:p>
    <w:p w14:paraId="1968CB05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All 40 participants had complete glycoprotein-specific IgG measurements for the four antigens evaluated and were included in the primary analysis.</w:t>
      </w:r>
    </w:p>
    <w:p w14:paraId="64412BEC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 xml:space="preserve">Endpoint antibody titration was performed in 21 participants selected </w:t>
      </w:r>
      <w:proofErr w:type="gramStart"/>
      <w:r w:rsidRPr="006C73D5">
        <w:rPr>
          <w:rFonts w:ascii="Times New Roman" w:hAnsi="Times New Roman" w:cs="Times New Roman"/>
          <w:color w:val="000000" w:themeColor="text1"/>
        </w:rPr>
        <w:t>on the basis of</w:t>
      </w:r>
      <w:proofErr w:type="gramEnd"/>
      <w:r w:rsidRPr="006C73D5">
        <w:rPr>
          <w:rFonts w:ascii="Times New Roman" w:hAnsi="Times New Roman" w:cs="Times New Roman"/>
          <w:color w:val="000000" w:themeColor="text1"/>
        </w:rPr>
        <w:t xml:space="preserve"> detectable binding to both BDBV and EBOV-Mayinga glycoproteins in the initial screening analysis.</w:t>
      </w:r>
    </w:p>
    <w:p w14:paraId="333EE3E9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data-exclusions"/>
      <w:bookmarkEnd w:id="4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Data Exclusions</w:t>
      </w:r>
    </w:p>
    <w:p w14:paraId="0EBA400F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No participants or laboratory observations were excluded from the primary analysis after laboratory testing.</w:t>
      </w:r>
    </w:p>
    <w:p w14:paraId="1A382DD5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All primary analyses included the full cohort of 40 participants.</w:t>
      </w:r>
    </w:p>
    <w:p w14:paraId="7843088F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Because prior EBOV glycoprotein-based vaccination could influence heterologous EBOV recognition, analyses were repeated after exclusion of the two participants with documented prior receipt of an EBOV glycoprotein-based vaccine (n=38).</w:t>
      </w:r>
    </w:p>
    <w:p w14:paraId="3EAC6164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lastRenderedPageBreak/>
        <w:t>One endpoint-titration sample had a response below the predefined cut-off at the starting 1:100 dilution and was classified as having an endpoint titre below the lower limit of quantification (&lt;100). For analyses requiring a numerical value, this observation was assigned a titre of 50, corresponding to one-half of the lowest dilution tested. Exclusion of this left-censored observation did not materially alter the paired comparison or correlation estimates.</w:t>
      </w:r>
    </w:p>
    <w:p w14:paraId="76211483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" w:name="replication-and-assay-quality-control"/>
      <w:bookmarkEnd w:id="5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Replication and Assay Quality Control</w:t>
      </w:r>
    </w:p>
    <w:p w14:paraId="6E1CE7F6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All screening ELISA measurements were performed in triplicate.</w:t>
      </w:r>
    </w:p>
    <w:p w14:paraId="65FBCAAA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Each analytical plate included:</w:t>
      </w:r>
    </w:p>
    <w:p w14:paraId="079AD72B" w14:textId="77777777" w:rsidR="00E50941" w:rsidRPr="006C73D5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an internal IgG reference standard (STD1</w:t>
      </w:r>
      <w:proofErr w:type="gramStart"/>
      <w:r w:rsidRPr="006C73D5">
        <w:rPr>
          <w:rFonts w:ascii="Times New Roman" w:hAnsi="Times New Roman" w:cs="Times New Roman"/>
          <w:color w:val="000000" w:themeColor="text1"/>
        </w:rPr>
        <w:t>);</w:t>
      </w:r>
      <w:proofErr w:type="gramEnd"/>
    </w:p>
    <w:p w14:paraId="5A3D4651" w14:textId="77777777" w:rsidR="00E50941" w:rsidRPr="006C73D5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 xml:space="preserve">positive-control </w:t>
      </w:r>
      <w:proofErr w:type="gramStart"/>
      <w:r w:rsidRPr="006C73D5">
        <w:rPr>
          <w:rFonts w:ascii="Times New Roman" w:hAnsi="Times New Roman" w:cs="Times New Roman"/>
          <w:color w:val="000000" w:themeColor="text1"/>
        </w:rPr>
        <w:t>specimens;</w:t>
      </w:r>
      <w:proofErr w:type="gramEnd"/>
    </w:p>
    <w:p w14:paraId="7BBF6604" w14:textId="77777777" w:rsidR="00E50941" w:rsidRPr="006C73D5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negative-control specimens; and</w:t>
      </w:r>
    </w:p>
    <w:p w14:paraId="78B9AA6D" w14:textId="77777777" w:rsidR="00E50941" w:rsidRPr="006C73D5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sample-free blank wells.</w:t>
      </w:r>
    </w:p>
    <w:p w14:paraId="05CC04EC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STD1 was tested in triplicate on every plate to assess inter-plate reproducibility and operator consistency. Plate performance was monitored using Levey–Jennings analysis, with predefined warning and acceptance limits of ±2 and ±3 standard deviations, respectively.</w:t>
      </w:r>
    </w:p>
    <w:p w14:paraId="7EE585CE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Triplicate assay precision was assessed using coefficients of variation, with a predefined acceptance criterion of ≤30%.</w:t>
      </w:r>
    </w:p>
    <w:p w14:paraId="464B3941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Endpoint titration was performed independently by two operators, with each dilution tested in triplicate. Inter-operator endpoint-titre reproducibility was evaluated using Spearman rank correlation, the median paired difference between operators, and the proportion of paired titres within one twofold dilution.</w:t>
      </w:r>
    </w:p>
    <w:p w14:paraId="4EE05166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randomisation"/>
      <w:bookmarkEnd w:id="6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Randomisation</w:t>
      </w:r>
    </w:p>
    <w:p w14:paraId="0E9F8748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Not applicable.</w:t>
      </w:r>
    </w:p>
    <w:p w14:paraId="191584BD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This was an observational cross-sectional study of a defined cohort of survivors of PCR-confirmed BDBV infection. No experimental intervention or allocation to study groups was performed.</w:t>
      </w:r>
    </w:p>
    <w:p w14:paraId="6992073F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8" w:name="blinding"/>
      <w:bookmarkEnd w:id="7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 Blinding</w:t>
      </w:r>
    </w:p>
    <w:p w14:paraId="222CEBC2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No experimental treatment allocation was performed and therefore treatment-allocation blinding was not applicable.</w:t>
      </w:r>
    </w:p>
    <w:p w14:paraId="305D2C39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Laboratory testing was conducted according to predefined assay procedures and quality-control criteria. Statistical analyses were performed according to the prespecified analytical framework.</w:t>
      </w:r>
    </w:p>
    <w:p w14:paraId="017649C6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9" w:name="statistical-methods"/>
      <w:bookmarkEnd w:id="8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 Statistical Methods</w:t>
      </w:r>
    </w:p>
    <w:p w14:paraId="31F8D3D9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 xml:space="preserve">Statistical analyses were performed using </w:t>
      </w:r>
      <w:r w:rsidRPr="006C73D5">
        <w:rPr>
          <w:rFonts w:ascii="Times New Roman" w:hAnsi="Times New Roman" w:cs="Times New Roman"/>
          <w:b/>
          <w:bCs/>
          <w:color w:val="000000" w:themeColor="text1"/>
        </w:rPr>
        <w:t>R version 4.4.1</w:t>
      </w:r>
      <w:r w:rsidRPr="006C73D5">
        <w:rPr>
          <w:rFonts w:ascii="Times New Roman" w:hAnsi="Times New Roman" w:cs="Times New Roman"/>
          <w:color w:val="000000" w:themeColor="text1"/>
        </w:rPr>
        <w:t>.</w:t>
      </w:r>
    </w:p>
    <w:p w14:paraId="31E3F809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Continuous variables were summarised as medians and interquartile ranges (IQRs). Categorical variables were summarised as counts and percentages, with exact 95% binomial confidence intervals where indicated.</w:t>
      </w:r>
    </w:p>
    <w:p w14:paraId="11AF4C33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Antigen-specific IgG responses were analysed as continuous background-subtracted OD₄₅₀ measurements and binary seropositivity outcomes.</w:t>
      </w:r>
    </w:p>
    <w:p w14:paraId="0D0AF0F9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lastRenderedPageBreak/>
        <w:t>Paired differences in antigen-specific OD₄₅₀ values were assessed using two-sided Wilcoxon signed-rank tests. The six pairwise comparisons among the four glycoprotein-specific OD₄₅₀ distributions were treated as a single family and adjusted for multiple testing using the Benjamini–Hochberg procedure.</w:t>
      </w:r>
    </w:p>
    <w:p w14:paraId="77CB3145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Associations among antigen-specific IgG responses were assessed using Spearman rank correlation coefficients with two-sided nominal P values.</w:t>
      </w:r>
    </w:p>
    <w:p w14:paraId="492E1E16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Relative heterologous binding was evaluated by calculating the ratio of each heterologous antigen-specific OD₄₅₀ value to the corresponding BDBV OD₄₅₀ value.</w:t>
      </w:r>
    </w:p>
    <w:p w14:paraId="09451760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For endpoint-titre analyses, paired BDBV and EBOV-Mayinga titres were compared using a two-sided Wilcoxon signed-rank test. Associations between BDBV and EBOV-Mayinga endpoint titres were assessed using Spearman rank correlation, with Kendall rank correlation used as an additional robustness analysis.</w:t>
      </w:r>
    </w:p>
    <w:p w14:paraId="3A9E6823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All tests were two-sided. For analyses subject to multiple-testing correction, Benjamini–Hochberg-adjusted P values &lt;0.05 were considered statistically significant; otherwise, nominal two-sided P values are reported.</w:t>
      </w:r>
    </w:p>
    <w:p w14:paraId="6A0DCB46" w14:textId="77777777" w:rsidR="00E50941" w:rsidRPr="006C73D5" w:rsidRDefault="00000000">
      <w:pPr>
        <w:pStyle w:val="Heading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seropositivity-classification"/>
      <w:r w:rsidRPr="006C73D5">
        <w:rPr>
          <w:rFonts w:ascii="Times New Roman" w:hAnsi="Times New Roman" w:cs="Times New Roman"/>
          <w:color w:val="000000" w:themeColor="text1"/>
          <w:sz w:val="24"/>
          <w:szCs w:val="24"/>
        </w:rPr>
        <w:t>Seropositivity classification</w:t>
      </w:r>
    </w:p>
    <w:p w14:paraId="2E3C1DFD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For the primary analysis, a common assay-derived seropositivity cut-off was calculated as four times the mean raw blank-well OD₄₅₀ across the four glycoprotein ELISAs. The mean blank-well OD₄₅₀ was 0.1074, yielding a cut-off of 0.4295 (reported as 0.430). According to the predefined analytical procedure, background-subtracted test-sample OD₄₅₀ values ≥0.4295 were classified as seropositive. The same cut-off was applied to BDBV, EBOV-Mayinga, SUDV-Gulu and SUDV-Boniface.</w:t>
      </w:r>
    </w:p>
    <w:p w14:paraId="5357396B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As an independent sensitivity analysis, BDBV seropositivity was evaluated using 226 biological negative-reference specimens. A BDBV-specific threshold calculated as the mean negative-reference OD₄₅₀ + 2SD yielded a cut-off of 0.469. Robustness was further assessed using geographically and epidemiologically distinct subsets of the negative-reference panel and by a scale-consistent analysis applying the four-fold mean-blank threshold directly to raw test-sample OD₄₅₀ values.</w:t>
      </w:r>
    </w:p>
    <w:p w14:paraId="544294C9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reagents"/>
      <w:bookmarkEnd w:id="9"/>
      <w:bookmarkEnd w:id="10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 Reagents</w:t>
      </w:r>
    </w:p>
    <w:p w14:paraId="1952D7D6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Recombinant prefusion trimeric glycoproteins representing:</w:t>
      </w:r>
    </w:p>
    <w:p w14:paraId="1A2EE70A" w14:textId="77777777" w:rsidR="00E50941" w:rsidRPr="006C73D5" w:rsidRDefault="00000000">
      <w:pPr>
        <w:pStyle w:val="Compac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Bundibugyo virus (BDBV</w:t>
      </w:r>
      <w:proofErr w:type="gramStart"/>
      <w:r w:rsidRPr="006C73D5">
        <w:rPr>
          <w:rFonts w:ascii="Times New Roman" w:hAnsi="Times New Roman" w:cs="Times New Roman"/>
          <w:color w:val="000000" w:themeColor="text1"/>
        </w:rPr>
        <w:t>);</w:t>
      </w:r>
      <w:proofErr w:type="gramEnd"/>
    </w:p>
    <w:p w14:paraId="14622A40" w14:textId="77777777" w:rsidR="00E50941" w:rsidRPr="006C73D5" w:rsidRDefault="00000000">
      <w:pPr>
        <w:pStyle w:val="Compac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Ebola virus, Mayinga strain (EBOV-Mayinga</w:t>
      </w:r>
      <w:proofErr w:type="gramStart"/>
      <w:r w:rsidRPr="006C73D5">
        <w:rPr>
          <w:rFonts w:ascii="Times New Roman" w:hAnsi="Times New Roman" w:cs="Times New Roman"/>
          <w:color w:val="000000" w:themeColor="text1"/>
        </w:rPr>
        <w:t>);</w:t>
      </w:r>
      <w:proofErr w:type="gramEnd"/>
    </w:p>
    <w:p w14:paraId="14FB94E5" w14:textId="77777777" w:rsidR="00E50941" w:rsidRPr="006C73D5" w:rsidRDefault="00000000">
      <w:pPr>
        <w:pStyle w:val="Compac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Sudan virus, Gulu strain (SUDV-Gulu); and</w:t>
      </w:r>
    </w:p>
    <w:p w14:paraId="128BDF26" w14:textId="77777777" w:rsidR="00E50941" w:rsidRPr="006C73D5" w:rsidRDefault="00000000">
      <w:pPr>
        <w:pStyle w:val="Compac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Sudan virus, Boniface strain (SUDV-Boniface)</w:t>
      </w:r>
    </w:p>
    <w:p w14:paraId="1AFC72FF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were used as capture antigens.</w:t>
      </w:r>
    </w:p>
    <w:p w14:paraId="61D47155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recombinant glycoproteins were obtained from Creative Diagnostics (catalogue numbers rGP-4, rGP-3, rGP-2 and rGP-1, respectively).</w:t>
      </w:r>
    </w:p>
    <w:p w14:paraId="2E0CBBC5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Additional key reagents, manufacturers and catalogue numbers are provided in the Supplementary Methods.</w:t>
      </w:r>
    </w:p>
    <w:p w14:paraId="398C5201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2" w:name="data-availability"/>
      <w:bookmarkEnd w:id="11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9. Data Availability</w:t>
      </w:r>
    </w:p>
    <w:p w14:paraId="5732B73F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data supporting the findings of this study will be available from the corresponding author upon reasonable request.</w:t>
      </w:r>
    </w:p>
    <w:p w14:paraId="4FACBF48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Individual participant-level data will not be publicly released because they contain potentially identifiable information from a small and uniquely identifiable outbreak-survivor cohort and are subject to ethical, institutional and regulatory restrictions.</w:t>
      </w:r>
    </w:p>
    <w:p w14:paraId="31330D5E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De-identified data necessary to reproduce the analyses reported in the study will be made available to qualified researchers following appropriate institutional and ethical approval and in accordance with applicable data-sharing agreements.</w:t>
      </w:r>
    </w:p>
    <w:p w14:paraId="0E948B52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Aggregate source data underlying the figures will accompany the manuscript or be deposited in an appropriate repository.</w:t>
      </w:r>
    </w:p>
    <w:p w14:paraId="73B176CB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3" w:name="code-availability"/>
      <w:bookmarkEnd w:id="12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 Code Availability</w:t>
      </w:r>
    </w:p>
    <w:p w14:paraId="7A2737D0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R code used for the statistical analyses and generation of figures will be deposited in Zenodo upon publication and assigned a digital object identifier (DOI).</w:t>
      </w:r>
    </w:p>
    <w:p w14:paraId="4D952052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No proprietary algorithms were used.</w:t>
      </w:r>
    </w:p>
    <w:p w14:paraId="6D05CA12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4" w:name="ethics"/>
      <w:bookmarkEnd w:id="13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11. Ethics</w:t>
      </w:r>
    </w:p>
    <w:p w14:paraId="1225FE0B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study was conducted in accordance with the Declaration of Helsinki and applicable national regulations.</w:t>
      </w:r>
    </w:p>
    <w:p w14:paraId="568F95E1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 xml:space="preserve">Ethical approval was obtained from the </w:t>
      </w:r>
      <w:r w:rsidRPr="006C73D5">
        <w:rPr>
          <w:rFonts w:ascii="Times New Roman" w:hAnsi="Times New Roman" w:cs="Times New Roman"/>
          <w:b/>
          <w:bCs/>
          <w:color w:val="000000" w:themeColor="text1"/>
        </w:rPr>
        <w:t>Uganda Virus Research Institute Research Ethics Committee (UVRI-REC)</w:t>
      </w:r>
      <w:r w:rsidRPr="006C73D5">
        <w:rPr>
          <w:rFonts w:ascii="Times New Roman" w:hAnsi="Times New Roman" w:cs="Times New Roman"/>
          <w:color w:val="000000" w:themeColor="text1"/>
        </w:rPr>
        <w:t>:</w:t>
      </w:r>
    </w:p>
    <w:p w14:paraId="5D75C72E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b/>
          <w:bCs/>
          <w:color w:val="000000" w:themeColor="text1"/>
        </w:rPr>
        <w:t>Reference:</w:t>
      </w:r>
      <w:r w:rsidRPr="006C73D5">
        <w:rPr>
          <w:rFonts w:ascii="Times New Roman" w:hAnsi="Times New Roman" w:cs="Times New Roman"/>
          <w:color w:val="000000" w:themeColor="text1"/>
        </w:rPr>
        <w:t xml:space="preserve"> GC/127/1045</w:t>
      </w:r>
      <w:r w:rsidRPr="006C73D5">
        <w:rPr>
          <w:rFonts w:ascii="Times New Roman" w:hAnsi="Times New Roman" w:cs="Times New Roman"/>
          <w:color w:val="000000" w:themeColor="text1"/>
        </w:rPr>
        <w:br/>
      </w:r>
      <w:r w:rsidRPr="006C73D5">
        <w:rPr>
          <w:rFonts w:ascii="Times New Roman" w:hAnsi="Times New Roman" w:cs="Times New Roman"/>
          <w:b/>
          <w:bCs/>
          <w:color w:val="000000" w:themeColor="text1"/>
        </w:rPr>
        <w:t>Approval date:</w:t>
      </w:r>
      <w:r w:rsidRPr="006C73D5">
        <w:rPr>
          <w:rFonts w:ascii="Times New Roman" w:hAnsi="Times New Roman" w:cs="Times New Roman"/>
          <w:color w:val="000000" w:themeColor="text1"/>
        </w:rPr>
        <w:t xml:space="preserve"> 9 September 2024</w:t>
      </w:r>
    </w:p>
    <w:p w14:paraId="0A6725E0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 xml:space="preserve">Regulatory approval was obtained from the </w:t>
      </w:r>
      <w:r w:rsidRPr="006C73D5">
        <w:rPr>
          <w:rFonts w:ascii="Times New Roman" w:hAnsi="Times New Roman" w:cs="Times New Roman"/>
          <w:b/>
          <w:bCs/>
          <w:color w:val="000000" w:themeColor="text1"/>
        </w:rPr>
        <w:t>Uganda National Council for Science and Technology (UNCST)</w:t>
      </w:r>
      <w:r w:rsidRPr="006C73D5">
        <w:rPr>
          <w:rFonts w:ascii="Times New Roman" w:hAnsi="Times New Roman" w:cs="Times New Roman"/>
          <w:color w:val="000000" w:themeColor="text1"/>
        </w:rPr>
        <w:t>:</w:t>
      </w:r>
    </w:p>
    <w:p w14:paraId="3224C703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b/>
          <w:bCs/>
          <w:color w:val="000000" w:themeColor="text1"/>
        </w:rPr>
        <w:t>Reference:</w:t>
      </w:r>
      <w:r w:rsidRPr="006C73D5">
        <w:rPr>
          <w:rFonts w:ascii="Times New Roman" w:hAnsi="Times New Roman" w:cs="Times New Roman"/>
          <w:color w:val="000000" w:themeColor="text1"/>
        </w:rPr>
        <w:t xml:space="preserve"> HS5212ES</w:t>
      </w:r>
      <w:r w:rsidRPr="006C73D5">
        <w:rPr>
          <w:rFonts w:ascii="Times New Roman" w:hAnsi="Times New Roman" w:cs="Times New Roman"/>
          <w:color w:val="000000" w:themeColor="text1"/>
        </w:rPr>
        <w:br/>
      </w:r>
      <w:r w:rsidRPr="006C73D5">
        <w:rPr>
          <w:rFonts w:ascii="Times New Roman" w:hAnsi="Times New Roman" w:cs="Times New Roman"/>
          <w:b/>
          <w:bCs/>
          <w:color w:val="000000" w:themeColor="text1"/>
        </w:rPr>
        <w:t>Approval date:</w:t>
      </w:r>
      <w:r w:rsidRPr="006C73D5">
        <w:rPr>
          <w:rFonts w:ascii="Times New Roman" w:hAnsi="Times New Roman" w:cs="Times New Roman"/>
          <w:color w:val="000000" w:themeColor="text1"/>
        </w:rPr>
        <w:t xml:space="preserve"> 22 November 2024</w:t>
      </w:r>
    </w:p>
    <w:p w14:paraId="47F38040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All participants provided written informed consent before study participation and specimen collection.</w:t>
      </w:r>
    </w:p>
    <w:p w14:paraId="638BFFFF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5" w:name="human-participants"/>
      <w:bookmarkEnd w:id="14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12. Human Participants</w:t>
      </w:r>
    </w:p>
    <w:p w14:paraId="0CE8D74B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Participants were survivors of PCR-confirmed BDBV disease acquired during the 2007–2008 outbreak in western Uganda and sampled approximately 16–17 years after infection.</w:t>
      </w:r>
    </w:p>
    <w:p w14:paraId="5B98232C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b/>
          <w:bCs/>
          <w:color w:val="000000" w:themeColor="text1"/>
        </w:rPr>
        <w:t>Number of participants:</w:t>
      </w:r>
      <w:r w:rsidRPr="006C73D5">
        <w:rPr>
          <w:rFonts w:ascii="Times New Roman" w:hAnsi="Times New Roman" w:cs="Times New Roman"/>
          <w:color w:val="000000" w:themeColor="text1"/>
        </w:rPr>
        <w:t xml:space="preserve"> 40</w:t>
      </w:r>
      <w:r w:rsidRPr="006C73D5">
        <w:rPr>
          <w:rFonts w:ascii="Times New Roman" w:hAnsi="Times New Roman" w:cs="Times New Roman"/>
          <w:color w:val="000000" w:themeColor="text1"/>
        </w:rPr>
        <w:br/>
      </w:r>
      <w:r w:rsidRPr="006C73D5">
        <w:rPr>
          <w:rFonts w:ascii="Times New Roman" w:hAnsi="Times New Roman" w:cs="Times New Roman"/>
          <w:b/>
          <w:bCs/>
          <w:color w:val="000000" w:themeColor="text1"/>
        </w:rPr>
        <w:t>Median age:</w:t>
      </w:r>
      <w:r w:rsidRPr="006C73D5">
        <w:rPr>
          <w:rFonts w:ascii="Times New Roman" w:hAnsi="Times New Roman" w:cs="Times New Roman"/>
          <w:color w:val="000000" w:themeColor="text1"/>
        </w:rPr>
        <w:t xml:space="preserve"> 48.5 years (IQR, 40.0–60.5)</w:t>
      </w:r>
      <w:r w:rsidRPr="006C73D5">
        <w:rPr>
          <w:rFonts w:ascii="Times New Roman" w:hAnsi="Times New Roman" w:cs="Times New Roman"/>
          <w:color w:val="000000" w:themeColor="text1"/>
        </w:rPr>
        <w:br/>
      </w:r>
      <w:r w:rsidRPr="006C73D5">
        <w:rPr>
          <w:rFonts w:ascii="Times New Roman" w:hAnsi="Times New Roman" w:cs="Times New Roman"/>
          <w:b/>
          <w:bCs/>
          <w:color w:val="000000" w:themeColor="text1"/>
        </w:rPr>
        <w:t>Male:</w:t>
      </w:r>
      <w:r w:rsidRPr="006C73D5">
        <w:rPr>
          <w:rFonts w:ascii="Times New Roman" w:hAnsi="Times New Roman" w:cs="Times New Roman"/>
          <w:color w:val="000000" w:themeColor="text1"/>
        </w:rPr>
        <w:t xml:space="preserve"> 23/40 (57.5%)</w:t>
      </w:r>
      <w:r w:rsidRPr="006C73D5">
        <w:rPr>
          <w:rFonts w:ascii="Times New Roman" w:hAnsi="Times New Roman" w:cs="Times New Roman"/>
          <w:color w:val="000000" w:themeColor="text1"/>
        </w:rPr>
        <w:br/>
      </w:r>
      <w:r w:rsidRPr="006C73D5">
        <w:rPr>
          <w:rFonts w:ascii="Times New Roman" w:hAnsi="Times New Roman" w:cs="Times New Roman"/>
          <w:b/>
          <w:bCs/>
          <w:color w:val="000000" w:themeColor="text1"/>
        </w:rPr>
        <w:t>Female:</w:t>
      </w:r>
      <w:r w:rsidRPr="006C73D5">
        <w:rPr>
          <w:rFonts w:ascii="Times New Roman" w:hAnsi="Times New Roman" w:cs="Times New Roman"/>
          <w:color w:val="000000" w:themeColor="text1"/>
        </w:rPr>
        <w:t xml:space="preserve"> 17/40 (42.5%)</w:t>
      </w:r>
    </w:p>
    <w:p w14:paraId="768A4166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6" w:name="inclusion-criteria"/>
      <w:bookmarkEnd w:id="15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13. Inclusion Criteria</w:t>
      </w:r>
    </w:p>
    <w:p w14:paraId="30FBCDE8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Participants were required to:</w:t>
      </w:r>
    </w:p>
    <w:p w14:paraId="47170DAE" w14:textId="77777777" w:rsidR="00E50941" w:rsidRPr="006C73D5" w:rsidRDefault="00000000">
      <w:pPr>
        <w:pStyle w:val="Compac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lastRenderedPageBreak/>
        <w:t xml:space="preserve">have survived PCR-confirmed BDBV infection acquired during the 2007–2008 outbreak in western </w:t>
      </w:r>
      <w:proofErr w:type="gramStart"/>
      <w:r w:rsidRPr="006C73D5">
        <w:rPr>
          <w:rFonts w:ascii="Times New Roman" w:hAnsi="Times New Roman" w:cs="Times New Roman"/>
          <w:color w:val="000000" w:themeColor="text1"/>
        </w:rPr>
        <w:t>Uganda;</w:t>
      </w:r>
      <w:proofErr w:type="gramEnd"/>
    </w:p>
    <w:p w14:paraId="5A74A23A" w14:textId="77777777" w:rsidR="00E50941" w:rsidRPr="006C73D5" w:rsidRDefault="00000000">
      <w:pPr>
        <w:pStyle w:val="Compac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be successfully traced through the established post-outbreak follow-up cohort; and</w:t>
      </w:r>
    </w:p>
    <w:p w14:paraId="478078FD" w14:textId="77777777" w:rsidR="00E50941" w:rsidRPr="006C73D5" w:rsidRDefault="00000000" w:rsidP="006C73D5">
      <w:pPr>
        <w:pStyle w:val="Compact"/>
        <w:numPr>
          <w:ilvl w:val="0"/>
          <w:numId w:val="4"/>
        </w:numPr>
        <w:spacing w:after="240"/>
        <w:ind w:left="714" w:hanging="357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provide written informed consent for participation and specimen collection.</w:t>
      </w:r>
    </w:p>
    <w:p w14:paraId="26AE6DA9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7" w:name="exclusion-criteria"/>
      <w:bookmarkEnd w:id="16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14. Exclusion Criteria</w:t>
      </w:r>
    </w:p>
    <w:p w14:paraId="0CB1A784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No participants meeting the study eligibility criteria and enrolled into the study were excluded from the primary analysis.</w:t>
      </w:r>
    </w:p>
    <w:p w14:paraId="1674327F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two participants with documented prior EBOV glycoprotein-based vaccination were retained in the primary analysis and excluded only in a prespecified sensitivity analysis assessing the potential influence of prior EBOV vaccination.</w:t>
      </w:r>
    </w:p>
    <w:p w14:paraId="02C1E6D1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8" w:name="study-limitations"/>
      <w:bookmarkEnd w:id="17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15. Study Limitations</w:t>
      </w:r>
    </w:p>
    <w:p w14:paraId="63C087A3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cross-sectional design and single late sampling time point precluded reconstruction of individual antibody trajectories or demonstration of continuous persistence throughout the intervening 16–17 years.</w:t>
      </w:r>
    </w:p>
    <w:p w14:paraId="6C205C65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Glycoprotein-binding IgG does not establish:</w:t>
      </w:r>
    </w:p>
    <w:p w14:paraId="308579EA" w14:textId="77777777" w:rsidR="00E50941" w:rsidRPr="006C73D5" w:rsidRDefault="00000000">
      <w:pPr>
        <w:pStyle w:val="Compac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 xml:space="preserve">virus </w:t>
      </w:r>
      <w:proofErr w:type="gramStart"/>
      <w:r w:rsidRPr="006C73D5">
        <w:rPr>
          <w:rFonts w:ascii="Times New Roman" w:hAnsi="Times New Roman" w:cs="Times New Roman"/>
          <w:color w:val="000000" w:themeColor="text1"/>
        </w:rPr>
        <w:t>neutralisation;</w:t>
      </w:r>
      <w:proofErr w:type="gramEnd"/>
    </w:p>
    <w:p w14:paraId="0BA2DD27" w14:textId="77777777" w:rsidR="00E50941" w:rsidRPr="006C73D5" w:rsidRDefault="00000000">
      <w:pPr>
        <w:pStyle w:val="Compac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 xml:space="preserve">Fc-mediated effector </w:t>
      </w:r>
      <w:proofErr w:type="gramStart"/>
      <w:r w:rsidRPr="006C73D5">
        <w:rPr>
          <w:rFonts w:ascii="Times New Roman" w:hAnsi="Times New Roman" w:cs="Times New Roman"/>
          <w:color w:val="000000" w:themeColor="text1"/>
        </w:rPr>
        <w:t>function;</w:t>
      </w:r>
      <w:proofErr w:type="gramEnd"/>
    </w:p>
    <w:p w14:paraId="020ADE2A" w14:textId="77777777" w:rsidR="00E50941" w:rsidRPr="006C73D5" w:rsidRDefault="00000000">
      <w:pPr>
        <w:pStyle w:val="Compac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recognition of identical conserved epitopes by the same antibody clones; or</w:t>
      </w:r>
    </w:p>
    <w:p w14:paraId="75F99F30" w14:textId="77777777" w:rsidR="00E50941" w:rsidRPr="006C73D5" w:rsidRDefault="00000000">
      <w:pPr>
        <w:pStyle w:val="Compac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protective immunity.</w:t>
      </w:r>
    </w:p>
    <w:p w14:paraId="045CDB8C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Prior natural EBOV exposure or undocumented vaccination cannot be completely excluded because EBOV nucleoprotein serology and complete longitudinal vaccination records were unavailable.</w:t>
      </w:r>
    </w:p>
    <w:p w14:paraId="795F2B80" w14:textId="77777777" w:rsidR="00E50941" w:rsidRPr="006C73D5" w:rsidRDefault="0000000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Only one recombinant glycoprotein preparation was evaluated for each virus, and antigen-specific differences in conformation, glycosylation, epitope accessibility, coating behaviour or assay dynamic range could influence absolute binding magnitude.</w:t>
      </w:r>
    </w:p>
    <w:p w14:paraId="5314BCB1" w14:textId="77777777" w:rsidR="00E50941" w:rsidRPr="006C73D5" w:rsidRDefault="00000000" w:rsidP="006C73D5">
      <w:pPr>
        <w:pStyle w:val="BodyText"/>
        <w:spacing w:after="240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primary seropositivity threshold was assay-derived. BDBV classification was therefore independently evaluated using 226 biological negative-reference specimens and geographically and epidemiologically distinct negative-reference subsets. The principal BDBV–EBOV relationship was additionally evaluated using continuous OD₄₅₀ measurements, response ratios, correlations and endpoint titres, which do not depend on binary serostatus classification.</w:t>
      </w:r>
    </w:p>
    <w:p w14:paraId="5D97C16B" w14:textId="77777777" w:rsidR="00E50941" w:rsidRPr="006C73D5" w:rsidRDefault="00000000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9" w:name="reporting-standards"/>
      <w:bookmarkEnd w:id="18"/>
      <w:r w:rsidRPr="006C7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16. Reporting Standards</w:t>
      </w:r>
    </w:p>
    <w:p w14:paraId="21E40E06" w14:textId="77777777" w:rsidR="00E50941" w:rsidRPr="006C73D5" w:rsidRDefault="00000000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The study is reported in accordance with:</w:t>
      </w:r>
    </w:p>
    <w:p w14:paraId="44FAC216" w14:textId="77777777" w:rsidR="00E50941" w:rsidRPr="006C73D5" w:rsidRDefault="00000000">
      <w:pPr>
        <w:pStyle w:val="Compact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 xml:space="preserve">STROBE recommendations for observational </w:t>
      </w:r>
      <w:proofErr w:type="gramStart"/>
      <w:r w:rsidRPr="006C73D5">
        <w:rPr>
          <w:rFonts w:ascii="Times New Roman" w:hAnsi="Times New Roman" w:cs="Times New Roman"/>
          <w:color w:val="000000" w:themeColor="text1"/>
        </w:rPr>
        <w:t>studies;</w:t>
      </w:r>
      <w:proofErr w:type="gramEnd"/>
    </w:p>
    <w:p w14:paraId="62F4B1E3" w14:textId="77777777" w:rsidR="00E50941" w:rsidRPr="006C73D5" w:rsidRDefault="00000000">
      <w:pPr>
        <w:pStyle w:val="Compact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applicable institutional laboratory quality procedures; and</w:t>
      </w:r>
    </w:p>
    <w:p w14:paraId="605940E2" w14:textId="77777777" w:rsidR="00E50941" w:rsidRPr="006C73D5" w:rsidRDefault="00000000">
      <w:pPr>
        <w:pStyle w:val="Compact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6C73D5">
        <w:rPr>
          <w:rFonts w:ascii="Times New Roman" w:hAnsi="Times New Roman" w:cs="Times New Roman"/>
          <w:color w:val="000000" w:themeColor="text1"/>
        </w:rPr>
        <w:t>predefined assay quality-control and statistical analysis procedures.</w:t>
      </w:r>
      <w:bookmarkEnd w:id="0"/>
      <w:bookmarkEnd w:id="19"/>
    </w:p>
    <w:sectPr w:rsidR="00E50941" w:rsidRPr="006C73D5" w:rsidSect="00233033">
      <w:footnotePr>
        <w:numRestart w:val="eachSect"/>
      </w:footnotePr>
      <w:pgSz w:w="12240" w:h="15840"/>
      <w:pgMar w:top="1202" w:right="877" w:bottom="89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E6ABBF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172D53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1366309">
    <w:abstractNumId w:val="0"/>
  </w:num>
  <w:num w:numId="2" w16cid:durableId="117647868">
    <w:abstractNumId w:val="1"/>
  </w:num>
  <w:num w:numId="3" w16cid:durableId="1598442524">
    <w:abstractNumId w:val="1"/>
  </w:num>
  <w:num w:numId="4" w16cid:durableId="2116973972">
    <w:abstractNumId w:val="1"/>
  </w:num>
  <w:num w:numId="5" w16cid:durableId="2080400919">
    <w:abstractNumId w:val="1"/>
  </w:num>
  <w:num w:numId="6" w16cid:durableId="961571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41"/>
    <w:rsid w:val="000613A4"/>
    <w:rsid w:val="00233033"/>
    <w:rsid w:val="006C73D5"/>
    <w:rsid w:val="00E5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3F55A5"/>
  <w15:docId w15:val="{6CCF8F89-8374-C84F-B1D8-B4EFC9A8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1733</Words>
  <Characters>9884</Characters>
  <Application>Microsoft Office Word</Application>
  <DocSecurity>0</DocSecurity>
  <Lines>82</Lines>
  <Paragraphs>23</Paragraphs>
  <ScaleCrop>false</ScaleCrop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Serwanga</dc:creator>
  <cp:keywords/>
  <cp:lastModifiedBy>Jennifer Serwanga</cp:lastModifiedBy>
  <cp:revision>3</cp:revision>
  <dcterms:created xsi:type="dcterms:W3CDTF">2026-08-02T16:52:00Z</dcterms:created>
  <dcterms:modified xsi:type="dcterms:W3CDTF">2026-08-02T16:52:00Z</dcterms:modified>
</cp:coreProperties>
</file>