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2F3E8" w14:textId="77777777" w:rsidR="00BF22DA" w:rsidRPr="00CE14C9" w:rsidRDefault="00BF22DA" w:rsidP="00BF22DA">
      <w:pPr>
        <w:pStyle w:val="pdq2pgselectionanchorcontainer"/>
        <w:spacing w:before="0" w:beforeAutospacing="0" w:after="0" w:afterAutospacing="0"/>
        <w:rPr>
          <w:rFonts w:ascii="Helvetica Neue" w:hAnsi="Helvetica Neue"/>
          <w:b/>
          <w:bCs/>
          <w:color w:val="000000"/>
          <w:sz w:val="22"/>
          <w:szCs w:val="22"/>
        </w:rPr>
      </w:pPr>
      <w:r w:rsidRPr="00CE14C9">
        <w:rPr>
          <w:rFonts w:ascii="Helvetica Neue" w:hAnsi="Helvetica Neue"/>
          <w:b/>
          <w:bCs/>
          <w:color w:val="000000"/>
          <w:sz w:val="22"/>
          <w:szCs w:val="22"/>
        </w:rPr>
        <w:t xml:space="preserve">Supplementary Table S1: Sensitivity analysis excluding participants with documented prior EBOV vaccination </w:t>
      </w:r>
    </w:p>
    <w:p w14:paraId="67C3D8AE" w14:textId="77777777" w:rsidR="00BF22DA" w:rsidRPr="00CE14C9" w:rsidRDefault="00BF22DA" w:rsidP="00BF22DA">
      <w:pPr>
        <w:pStyle w:val="pdq2pgselectionanchorcontainer"/>
        <w:spacing w:before="0" w:beforeAutospacing="0" w:after="0" w:afterAutospacing="0"/>
        <w:rPr>
          <w:rFonts w:ascii="Helvetica Neue" w:hAnsi="Helvetica Neue"/>
          <w:b/>
          <w:bCs/>
          <w:color w:val="000000"/>
          <w:sz w:val="22"/>
          <w:szCs w:val="22"/>
        </w:rPr>
      </w:pPr>
    </w:p>
    <w:tbl>
      <w:tblPr>
        <w:tblStyle w:val="TableGrid"/>
        <w:tblW w:w="9821" w:type="dxa"/>
        <w:tblInd w:w="-40" w:type="dxa"/>
        <w:tblBorders>
          <w:left w:val="none" w:sz="0" w:space="0" w:color="auto"/>
          <w:right w:val="none" w:sz="0" w:space="0" w:color="auto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017"/>
        <w:gridCol w:w="3402"/>
        <w:gridCol w:w="3402"/>
      </w:tblGrid>
      <w:tr w:rsidR="00BF22DA" w:rsidRPr="00CE14C9" w14:paraId="4250D290" w14:textId="77777777" w:rsidTr="0055328F">
        <w:trPr>
          <w:trHeight w:hRule="exact" w:val="792"/>
        </w:trPr>
        <w:tc>
          <w:tcPr>
            <w:tcW w:w="3017" w:type="dxa"/>
            <w:tcBorders>
              <w:top w:val="single" w:sz="4" w:space="0" w:color="auto"/>
              <w:bottom w:val="single" w:sz="4" w:space="0" w:color="0D0D0D" w:themeColor="text1" w:themeTint="F2"/>
            </w:tcBorders>
            <w:vAlign w:val="center"/>
          </w:tcPr>
          <w:p w14:paraId="5F5C7D66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b/>
                <w:bCs/>
                <w:sz w:val="22"/>
                <w:szCs w:val="22"/>
              </w:rPr>
            </w:pPr>
            <w:r w:rsidRPr="007A494A">
              <w:rPr>
                <w:rFonts w:ascii="Helvetica Neue" w:hAnsi="Helvetica Neue"/>
                <w:b/>
                <w:bCs/>
                <w:sz w:val="22"/>
                <w:szCs w:val="22"/>
              </w:rPr>
              <w:t>Outcome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0D0D0D" w:themeColor="text1" w:themeTint="F2"/>
            </w:tcBorders>
            <w:vAlign w:val="center"/>
          </w:tcPr>
          <w:p w14:paraId="7A43AB5C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b/>
                <w:bCs/>
                <w:sz w:val="22"/>
                <w:szCs w:val="22"/>
              </w:rPr>
            </w:pPr>
            <w:r w:rsidRPr="007A494A">
              <w:rPr>
                <w:rFonts w:ascii="Helvetica Neue" w:hAnsi="Helvetica Neue"/>
                <w:b/>
                <w:bCs/>
                <w:sz w:val="22"/>
                <w:szCs w:val="22"/>
              </w:rPr>
              <w:t xml:space="preserve">Primary analysis </w:t>
            </w:r>
          </w:p>
          <w:p w14:paraId="1111EB8D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b/>
                <w:bCs/>
                <w:sz w:val="22"/>
                <w:szCs w:val="22"/>
              </w:rPr>
            </w:pPr>
            <w:r w:rsidRPr="007A494A">
              <w:rPr>
                <w:rFonts w:ascii="Helvetica Neue" w:hAnsi="Helvetica Neue"/>
                <w:b/>
                <w:bCs/>
                <w:sz w:val="22"/>
                <w:szCs w:val="22"/>
              </w:rPr>
              <w:t>(n = 40)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0D0D0D" w:themeColor="text1" w:themeTint="F2"/>
            </w:tcBorders>
            <w:vAlign w:val="center"/>
          </w:tcPr>
          <w:p w14:paraId="77862EE6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b/>
                <w:bCs/>
                <w:sz w:val="22"/>
                <w:szCs w:val="22"/>
              </w:rPr>
            </w:pPr>
            <w:r w:rsidRPr="007A494A">
              <w:rPr>
                <w:rFonts w:ascii="Helvetica Neue" w:hAnsi="Helvetica Neue"/>
                <w:b/>
                <w:bCs/>
                <w:sz w:val="22"/>
                <w:szCs w:val="22"/>
              </w:rPr>
              <w:t xml:space="preserve">Excluding participants with documented EBOV vaccine </w:t>
            </w:r>
          </w:p>
          <w:p w14:paraId="71C233F9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b/>
                <w:bCs/>
                <w:sz w:val="22"/>
                <w:szCs w:val="22"/>
              </w:rPr>
            </w:pPr>
            <w:r w:rsidRPr="007A494A">
              <w:rPr>
                <w:rFonts w:ascii="Helvetica Neue" w:hAnsi="Helvetica Neue"/>
                <w:b/>
                <w:bCs/>
                <w:sz w:val="22"/>
                <w:szCs w:val="22"/>
              </w:rPr>
              <w:t>(n = 38)</w:t>
            </w:r>
          </w:p>
        </w:tc>
      </w:tr>
      <w:tr w:rsidR="00BF22DA" w:rsidRPr="007A494A" w14:paraId="2D4C79DC" w14:textId="77777777" w:rsidTr="0055328F">
        <w:trPr>
          <w:trHeight w:val="359"/>
        </w:trPr>
        <w:tc>
          <w:tcPr>
            <w:tcW w:w="3017" w:type="dxa"/>
            <w:tcBorders>
              <w:top w:val="single" w:sz="4" w:space="0" w:color="0D0D0D" w:themeColor="text1" w:themeTint="F2"/>
            </w:tcBorders>
            <w:vAlign w:val="center"/>
          </w:tcPr>
          <w:p w14:paraId="31AAC8F0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</w:rPr>
            </w:pPr>
            <w:r w:rsidRPr="007A494A">
              <w:rPr>
                <w:rFonts w:ascii="Helvetica Neue" w:hAnsi="Helvetica Neue"/>
                <w:sz w:val="22"/>
                <w:szCs w:val="22"/>
              </w:rPr>
              <w:t>BDBV seropositive</w:t>
            </w:r>
          </w:p>
        </w:tc>
        <w:tc>
          <w:tcPr>
            <w:tcW w:w="3402" w:type="dxa"/>
            <w:tcBorders>
              <w:top w:val="single" w:sz="4" w:space="0" w:color="0D0D0D" w:themeColor="text1" w:themeTint="F2"/>
            </w:tcBorders>
            <w:vAlign w:val="center"/>
          </w:tcPr>
          <w:p w14:paraId="7FEB64DE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</w:rPr>
            </w:pPr>
            <w:r w:rsidRPr="007A494A">
              <w:rPr>
                <w:rFonts w:ascii="Helvetica Neue" w:hAnsi="Helvetica Neue"/>
                <w:sz w:val="22"/>
                <w:szCs w:val="22"/>
              </w:rPr>
              <w:t>22/40 (55.0%; 95% CI: 38.7, 70.4)</w:t>
            </w:r>
          </w:p>
        </w:tc>
        <w:tc>
          <w:tcPr>
            <w:tcW w:w="3402" w:type="dxa"/>
            <w:tcBorders>
              <w:top w:val="single" w:sz="4" w:space="0" w:color="0D0D0D" w:themeColor="text1" w:themeTint="F2"/>
            </w:tcBorders>
            <w:vAlign w:val="center"/>
          </w:tcPr>
          <w:p w14:paraId="04899602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</w:rPr>
            </w:pPr>
            <w:r w:rsidRPr="007A494A">
              <w:rPr>
                <w:rFonts w:ascii="Helvetica Neue" w:hAnsi="Helvetica Neue"/>
                <w:sz w:val="22"/>
                <w:szCs w:val="22"/>
              </w:rPr>
              <w:t>21/38 (55.3%; 95% CI: 38.5, 71.0)</w:t>
            </w:r>
          </w:p>
        </w:tc>
      </w:tr>
      <w:tr w:rsidR="00BF22DA" w:rsidRPr="007A494A" w14:paraId="229D77C0" w14:textId="77777777" w:rsidTr="0055328F">
        <w:trPr>
          <w:trHeight w:val="359"/>
        </w:trPr>
        <w:tc>
          <w:tcPr>
            <w:tcW w:w="3017" w:type="dxa"/>
            <w:vAlign w:val="center"/>
          </w:tcPr>
          <w:p w14:paraId="69EBAA10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</w:rPr>
            </w:pPr>
            <w:r w:rsidRPr="007A494A">
              <w:rPr>
                <w:rFonts w:ascii="Helvetica Neue" w:hAnsi="Helvetica Neue"/>
                <w:sz w:val="22"/>
                <w:szCs w:val="22"/>
              </w:rPr>
              <w:t>EBOV-Mayinga seropositive</w:t>
            </w:r>
          </w:p>
        </w:tc>
        <w:tc>
          <w:tcPr>
            <w:tcW w:w="3402" w:type="dxa"/>
            <w:vAlign w:val="center"/>
          </w:tcPr>
          <w:p w14:paraId="10E80A0C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</w:rPr>
            </w:pPr>
            <w:r w:rsidRPr="007A494A">
              <w:rPr>
                <w:rFonts w:ascii="Helvetica Neue" w:hAnsi="Helvetica Neue"/>
                <w:sz w:val="22"/>
                <w:szCs w:val="22"/>
              </w:rPr>
              <w:t>23/40 (57.5%; 95% CI: 41.0, 72.6)</w:t>
            </w:r>
          </w:p>
        </w:tc>
        <w:tc>
          <w:tcPr>
            <w:tcW w:w="3402" w:type="dxa"/>
            <w:vAlign w:val="center"/>
          </w:tcPr>
          <w:p w14:paraId="30D626DB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</w:rPr>
            </w:pPr>
            <w:r w:rsidRPr="007A494A">
              <w:rPr>
                <w:rFonts w:ascii="Helvetica Neue" w:hAnsi="Helvetica Neue"/>
                <w:sz w:val="22"/>
                <w:szCs w:val="22"/>
              </w:rPr>
              <w:t>21/38 (55.3%; 95% CI: 38.5, 71.0)</w:t>
            </w:r>
          </w:p>
        </w:tc>
      </w:tr>
      <w:tr w:rsidR="00BF22DA" w:rsidRPr="007A494A" w14:paraId="1CA9F2DB" w14:textId="77777777" w:rsidTr="0055328F">
        <w:trPr>
          <w:trHeight w:val="359"/>
        </w:trPr>
        <w:tc>
          <w:tcPr>
            <w:tcW w:w="3017" w:type="dxa"/>
            <w:vAlign w:val="center"/>
          </w:tcPr>
          <w:p w14:paraId="0E07D293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</w:rPr>
            </w:pPr>
            <w:r w:rsidRPr="007A494A">
              <w:rPr>
                <w:rFonts w:ascii="Helvetica Neue" w:hAnsi="Helvetica Neue"/>
                <w:sz w:val="22"/>
                <w:szCs w:val="22"/>
              </w:rPr>
              <w:t>SUDV-Gulu seropositive</w:t>
            </w:r>
          </w:p>
        </w:tc>
        <w:tc>
          <w:tcPr>
            <w:tcW w:w="3402" w:type="dxa"/>
            <w:vAlign w:val="center"/>
          </w:tcPr>
          <w:p w14:paraId="5D26125D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</w:rPr>
            </w:pPr>
            <w:r w:rsidRPr="007A494A">
              <w:rPr>
                <w:rFonts w:ascii="Helvetica Neue" w:hAnsi="Helvetica Neue"/>
                <w:sz w:val="22"/>
                <w:szCs w:val="22"/>
              </w:rPr>
              <w:t>5/40 (12.5%; 95% CI: 4.7, 27.6)</w:t>
            </w:r>
          </w:p>
        </w:tc>
        <w:tc>
          <w:tcPr>
            <w:tcW w:w="3402" w:type="dxa"/>
            <w:vAlign w:val="center"/>
          </w:tcPr>
          <w:p w14:paraId="189B6622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</w:rPr>
            </w:pPr>
            <w:r w:rsidRPr="007A494A">
              <w:rPr>
                <w:rFonts w:ascii="Helvetica Neue" w:hAnsi="Helvetica Neue"/>
                <w:sz w:val="22"/>
                <w:szCs w:val="22"/>
              </w:rPr>
              <w:t>4/38 (10.5%; 95% CI: 3.4, 25.7)</w:t>
            </w:r>
          </w:p>
        </w:tc>
      </w:tr>
      <w:tr w:rsidR="00BF22DA" w:rsidRPr="007A494A" w14:paraId="07FC6E06" w14:textId="77777777" w:rsidTr="0055328F">
        <w:trPr>
          <w:trHeight w:val="359"/>
        </w:trPr>
        <w:tc>
          <w:tcPr>
            <w:tcW w:w="3017" w:type="dxa"/>
            <w:vAlign w:val="center"/>
          </w:tcPr>
          <w:p w14:paraId="3ED6807E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</w:rPr>
            </w:pPr>
            <w:r w:rsidRPr="007A494A">
              <w:rPr>
                <w:rFonts w:ascii="Helvetica Neue" w:hAnsi="Helvetica Neue"/>
                <w:sz w:val="22"/>
                <w:szCs w:val="22"/>
              </w:rPr>
              <w:t>SUDV-Boniface seropositive</w:t>
            </w:r>
          </w:p>
        </w:tc>
        <w:tc>
          <w:tcPr>
            <w:tcW w:w="3402" w:type="dxa"/>
            <w:vAlign w:val="center"/>
          </w:tcPr>
          <w:p w14:paraId="460C3FCF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</w:rPr>
            </w:pPr>
            <w:r w:rsidRPr="007A494A">
              <w:rPr>
                <w:rFonts w:ascii="Helvetica Neue" w:hAnsi="Helvetica Neue"/>
                <w:sz w:val="22"/>
                <w:szCs w:val="22"/>
              </w:rPr>
              <w:t>3/40 (7.5%; 95% CI: 2.0, 21.5)</w:t>
            </w:r>
          </w:p>
        </w:tc>
        <w:tc>
          <w:tcPr>
            <w:tcW w:w="3402" w:type="dxa"/>
            <w:vAlign w:val="center"/>
          </w:tcPr>
          <w:p w14:paraId="5EF8C077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</w:rPr>
            </w:pPr>
            <w:r w:rsidRPr="007A494A">
              <w:rPr>
                <w:rFonts w:ascii="Helvetica Neue" w:hAnsi="Helvetica Neue"/>
                <w:sz w:val="22"/>
                <w:szCs w:val="22"/>
              </w:rPr>
              <w:t>2/38 (5.3%; 95% CI: 0.9, 19.1)</w:t>
            </w:r>
          </w:p>
        </w:tc>
      </w:tr>
      <w:tr w:rsidR="00BF22DA" w:rsidRPr="007A494A" w14:paraId="74925318" w14:textId="77777777" w:rsidTr="0055328F">
        <w:trPr>
          <w:trHeight w:val="359"/>
        </w:trPr>
        <w:tc>
          <w:tcPr>
            <w:tcW w:w="3017" w:type="dxa"/>
            <w:vAlign w:val="center"/>
          </w:tcPr>
          <w:p w14:paraId="7A159905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</w:rPr>
            </w:pPr>
            <w:r w:rsidRPr="007A494A">
              <w:rPr>
                <w:rFonts w:ascii="Helvetica Neue" w:hAnsi="Helvetica Neue"/>
                <w:sz w:val="22"/>
                <w:szCs w:val="22"/>
              </w:rPr>
              <w:t>BDBV+ and EBOV-Mayinga+</w:t>
            </w:r>
          </w:p>
        </w:tc>
        <w:tc>
          <w:tcPr>
            <w:tcW w:w="3402" w:type="dxa"/>
            <w:vAlign w:val="center"/>
          </w:tcPr>
          <w:p w14:paraId="299C418A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</w:rPr>
            </w:pPr>
            <w:r w:rsidRPr="007A494A">
              <w:rPr>
                <w:rFonts w:ascii="Helvetica Neue" w:hAnsi="Helvetica Neue"/>
                <w:sz w:val="22"/>
                <w:szCs w:val="22"/>
              </w:rPr>
              <w:t>20/40 (50.0%; 95% CI:35.2, 64.8)</w:t>
            </w:r>
          </w:p>
        </w:tc>
        <w:tc>
          <w:tcPr>
            <w:tcW w:w="3402" w:type="dxa"/>
            <w:vAlign w:val="center"/>
          </w:tcPr>
          <w:p w14:paraId="6A8B1430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</w:rPr>
            </w:pPr>
            <w:r w:rsidRPr="007A494A">
              <w:rPr>
                <w:rFonts w:ascii="Helvetica Neue" w:hAnsi="Helvetica Neue"/>
                <w:sz w:val="22"/>
                <w:szCs w:val="22"/>
              </w:rPr>
              <w:t>19/38 (50.0%; 95% CI: 34.8, 65.2)</w:t>
            </w:r>
          </w:p>
        </w:tc>
      </w:tr>
      <w:tr w:rsidR="00BF22DA" w:rsidRPr="007A494A" w14:paraId="1E5DEA60" w14:textId="77777777" w:rsidTr="0055328F">
        <w:trPr>
          <w:trHeight w:val="359"/>
        </w:trPr>
        <w:tc>
          <w:tcPr>
            <w:tcW w:w="3017" w:type="dxa"/>
            <w:vAlign w:val="center"/>
          </w:tcPr>
          <w:p w14:paraId="2C8AC1DF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</w:rPr>
            </w:pPr>
            <w:r w:rsidRPr="007A494A">
              <w:rPr>
                <w:rFonts w:ascii="Helvetica Neue" w:hAnsi="Helvetica Neue"/>
                <w:sz w:val="22"/>
                <w:szCs w:val="22"/>
              </w:rPr>
              <w:t>BDBV+ and any other + strain</w:t>
            </w:r>
          </w:p>
        </w:tc>
        <w:tc>
          <w:tcPr>
            <w:tcW w:w="3402" w:type="dxa"/>
            <w:vAlign w:val="center"/>
          </w:tcPr>
          <w:p w14:paraId="623C4F1E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</w:rPr>
            </w:pPr>
            <w:r w:rsidRPr="007A494A">
              <w:rPr>
                <w:rFonts w:ascii="Helvetica Neue" w:hAnsi="Helvetica Neue"/>
                <w:sz w:val="22"/>
                <w:szCs w:val="22"/>
              </w:rPr>
              <w:t>20/40 (50.0%; 95% CI: 35.2, 64.8)</w:t>
            </w:r>
          </w:p>
        </w:tc>
        <w:tc>
          <w:tcPr>
            <w:tcW w:w="3402" w:type="dxa"/>
            <w:vAlign w:val="center"/>
          </w:tcPr>
          <w:p w14:paraId="3EB41A33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</w:rPr>
            </w:pPr>
            <w:r w:rsidRPr="007A494A">
              <w:rPr>
                <w:rFonts w:ascii="Helvetica Neue" w:hAnsi="Helvetica Neue"/>
                <w:sz w:val="22"/>
                <w:szCs w:val="22"/>
              </w:rPr>
              <w:t>19/38 (50.0%; 95% CI: 34.8, 65.2)</w:t>
            </w:r>
          </w:p>
        </w:tc>
      </w:tr>
      <w:tr w:rsidR="00BF22DA" w:rsidRPr="007A494A" w14:paraId="2F380FEC" w14:textId="77777777" w:rsidTr="0055328F">
        <w:trPr>
          <w:trHeight w:val="359"/>
        </w:trPr>
        <w:tc>
          <w:tcPr>
            <w:tcW w:w="3017" w:type="dxa"/>
            <w:vAlign w:val="center"/>
          </w:tcPr>
          <w:p w14:paraId="13F5222B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</w:rPr>
            </w:pPr>
            <w:r w:rsidRPr="007A494A">
              <w:rPr>
                <w:rFonts w:ascii="Helvetica Neue" w:hAnsi="Helvetica Neue"/>
                <w:sz w:val="22"/>
                <w:szCs w:val="22"/>
              </w:rPr>
              <w:t>All four strains +</w:t>
            </w:r>
          </w:p>
        </w:tc>
        <w:tc>
          <w:tcPr>
            <w:tcW w:w="3402" w:type="dxa"/>
            <w:vAlign w:val="center"/>
          </w:tcPr>
          <w:p w14:paraId="3E2C956D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</w:rPr>
            </w:pPr>
            <w:r w:rsidRPr="007A494A">
              <w:rPr>
                <w:rFonts w:ascii="Helvetica Neue" w:hAnsi="Helvetica Neue"/>
                <w:sz w:val="22"/>
                <w:szCs w:val="22"/>
              </w:rPr>
              <w:t>3/40 (7.5%; 95% CI: 2.0, 21.5)</w:t>
            </w:r>
          </w:p>
        </w:tc>
        <w:tc>
          <w:tcPr>
            <w:tcW w:w="3402" w:type="dxa"/>
            <w:vAlign w:val="center"/>
          </w:tcPr>
          <w:p w14:paraId="4F6D4D37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</w:rPr>
            </w:pPr>
            <w:r w:rsidRPr="007A494A">
              <w:rPr>
                <w:rFonts w:ascii="Helvetica Neue" w:hAnsi="Helvetica Neue"/>
                <w:sz w:val="22"/>
                <w:szCs w:val="22"/>
              </w:rPr>
              <w:t>2/38 (5.3%; 95% CI: 0.92, 19.1)</w:t>
            </w:r>
          </w:p>
        </w:tc>
      </w:tr>
    </w:tbl>
    <w:p w14:paraId="14C79B84" w14:textId="77777777" w:rsidR="00BF22DA" w:rsidRPr="00CE14C9" w:rsidRDefault="00BF22DA" w:rsidP="00BF22DA">
      <w:pPr>
        <w:pStyle w:val="pdq2pgselectionanchorcontainer"/>
        <w:spacing w:before="120" w:beforeAutospacing="0" w:line="276" w:lineRule="auto"/>
        <w:rPr>
          <w:rFonts w:ascii="Helvetica Neue" w:hAnsi="Helvetica Neue"/>
          <w:color w:val="000000"/>
          <w:sz w:val="22"/>
          <w:szCs w:val="22"/>
        </w:rPr>
      </w:pPr>
      <w:r w:rsidRPr="00CE14C9">
        <w:rPr>
          <w:rFonts w:ascii="Helvetica Neue" w:hAnsi="Helvetica Neue"/>
          <w:color w:val="000000"/>
          <w:sz w:val="22"/>
          <w:szCs w:val="22"/>
        </w:rPr>
        <w:t>Comparison of glycoprotein-specific seropositivity and recognition profiles in the full cohort of 40 PCR-confirmed BDBV survivors and after exclusion of the two participants with documented prior receipt of an EBOV glycoprotein-based vaccine (n = 38). Seropositivity was defined as background-subtracted test-sample OD₄₅₀ ≥0.4295. The threshold was calculated as four times the mean raw blank-well OD₄₅₀ (mean=0.1074) and applied to background-subtracted test-sample values according to the predefined primary analytical procedure. Heterologous recognition was defined as seropositivity to at least one of EBOV-Mayinga, SUDV-Gulu or SUDV-Boniface glycoproteins. Values are</w:t>
      </w:r>
      <w:r w:rsidRPr="00CE14C9">
        <w:rPr>
          <w:rStyle w:val="apple-converted-space"/>
          <w:rFonts w:ascii="Helvetica Neue" w:hAnsi="Helvetica Neue"/>
          <w:color w:val="000000"/>
          <w:sz w:val="22"/>
          <w:szCs w:val="22"/>
        </w:rPr>
        <w:t> </w:t>
      </w:r>
      <w:r w:rsidRPr="00CE14C9">
        <w:rPr>
          <w:rStyle w:val="Emphasis"/>
          <w:rFonts w:ascii="Helvetica Neue" w:hAnsi="Helvetica Neue"/>
          <w:color w:val="000000"/>
          <w:sz w:val="22"/>
          <w:szCs w:val="22"/>
        </w:rPr>
        <w:t>n/N</w:t>
      </w:r>
      <w:r w:rsidRPr="00CE14C9">
        <w:rPr>
          <w:rStyle w:val="apple-converted-space"/>
          <w:rFonts w:ascii="Helvetica Neue" w:hAnsi="Helvetica Neue"/>
          <w:color w:val="000000"/>
          <w:sz w:val="22"/>
          <w:szCs w:val="22"/>
        </w:rPr>
        <w:t> </w:t>
      </w:r>
      <w:r w:rsidRPr="00CE14C9">
        <w:rPr>
          <w:rFonts w:ascii="Helvetica Neue" w:hAnsi="Helvetica Neue"/>
          <w:color w:val="000000"/>
          <w:sz w:val="22"/>
          <w:szCs w:val="22"/>
        </w:rPr>
        <w:t>(%) with exact 95% binomial confidence intervals.</w:t>
      </w:r>
    </w:p>
    <w:p w14:paraId="48A5D512" w14:textId="77777777" w:rsidR="00BF22DA" w:rsidRPr="007A494A" w:rsidRDefault="00BF22DA" w:rsidP="00BF22DA">
      <w:pPr>
        <w:pStyle w:val="pdq2pgselectionanchorcontainer"/>
        <w:rPr>
          <w:rFonts w:ascii="Helvetica Neue" w:hAnsi="Helvetica Neue"/>
          <w:color w:val="000000"/>
          <w:sz w:val="22"/>
          <w:szCs w:val="22"/>
        </w:rPr>
      </w:pPr>
    </w:p>
    <w:p w14:paraId="1CEBDD45" w14:textId="77777777" w:rsidR="00BF22DA" w:rsidRPr="00CE14C9" w:rsidRDefault="00BF22DA" w:rsidP="00BF22DA">
      <w:pPr>
        <w:spacing w:line="240" w:lineRule="auto"/>
        <w:rPr>
          <w:rStyle w:val="Strong"/>
          <w:rFonts w:ascii="Helvetica Neue" w:hAnsi="Helvetica Neue"/>
          <w:color w:val="000000"/>
          <w:sz w:val="22"/>
          <w:szCs w:val="22"/>
        </w:rPr>
      </w:pPr>
      <w:r w:rsidRPr="00CE14C9">
        <w:rPr>
          <w:rStyle w:val="Strong"/>
          <w:rFonts w:ascii="Helvetica Neue" w:hAnsi="Helvetica Neue"/>
          <w:b w:val="0"/>
          <w:bCs w:val="0"/>
          <w:color w:val="000000"/>
          <w:sz w:val="22"/>
          <w:szCs w:val="22"/>
        </w:rPr>
        <w:br w:type="page"/>
      </w:r>
    </w:p>
    <w:p w14:paraId="1F946FB8" w14:textId="77777777" w:rsidR="00BF22DA" w:rsidRPr="00CE14C9" w:rsidRDefault="00BF22DA" w:rsidP="00BF22DA">
      <w:pPr>
        <w:pStyle w:val="Heading3"/>
        <w:spacing w:after="240" w:line="360" w:lineRule="auto"/>
        <w:rPr>
          <w:rFonts w:ascii="Helvetica Neue" w:hAnsi="Helvetica Neue"/>
          <w:color w:val="000000"/>
          <w:sz w:val="22"/>
          <w:szCs w:val="22"/>
        </w:rPr>
      </w:pPr>
      <w:r w:rsidRPr="00CE14C9">
        <w:rPr>
          <w:rStyle w:val="Strong"/>
          <w:rFonts w:ascii="Helvetica Neue" w:hAnsi="Helvetica Neue"/>
          <w:color w:val="000000"/>
          <w:sz w:val="22"/>
          <w:szCs w:val="22"/>
        </w:rPr>
        <w:lastRenderedPageBreak/>
        <w:t xml:space="preserve">Supplementary Table S2. </w:t>
      </w:r>
      <w:r w:rsidRPr="00CE14C9">
        <w:rPr>
          <w:rFonts w:ascii="Helvetica Neue" w:hAnsi="Helvetica Neue"/>
          <w:color w:val="000000"/>
          <w:sz w:val="22"/>
          <w:szCs w:val="22"/>
        </w:rPr>
        <w:t>Sensitivity analysis of BDBV seropositivity classification using alternative negative-reference panels</w:t>
      </w:r>
    </w:p>
    <w:tbl>
      <w:tblPr>
        <w:tblStyle w:val="TableGrid"/>
        <w:tblW w:w="10315" w:type="dxa"/>
        <w:tblInd w:w="-431" w:type="dxa"/>
        <w:tblBorders>
          <w:top w:val="single" w:sz="4" w:space="0" w:color="000000" w:themeColor="text1"/>
          <w:left w:val="none" w:sz="0" w:space="0" w:color="auto"/>
          <w:right w:val="none" w:sz="0" w:space="0" w:color="auto"/>
          <w:insideH w:val="single" w:sz="4" w:space="0" w:color="000000" w:themeColor="text1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5"/>
        <w:gridCol w:w="1153"/>
        <w:gridCol w:w="1710"/>
        <w:gridCol w:w="1286"/>
        <w:gridCol w:w="1644"/>
        <w:gridCol w:w="2087"/>
      </w:tblGrid>
      <w:tr w:rsidR="00BF22DA" w:rsidRPr="007A494A" w14:paraId="3199CE41" w14:textId="77777777" w:rsidTr="0055328F">
        <w:trPr>
          <w:trHeight w:hRule="exact" w:val="805"/>
        </w:trPr>
        <w:tc>
          <w:tcPr>
            <w:tcW w:w="2435" w:type="dxa"/>
            <w:vAlign w:val="center"/>
          </w:tcPr>
          <w:p w14:paraId="1C8E9C8B" w14:textId="77777777" w:rsidR="00BF22DA" w:rsidRPr="007A494A" w:rsidRDefault="00BF22DA" w:rsidP="0055328F">
            <w:pPr>
              <w:spacing w:line="240" w:lineRule="auto"/>
              <w:contextualSpacing/>
              <w:rPr>
                <w:rFonts w:ascii="Helvetica Neue" w:hAnsi="Helvetica Neue"/>
                <w:b/>
                <w:bCs/>
                <w:sz w:val="22"/>
                <w:szCs w:val="22"/>
                <w:lang w:val="en-GB"/>
              </w:rPr>
            </w:pPr>
            <w:r w:rsidRPr="007A494A">
              <w:rPr>
                <w:rFonts w:ascii="Helvetica Neue" w:hAnsi="Helvetica Neue"/>
                <w:b/>
                <w:bCs/>
                <w:sz w:val="22"/>
                <w:szCs w:val="22"/>
                <w:lang w:val="en-GB"/>
              </w:rPr>
              <w:t>Negative reference panel</w:t>
            </w:r>
          </w:p>
        </w:tc>
        <w:tc>
          <w:tcPr>
            <w:tcW w:w="1153" w:type="dxa"/>
            <w:vAlign w:val="center"/>
          </w:tcPr>
          <w:p w14:paraId="26184AE7" w14:textId="77777777" w:rsidR="00BF22DA" w:rsidRPr="007A494A" w:rsidRDefault="00BF22DA" w:rsidP="0055328F">
            <w:pPr>
              <w:spacing w:line="240" w:lineRule="auto"/>
              <w:contextualSpacing/>
              <w:rPr>
                <w:rFonts w:ascii="Helvetica Neue" w:hAnsi="Helvetica Neue"/>
                <w:b/>
                <w:bCs/>
                <w:sz w:val="22"/>
                <w:szCs w:val="22"/>
                <w:lang w:val="en-GB"/>
              </w:rPr>
            </w:pPr>
            <w:r w:rsidRPr="007A494A">
              <w:rPr>
                <w:rFonts w:ascii="Helvetica Neue" w:hAnsi="Helvetica Neue"/>
                <w:b/>
                <w:bCs/>
                <w:sz w:val="22"/>
                <w:szCs w:val="22"/>
                <w:lang w:val="en-GB"/>
              </w:rPr>
              <w:t>n</w:t>
            </w:r>
          </w:p>
        </w:tc>
        <w:tc>
          <w:tcPr>
            <w:tcW w:w="1710" w:type="dxa"/>
            <w:vAlign w:val="center"/>
          </w:tcPr>
          <w:p w14:paraId="0CFE418F" w14:textId="77777777" w:rsidR="00BF22DA" w:rsidRPr="007A494A" w:rsidRDefault="00BF22DA" w:rsidP="0055328F">
            <w:pPr>
              <w:spacing w:line="240" w:lineRule="auto"/>
              <w:contextualSpacing/>
              <w:rPr>
                <w:rFonts w:ascii="Helvetica Neue" w:hAnsi="Helvetica Neue"/>
                <w:b/>
                <w:bCs/>
                <w:sz w:val="22"/>
                <w:szCs w:val="22"/>
                <w:lang w:val="en-GB"/>
              </w:rPr>
            </w:pPr>
            <w:r w:rsidRPr="007A494A">
              <w:rPr>
                <w:rFonts w:ascii="Helvetica Neue" w:hAnsi="Helvetica Neue"/>
                <w:b/>
                <w:bCs/>
                <w:sz w:val="22"/>
                <w:szCs w:val="22"/>
                <w:lang w:val="en-GB"/>
              </w:rPr>
              <w:t>Median OD</w:t>
            </w:r>
            <w:r w:rsidRPr="007A494A">
              <w:rPr>
                <w:rFonts w:ascii="Helvetica Neue" w:hAnsi="Helvetica Neue"/>
                <w:b/>
                <w:bCs/>
                <w:sz w:val="22"/>
                <w:szCs w:val="22"/>
                <w:vertAlign w:val="subscript"/>
                <w:lang w:val="en-GB"/>
              </w:rPr>
              <w:t xml:space="preserve">450 </w:t>
            </w:r>
          </w:p>
          <w:p w14:paraId="1125C2ED" w14:textId="77777777" w:rsidR="00BF22DA" w:rsidRPr="007A494A" w:rsidRDefault="00BF22DA" w:rsidP="0055328F">
            <w:pPr>
              <w:spacing w:line="240" w:lineRule="auto"/>
              <w:contextualSpacing/>
              <w:rPr>
                <w:rFonts w:ascii="Helvetica Neue" w:hAnsi="Helvetica Neue"/>
                <w:b/>
                <w:bCs/>
                <w:sz w:val="22"/>
                <w:szCs w:val="22"/>
                <w:lang w:val="en-GB"/>
              </w:rPr>
            </w:pPr>
            <w:r w:rsidRPr="007A494A">
              <w:rPr>
                <w:rFonts w:ascii="Helvetica Neue" w:hAnsi="Helvetica Neue"/>
                <w:b/>
                <w:bCs/>
                <w:sz w:val="22"/>
                <w:szCs w:val="22"/>
                <w:lang w:val="en-GB"/>
              </w:rPr>
              <w:t>(IQR)</w:t>
            </w:r>
          </w:p>
        </w:tc>
        <w:tc>
          <w:tcPr>
            <w:tcW w:w="1286" w:type="dxa"/>
            <w:vAlign w:val="center"/>
          </w:tcPr>
          <w:p w14:paraId="70B3A582" w14:textId="77777777" w:rsidR="00BF22DA" w:rsidRPr="007A494A" w:rsidRDefault="00BF22DA" w:rsidP="0055328F">
            <w:pPr>
              <w:spacing w:line="240" w:lineRule="auto"/>
              <w:contextualSpacing/>
              <w:rPr>
                <w:rFonts w:ascii="Helvetica Neue" w:hAnsi="Helvetica Neue"/>
                <w:b/>
                <w:bCs/>
                <w:sz w:val="22"/>
                <w:szCs w:val="22"/>
                <w:lang w:val="en-GB"/>
              </w:rPr>
            </w:pPr>
            <w:r w:rsidRPr="007A494A">
              <w:rPr>
                <w:rFonts w:ascii="Helvetica Neue" w:hAnsi="Helvetica Neue"/>
                <w:b/>
                <w:bCs/>
                <w:sz w:val="22"/>
                <w:szCs w:val="22"/>
                <w:lang w:val="en-GB"/>
              </w:rPr>
              <w:t>Mean</w:t>
            </w:r>
          </w:p>
          <w:p w14:paraId="36E15AE6" w14:textId="77777777" w:rsidR="00BF22DA" w:rsidRPr="007A494A" w:rsidRDefault="00BF22DA" w:rsidP="0055328F">
            <w:pPr>
              <w:spacing w:line="240" w:lineRule="auto"/>
              <w:contextualSpacing/>
              <w:rPr>
                <w:rFonts w:ascii="Helvetica Neue" w:hAnsi="Helvetica Neue"/>
                <w:b/>
                <w:bCs/>
                <w:sz w:val="22"/>
                <w:szCs w:val="22"/>
                <w:lang w:val="en-GB"/>
              </w:rPr>
            </w:pPr>
            <w:r w:rsidRPr="007A494A">
              <w:rPr>
                <w:rFonts w:ascii="Helvetica Neue" w:hAnsi="Helvetica Neue"/>
                <w:b/>
                <w:bCs/>
                <w:sz w:val="22"/>
                <w:szCs w:val="22"/>
                <w:lang w:val="en-GB"/>
              </w:rPr>
              <w:t>(SD)</w:t>
            </w:r>
          </w:p>
        </w:tc>
        <w:tc>
          <w:tcPr>
            <w:tcW w:w="1644" w:type="dxa"/>
            <w:vAlign w:val="center"/>
          </w:tcPr>
          <w:p w14:paraId="7E68E7F7" w14:textId="77777777" w:rsidR="00BF22DA" w:rsidRPr="007A494A" w:rsidRDefault="00BF22DA" w:rsidP="0055328F">
            <w:pPr>
              <w:spacing w:line="240" w:lineRule="auto"/>
              <w:contextualSpacing/>
              <w:rPr>
                <w:rFonts w:ascii="Helvetica Neue" w:hAnsi="Helvetica Neue"/>
                <w:b/>
                <w:bCs/>
                <w:sz w:val="22"/>
                <w:szCs w:val="22"/>
                <w:lang w:val="en-GB"/>
              </w:rPr>
            </w:pPr>
            <w:r w:rsidRPr="007A494A">
              <w:rPr>
                <w:rFonts w:ascii="Helvetica Neue" w:hAnsi="Helvetica Neue"/>
                <w:b/>
                <w:bCs/>
                <w:sz w:val="22"/>
                <w:szCs w:val="22"/>
                <w:lang w:val="en-GB"/>
              </w:rPr>
              <w:t>Cut-off</w:t>
            </w:r>
          </w:p>
          <w:p w14:paraId="1997FAB3" w14:textId="77777777" w:rsidR="00BF22DA" w:rsidRPr="007A494A" w:rsidRDefault="00BF22DA" w:rsidP="0055328F">
            <w:pPr>
              <w:spacing w:line="240" w:lineRule="auto"/>
              <w:contextualSpacing/>
              <w:rPr>
                <w:rFonts w:ascii="Helvetica Neue" w:hAnsi="Helvetica Neue"/>
                <w:b/>
                <w:bCs/>
                <w:sz w:val="22"/>
                <w:szCs w:val="22"/>
                <w:lang w:val="en-GB"/>
              </w:rPr>
            </w:pPr>
            <w:r w:rsidRPr="007A494A">
              <w:rPr>
                <w:rFonts w:ascii="Helvetica Neue" w:hAnsi="Helvetica Neue"/>
                <w:b/>
                <w:bCs/>
                <w:sz w:val="22"/>
                <w:szCs w:val="22"/>
                <w:lang w:val="en-GB"/>
              </w:rPr>
              <w:t>(Mean + 2SD)</w:t>
            </w:r>
          </w:p>
        </w:tc>
        <w:tc>
          <w:tcPr>
            <w:tcW w:w="2087" w:type="dxa"/>
            <w:vAlign w:val="center"/>
          </w:tcPr>
          <w:p w14:paraId="76796430" w14:textId="77777777" w:rsidR="00BF22DA" w:rsidRPr="007A494A" w:rsidRDefault="00BF22DA" w:rsidP="0055328F">
            <w:pPr>
              <w:spacing w:line="240" w:lineRule="auto"/>
              <w:contextualSpacing/>
              <w:rPr>
                <w:rFonts w:ascii="Helvetica Neue" w:hAnsi="Helvetica Neue"/>
                <w:b/>
                <w:bCs/>
                <w:sz w:val="22"/>
                <w:szCs w:val="22"/>
                <w:lang w:val="en-GB"/>
              </w:rPr>
            </w:pPr>
            <w:r w:rsidRPr="007A494A">
              <w:rPr>
                <w:rFonts w:ascii="Helvetica Neue" w:hAnsi="Helvetica Neue"/>
                <w:b/>
                <w:bCs/>
                <w:sz w:val="22"/>
                <w:szCs w:val="22"/>
                <w:lang w:val="en-GB"/>
              </w:rPr>
              <w:t>Seropositive survivors</w:t>
            </w:r>
          </w:p>
          <w:p w14:paraId="2A058A5D" w14:textId="77777777" w:rsidR="00BF22DA" w:rsidRPr="007A494A" w:rsidRDefault="00BF22DA" w:rsidP="0055328F">
            <w:pPr>
              <w:spacing w:line="240" w:lineRule="auto"/>
              <w:contextualSpacing/>
              <w:rPr>
                <w:rFonts w:ascii="Helvetica Neue" w:hAnsi="Helvetica Neue"/>
                <w:b/>
                <w:bCs/>
                <w:sz w:val="22"/>
                <w:szCs w:val="22"/>
                <w:lang w:val="en-GB"/>
              </w:rPr>
            </w:pPr>
          </w:p>
        </w:tc>
      </w:tr>
      <w:tr w:rsidR="00BF22DA" w:rsidRPr="007A494A" w14:paraId="1CFD0A52" w14:textId="77777777" w:rsidTr="0055328F">
        <w:trPr>
          <w:trHeight w:val="672"/>
        </w:trPr>
        <w:tc>
          <w:tcPr>
            <w:tcW w:w="2435" w:type="dxa"/>
            <w:vAlign w:val="center"/>
          </w:tcPr>
          <w:p w14:paraId="748A5D7D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  <w:lang w:val="en-GB"/>
              </w:rPr>
            </w:pPr>
            <w:r w:rsidRPr="007A494A">
              <w:rPr>
                <w:rFonts w:ascii="Helvetica Neue" w:hAnsi="Helvetica Neue"/>
                <w:sz w:val="22"/>
                <w:szCs w:val="22"/>
                <w:lang w:val="en-GB"/>
              </w:rPr>
              <w:t>Combined negative</w:t>
            </w:r>
            <w:r>
              <w:rPr>
                <w:rFonts w:ascii="Helvetica Neue" w:hAnsi="Helvetica Neue"/>
                <w:sz w:val="22"/>
                <w:szCs w:val="22"/>
                <w:lang w:val="en-GB"/>
              </w:rPr>
              <w:t>-reference panel</w:t>
            </w:r>
          </w:p>
        </w:tc>
        <w:tc>
          <w:tcPr>
            <w:tcW w:w="1153" w:type="dxa"/>
            <w:vAlign w:val="center"/>
          </w:tcPr>
          <w:p w14:paraId="7B31885B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  <w:lang w:val="en-GB"/>
              </w:rPr>
            </w:pPr>
            <w:r w:rsidRPr="007A494A">
              <w:rPr>
                <w:rFonts w:ascii="Helvetica Neue" w:hAnsi="Helvetica Neue"/>
                <w:sz w:val="22"/>
                <w:szCs w:val="22"/>
                <w:lang w:val="en-GB"/>
              </w:rPr>
              <w:t>200</w:t>
            </w:r>
          </w:p>
        </w:tc>
        <w:tc>
          <w:tcPr>
            <w:tcW w:w="1710" w:type="dxa"/>
            <w:vAlign w:val="center"/>
          </w:tcPr>
          <w:p w14:paraId="36490651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  <w:lang w:val="en-GB"/>
              </w:rPr>
            </w:pPr>
            <w:r w:rsidRPr="007A494A">
              <w:rPr>
                <w:rFonts w:ascii="Helvetica Neue" w:hAnsi="Helvetica Neue"/>
                <w:sz w:val="22"/>
                <w:szCs w:val="22"/>
                <w:lang w:val="en-GB"/>
              </w:rPr>
              <w:t>0.095</w:t>
            </w:r>
          </w:p>
          <w:p w14:paraId="2A8423A0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  <w:lang w:val="en-GB"/>
              </w:rPr>
            </w:pPr>
            <w:r w:rsidRPr="007A494A">
              <w:rPr>
                <w:rFonts w:ascii="Helvetica Neue" w:hAnsi="Helvetica Neue"/>
                <w:sz w:val="22"/>
                <w:szCs w:val="22"/>
                <w:lang w:val="en-GB"/>
              </w:rPr>
              <w:t>(0.073, 0.135)</w:t>
            </w:r>
          </w:p>
        </w:tc>
        <w:tc>
          <w:tcPr>
            <w:tcW w:w="1286" w:type="dxa"/>
            <w:vAlign w:val="center"/>
          </w:tcPr>
          <w:p w14:paraId="2A576E91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  <w:lang w:val="en-GB"/>
              </w:rPr>
            </w:pPr>
            <w:r w:rsidRPr="007A494A">
              <w:rPr>
                <w:rFonts w:ascii="Helvetica Neue" w:hAnsi="Helvetica Neue"/>
                <w:sz w:val="22"/>
                <w:szCs w:val="22"/>
                <w:lang w:val="en-GB"/>
              </w:rPr>
              <w:t>0.136</w:t>
            </w:r>
          </w:p>
          <w:p w14:paraId="7739886A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  <w:lang w:val="en-GB"/>
              </w:rPr>
            </w:pPr>
            <w:r w:rsidRPr="007A494A">
              <w:rPr>
                <w:rFonts w:ascii="Helvetica Neue" w:hAnsi="Helvetica Neue"/>
                <w:sz w:val="22"/>
                <w:szCs w:val="22"/>
                <w:lang w:val="en-GB"/>
              </w:rPr>
              <w:t>(0.176)</w:t>
            </w:r>
          </w:p>
        </w:tc>
        <w:tc>
          <w:tcPr>
            <w:tcW w:w="1644" w:type="dxa"/>
            <w:vAlign w:val="center"/>
          </w:tcPr>
          <w:p w14:paraId="75333F3E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  <w:lang w:val="en-GB"/>
              </w:rPr>
            </w:pPr>
            <w:r w:rsidRPr="007A494A">
              <w:rPr>
                <w:rFonts w:ascii="Helvetica Neue" w:hAnsi="Helvetica Neue"/>
                <w:sz w:val="22"/>
                <w:szCs w:val="22"/>
                <w:lang w:val="en-GB"/>
              </w:rPr>
              <w:t>0.488</w:t>
            </w:r>
          </w:p>
        </w:tc>
        <w:tc>
          <w:tcPr>
            <w:tcW w:w="2087" w:type="dxa"/>
            <w:vAlign w:val="center"/>
          </w:tcPr>
          <w:p w14:paraId="4A0E2DBA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  <w:lang w:val="en-GB"/>
              </w:rPr>
            </w:pPr>
            <w:r w:rsidRPr="007A494A">
              <w:rPr>
                <w:rFonts w:ascii="Helvetica Neue" w:hAnsi="Helvetica Neue"/>
                <w:sz w:val="22"/>
                <w:szCs w:val="22"/>
                <w:lang w:val="en-GB"/>
              </w:rPr>
              <w:t>22/40 (55.0%)</w:t>
            </w:r>
          </w:p>
        </w:tc>
      </w:tr>
      <w:tr w:rsidR="00BF22DA" w:rsidRPr="007A494A" w14:paraId="72276699" w14:textId="77777777" w:rsidTr="0055328F">
        <w:trPr>
          <w:trHeight w:val="672"/>
        </w:trPr>
        <w:tc>
          <w:tcPr>
            <w:tcW w:w="2435" w:type="dxa"/>
            <w:vAlign w:val="center"/>
          </w:tcPr>
          <w:p w14:paraId="3281A5C9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  <w:lang w:val="en-GB"/>
              </w:rPr>
            </w:pPr>
            <w:r w:rsidRPr="007A494A">
              <w:rPr>
                <w:rFonts w:ascii="Helvetica Neue" w:hAnsi="Helvetica Neue"/>
                <w:sz w:val="22"/>
                <w:szCs w:val="22"/>
                <w:lang w:val="en-GB"/>
              </w:rPr>
              <w:t>Healthy controls, EV</w:t>
            </w:r>
          </w:p>
        </w:tc>
        <w:tc>
          <w:tcPr>
            <w:tcW w:w="1153" w:type="dxa"/>
            <w:vAlign w:val="center"/>
          </w:tcPr>
          <w:p w14:paraId="32C1DA20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  <w:lang w:val="en-GB"/>
              </w:rPr>
            </w:pPr>
            <w:r w:rsidRPr="007A494A">
              <w:rPr>
                <w:rFonts w:ascii="Helvetica Neue" w:hAnsi="Helvetica Neue"/>
                <w:sz w:val="22"/>
                <w:szCs w:val="22"/>
                <w:lang w:val="en-GB"/>
              </w:rPr>
              <w:t>42</w:t>
            </w:r>
          </w:p>
        </w:tc>
        <w:tc>
          <w:tcPr>
            <w:tcW w:w="1710" w:type="dxa"/>
            <w:vAlign w:val="center"/>
          </w:tcPr>
          <w:p w14:paraId="51D9C9C0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  <w:lang w:val="en-GB"/>
              </w:rPr>
            </w:pPr>
            <w:r w:rsidRPr="007A494A">
              <w:rPr>
                <w:rFonts w:ascii="Helvetica Neue" w:hAnsi="Helvetica Neue"/>
                <w:sz w:val="22"/>
                <w:szCs w:val="22"/>
                <w:lang w:val="en-GB"/>
              </w:rPr>
              <w:t>0.078</w:t>
            </w:r>
          </w:p>
          <w:p w14:paraId="2B1DB992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  <w:lang w:val="en-GB"/>
              </w:rPr>
            </w:pPr>
            <w:r w:rsidRPr="007A494A">
              <w:rPr>
                <w:rFonts w:ascii="Helvetica Neue" w:hAnsi="Helvetica Neue"/>
                <w:sz w:val="22"/>
                <w:szCs w:val="22"/>
                <w:lang w:val="en-GB"/>
              </w:rPr>
              <w:t>(0.063, 0.103)</w:t>
            </w:r>
          </w:p>
        </w:tc>
        <w:tc>
          <w:tcPr>
            <w:tcW w:w="1286" w:type="dxa"/>
            <w:vAlign w:val="center"/>
          </w:tcPr>
          <w:p w14:paraId="2E64E251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  <w:lang w:val="en-GB"/>
              </w:rPr>
            </w:pPr>
            <w:r w:rsidRPr="007A494A">
              <w:rPr>
                <w:rFonts w:ascii="Helvetica Neue" w:hAnsi="Helvetica Neue"/>
                <w:sz w:val="22"/>
                <w:szCs w:val="22"/>
                <w:lang w:val="en-GB"/>
              </w:rPr>
              <w:t xml:space="preserve">0.134 </w:t>
            </w:r>
          </w:p>
          <w:p w14:paraId="6F4B13D1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  <w:lang w:val="en-GB"/>
              </w:rPr>
            </w:pPr>
            <w:r w:rsidRPr="007A494A">
              <w:rPr>
                <w:rFonts w:ascii="Helvetica Neue" w:hAnsi="Helvetica Neue"/>
                <w:sz w:val="22"/>
                <w:szCs w:val="22"/>
                <w:lang w:val="en-GB"/>
              </w:rPr>
              <w:t>(0.234)</w:t>
            </w:r>
          </w:p>
        </w:tc>
        <w:tc>
          <w:tcPr>
            <w:tcW w:w="1644" w:type="dxa"/>
            <w:vAlign w:val="center"/>
          </w:tcPr>
          <w:p w14:paraId="2E442353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  <w:lang w:val="en-GB"/>
              </w:rPr>
            </w:pPr>
            <w:r w:rsidRPr="007A494A">
              <w:rPr>
                <w:rFonts w:ascii="Helvetica Neue" w:hAnsi="Helvetica Neue"/>
                <w:sz w:val="22"/>
                <w:szCs w:val="22"/>
                <w:lang w:val="en-GB"/>
              </w:rPr>
              <w:t>0.602</w:t>
            </w:r>
          </w:p>
        </w:tc>
        <w:tc>
          <w:tcPr>
            <w:tcW w:w="2087" w:type="dxa"/>
            <w:vAlign w:val="center"/>
          </w:tcPr>
          <w:p w14:paraId="070BFE4C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  <w:lang w:val="en-GB"/>
              </w:rPr>
            </w:pPr>
            <w:r w:rsidRPr="007A494A">
              <w:rPr>
                <w:rFonts w:ascii="Helvetica Neue" w:hAnsi="Helvetica Neue"/>
                <w:sz w:val="22"/>
                <w:szCs w:val="22"/>
                <w:lang w:val="en-GB"/>
              </w:rPr>
              <w:t>18/40 (45.0%)</w:t>
            </w:r>
          </w:p>
        </w:tc>
      </w:tr>
      <w:tr w:rsidR="00BF22DA" w:rsidRPr="007A494A" w14:paraId="113CB5E0" w14:textId="77777777" w:rsidTr="0055328F">
        <w:trPr>
          <w:trHeight w:val="672"/>
        </w:trPr>
        <w:tc>
          <w:tcPr>
            <w:tcW w:w="2435" w:type="dxa"/>
            <w:vAlign w:val="center"/>
          </w:tcPr>
          <w:p w14:paraId="6C97F63D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  <w:lang w:val="en-GB"/>
              </w:rPr>
            </w:pPr>
            <w:r w:rsidRPr="007A494A">
              <w:rPr>
                <w:rFonts w:ascii="Helvetica Neue" w:hAnsi="Helvetica Neue"/>
                <w:sz w:val="22"/>
                <w:szCs w:val="22"/>
                <w:lang w:val="en-GB"/>
              </w:rPr>
              <w:t>Healthy controls, Protocol B00</w:t>
            </w:r>
          </w:p>
        </w:tc>
        <w:tc>
          <w:tcPr>
            <w:tcW w:w="1153" w:type="dxa"/>
            <w:vAlign w:val="center"/>
          </w:tcPr>
          <w:p w14:paraId="1CCE6957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  <w:lang w:val="en-GB"/>
              </w:rPr>
            </w:pPr>
            <w:r w:rsidRPr="007A494A">
              <w:rPr>
                <w:rFonts w:ascii="Helvetica Neue" w:hAnsi="Helvetica Neue"/>
                <w:sz w:val="22"/>
                <w:szCs w:val="22"/>
                <w:lang w:val="en-GB"/>
              </w:rPr>
              <w:t>39</w:t>
            </w:r>
          </w:p>
        </w:tc>
        <w:tc>
          <w:tcPr>
            <w:tcW w:w="1710" w:type="dxa"/>
            <w:vAlign w:val="center"/>
          </w:tcPr>
          <w:p w14:paraId="35ABE6BA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  <w:lang w:val="en-GB"/>
              </w:rPr>
            </w:pPr>
            <w:r w:rsidRPr="007A494A">
              <w:rPr>
                <w:rFonts w:ascii="Helvetica Neue" w:hAnsi="Helvetica Neue"/>
                <w:sz w:val="22"/>
                <w:szCs w:val="22"/>
                <w:lang w:val="en-GB"/>
              </w:rPr>
              <w:t xml:space="preserve">0.116 </w:t>
            </w:r>
          </w:p>
          <w:p w14:paraId="1EBF4949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  <w:lang w:val="en-GB"/>
              </w:rPr>
            </w:pPr>
            <w:r w:rsidRPr="007A494A">
              <w:rPr>
                <w:rFonts w:ascii="Helvetica Neue" w:hAnsi="Helvetica Neue"/>
                <w:sz w:val="22"/>
                <w:szCs w:val="22"/>
                <w:lang w:val="en-GB"/>
              </w:rPr>
              <w:t>(0.096, 0.138)</w:t>
            </w:r>
          </w:p>
        </w:tc>
        <w:tc>
          <w:tcPr>
            <w:tcW w:w="1286" w:type="dxa"/>
            <w:vAlign w:val="center"/>
          </w:tcPr>
          <w:p w14:paraId="2B6B3596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  <w:lang w:val="en-GB"/>
              </w:rPr>
            </w:pPr>
            <w:r w:rsidRPr="007A494A">
              <w:rPr>
                <w:rFonts w:ascii="Helvetica Neue" w:hAnsi="Helvetica Neue"/>
                <w:sz w:val="22"/>
                <w:szCs w:val="22"/>
                <w:lang w:val="en-GB"/>
              </w:rPr>
              <w:t xml:space="preserve">0.174 </w:t>
            </w:r>
          </w:p>
          <w:p w14:paraId="4AF37A95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  <w:lang w:val="en-GB"/>
              </w:rPr>
            </w:pPr>
            <w:r w:rsidRPr="007A494A">
              <w:rPr>
                <w:rFonts w:ascii="Helvetica Neue" w:hAnsi="Helvetica Neue"/>
                <w:sz w:val="22"/>
                <w:szCs w:val="22"/>
                <w:lang w:val="en-GB"/>
              </w:rPr>
              <w:t>(0.256)</w:t>
            </w:r>
          </w:p>
        </w:tc>
        <w:tc>
          <w:tcPr>
            <w:tcW w:w="1644" w:type="dxa"/>
            <w:vAlign w:val="center"/>
          </w:tcPr>
          <w:p w14:paraId="79B27DB8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  <w:lang w:val="en-GB"/>
              </w:rPr>
            </w:pPr>
            <w:r w:rsidRPr="007A494A">
              <w:rPr>
                <w:rFonts w:ascii="Helvetica Neue" w:hAnsi="Helvetica Neue"/>
                <w:sz w:val="22"/>
                <w:szCs w:val="22"/>
                <w:lang w:val="en-GB"/>
              </w:rPr>
              <w:t>0.686</w:t>
            </w:r>
          </w:p>
        </w:tc>
        <w:tc>
          <w:tcPr>
            <w:tcW w:w="2087" w:type="dxa"/>
            <w:vAlign w:val="center"/>
          </w:tcPr>
          <w:p w14:paraId="4F8DE2A5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  <w:lang w:val="en-GB"/>
              </w:rPr>
            </w:pPr>
            <w:r w:rsidRPr="007A494A">
              <w:rPr>
                <w:rFonts w:ascii="Helvetica Neue" w:hAnsi="Helvetica Neue"/>
                <w:sz w:val="22"/>
                <w:szCs w:val="22"/>
                <w:lang w:val="en-GB"/>
              </w:rPr>
              <w:t>16/40 (40.0%)</w:t>
            </w:r>
          </w:p>
        </w:tc>
      </w:tr>
      <w:tr w:rsidR="00BF22DA" w:rsidRPr="007A494A" w14:paraId="65D29785" w14:textId="77777777" w:rsidTr="0055328F">
        <w:trPr>
          <w:trHeight w:val="672"/>
        </w:trPr>
        <w:tc>
          <w:tcPr>
            <w:tcW w:w="2435" w:type="dxa"/>
          </w:tcPr>
          <w:tbl>
            <w:tblPr>
              <w:tblW w:w="2219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19"/>
            </w:tblGrid>
            <w:tr w:rsidR="00BF22DA" w:rsidRPr="007A494A" w14:paraId="40B25319" w14:textId="77777777" w:rsidTr="0055328F">
              <w:trPr>
                <w:trHeight w:val="582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11A155C" w14:textId="77777777" w:rsidR="00BF22DA" w:rsidRPr="007A494A" w:rsidRDefault="00BF22DA" w:rsidP="0055328F">
                  <w:pPr>
                    <w:spacing w:line="240" w:lineRule="auto"/>
                    <w:rPr>
                      <w:rFonts w:ascii="Helvetica Neue" w:hAnsi="Helvetica Neue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A494A">
                    <w:rPr>
                      <w:rFonts w:ascii="Helvetica Neue" w:hAnsi="Helvetica Neue"/>
                      <w:color w:val="000000"/>
                      <w:sz w:val="22"/>
                      <w:szCs w:val="22"/>
                    </w:rPr>
                    <w:t>Healthy controls, Protocol E</w:t>
                  </w:r>
                </w:p>
              </w:tc>
            </w:tr>
          </w:tbl>
          <w:p w14:paraId="142AB668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  <w:lang w:val="en-GB"/>
              </w:rPr>
            </w:pPr>
          </w:p>
        </w:tc>
        <w:tc>
          <w:tcPr>
            <w:tcW w:w="1153" w:type="dxa"/>
            <w:vAlign w:val="center"/>
          </w:tcPr>
          <w:p w14:paraId="45A482D5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  <w:lang w:val="en-GB"/>
              </w:rPr>
            </w:pPr>
            <w:r w:rsidRPr="007A494A">
              <w:rPr>
                <w:rFonts w:ascii="Helvetica Neue" w:hAnsi="Helvetica Neue"/>
                <w:sz w:val="22"/>
                <w:szCs w:val="22"/>
                <w:lang w:val="en-GB"/>
              </w:rPr>
              <w:t>50</w:t>
            </w:r>
          </w:p>
        </w:tc>
        <w:tc>
          <w:tcPr>
            <w:tcW w:w="1710" w:type="dxa"/>
            <w:vAlign w:val="center"/>
          </w:tcPr>
          <w:p w14:paraId="533BF10E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  <w:lang w:val="en-GB"/>
              </w:rPr>
            </w:pPr>
            <w:r w:rsidRPr="007A494A">
              <w:rPr>
                <w:rFonts w:ascii="Helvetica Neue" w:hAnsi="Helvetica Neue"/>
                <w:sz w:val="22"/>
                <w:szCs w:val="22"/>
                <w:lang w:val="en-GB"/>
              </w:rPr>
              <w:t>0.075</w:t>
            </w:r>
          </w:p>
          <w:p w14:paraId="3D9B9175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  <w:lang w:val="en-GB"/>
              </w:rPr>
            </w:pPr>
            <w:r w:rsidRPr="007A494A">
              <w:rPr>
                <w:rFonts w:ascii="Helvetica Neue" w:hAnsi="Helvetica Neue"/>
                <w:sz w:val="22"/>
                <w:szCs w:val="22"/>
                <w:lang w:val="en-GB"/>
              </w:rPr>
              <w:t>(0.050, 0.098)</w:t>
            </w:r>
          </w:p>
        </w:tc>
        <w:tc>
          <w:tcPr>
            <w:tcW w:w="1286" w:type="dxa"/>
            <w:vAlign w:val="center"/>
          </w:tcPr>
          <w:p w14:paraId="14281A83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  <w:lang w:val="en-GB"/>
              </w:rPr>
            </w:pPr>
            <w:r w:rsidRPr="007A494A">
              <w:rPr>
                <w:rFonts w:ascii="Helvetica Neue" w:hAnsi="Helvetica Neue"/>
                <w:sz w:val="22"/>
                <w:szCs w:val="22"/>
                <w:lang w:val="en-GB"/>
              </w:rPr>
              <w:t>0.096</w:t>
            </w:r>
          </w:p>
          <w:p w14:paraId="618DC15F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  <w:lang w:val="en-GB"/>
              </w:rPr>
            </w:pPr>
            <w:r w:rsidRPr="007A494A">
              <w:rPr>
                <w:rFonts w:ascii="Helvetica Neue" w:hAnsi="Helvetica Neue"/>
                <w:sz w:val="22"/>
                <w:szCs w:val="22"/>
                <w:lang w:val="en-GB"/>
              </w:rPr>
              <w:t>(0.087)</w:t>
            </w:r>
          </w:p>
        </w:tc>
        <w:tc>
          <w:tcPr>
            <w:tcW w:w="1644" w:type="dxa"/>
            <w:vAlign w:val="center"/>
          </w:tcPr>
          <w:p w14:paraId="164032AE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  <w:lang w:val="en-GB"/>
              </w:rPr>
            </w:pPr>
            <w:r w:rsidRPr="007A494A">
              <w:rPr>
                <w:rFonts w:ascii="Helvetica Neue" w:hAnsi="Helvetica Neue"/>
                <w:sz w:val="22"/>
                <w:szCs w:val="22"/>
                <w:lang w:val="en-GB"/>
              </w:rPr>
              <w:t>0.270</w:t>
            </w:r>
          </w:p>
        </w:tc>
        <w:tc>
          <w:tcPr>
            <w:tcW w:w="2087" w:type="dxa"/>
            <w:vAlign w:val="center"/>
          </w:tcPr>
          <w:p w14:paraId="37E4F688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  <w:lang w:val="en-GB"/>
              </w:rPr>
            </w:pPr>
            <w:r w:rsidRPr="007A494A">
              <w:rPr>
                <w:rFonts w:ascii="Helvetica Neue" w:hAnsi="Helvetica Neue"/>
                <w:sz w:val="22"/>
                <w:szCs w:val="22"/>
                <w:lang w:val="en-GB"/>
              </w:rPr>
              <w:t>25/40 (62.5%)</w:t>
            </w:r>
          </w:p>
        </w:tc>
      </w:tr>
      <w:tr w:rsidR="00BF22DA" w:rsidRPr="007A494A" w14:paraId="7AD5BE2B" w14:textId="77777777" w:rsidTr="0055328F">
        <w:trPr>
          <w:trHeight w:val="672"/>
        </w:trPr>
        <w:tc>
          <w:tcPr>
            <w:tcW w:w="2435" w:type="dxa"/>
            <w:vAlign w:val="center"/>
          </w:tcPr>
          <w:p w14:paraId="5B0BBA88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  <w:lang w:val="en-GB"/>
              </w:rPr>
            </w:pPr>
            <w:r w:rsidRPr="007A494A">
              <w:rPr>
                <w:rFonts w:ascii="Helvetica Neue" w:hAnsi="Helvetica Neue"/>
                <w:sz w:val="22"/>
                <w:szCs w:val="22"/>
                <w:lang w:val="en-GB"/>
              </w:rPr>
              <w:t>General population</w:t>
            </w:r>
            <w:r>
              <w:rPr>
                <w:rFonts w:ascii="Helvetica Neue" w:hAnsi="Helvetica Neue"/>
                <w:sz w:val="22"/>
                <w:szCs w:val="22"/>
                <w:lang w:val="en-GB"/>
              </w:rPr>
              <w:t>,</w:t>
            </w:r>
            <w:r w:rsidRPr="007A494A">
              <w:rPr>
                <w:rFonts w:ascii="Helvetica Neue" w:hAnsi="Helvetica Neue"/>
                <w:sz w:val="22"/>
                <w:szCs w:val="22"/>
                <w:lang w:val="en-GB"/>
              </w:rPr>
              <w:t xml:space="preserve"> Protocol L</w:t>
            </w:r>
          </w:p>
        </w:tc>
        <w:tc>
          <w:tcPr>
            <w:tcW w:w="1153" w:type="dxa"/>
            <w:vAlign w:val="center"/>
          </w:tcPr>
          <w:p w14:paraId="6BFFDEDA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  <w:lang w:val="en-GB"/>
              </w:rPr>
            </w:pPr>
            <w:r w:rsidRPr="007A494A">
              <w:rPr>
                <w:rFonts w:ascii="Helvetica Neue" w:hAnsi="Helvetica Neue"/>
                <w:sz w:val="22"/>
                <w:szCs w:val="22"/>
                <w:lang w:val="en-GB"/>
              </w:rPr>
              <w:t>40</w:t>
            </w:r>
          </w:p>
        </w:tc>
        <w:tc>
          <w:tcPr>
            <w:tcW w:w="1710" w:type="dxa"/>
            <w:vAlign w:val="center"/>
          </w:tcPr>
          <w:p w14:paraId="52153D2B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  <w:lang w:val="en-GB"/>
              </w:rPr>
            </w:pPr>
            <w:r w:rsidRPr="007A494A">
              <w:rPr>
                <w:rFonts w:ascii="Helvetica Neue" w:hAnsi="Helvetica Neue"/>
                <w:sz w:val="22"/>
                <w:szCs w:val="22"/>
                <w:lang w:val="en-GB"/>
              </w:rPr>
              <w:t>0.111</w:t>
            </w:r>
          </w:p>
          <w:p w14:paraId="13D86AB9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  <w:lang w:val="en-GB"/>
              </w:rPr>
            </w:pPr>
            <w:r w:rsidRPr="007A494A">
              <w:rPr>
                <w:rFonts w:ascii="Helvetica Neue" w:hAnsi="Helvetica Neue"/>
                <w:sz w:val="22"/>
                <w:szCs w:val="22"/>
                <w:lang w:val="en-GB"/>
              </w:rPr>
              <w:t>(0.082, 0.162)</w:t>
            </w:r>
          </w:p>
        </w:tc>
        <w:tc>
          <w:tcPr>
            <w:tcW w:w="1286" w:type="dxa"/>
            <w:vAlign w:val="center"/>
          </w:tcPr>
          <w:p w14:paraId="7082F559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  <w:lang w:val="en-GB"/>
              </w:rPr>
            </w:pPr>
            <w:r w:rsidRPr="007A494A">
              <w:rPr>
                <w:rFonts w:ascii="Helvetica Neue" w:hAnsi="Helvetica Neue"/>
                <w:sz w:val="22"/>
                <w:szCs w:val="22"/>
                <w:lang w:val="en-GB"/>
              </w:rPr>
              <w:t>0.135</w:t>
            </w:r>
          </w:p>
          <w:p w14:paraId="6B0B55BC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  <w:lang w:val="en-GB"/>
              </w:rPr>
            </w:pPr>
            <w:r w:rsidRPr="007A494A">
              <w:rPr>
                <w:rFonts w:ascii="Helvetica Neue" w:hAnsi="Helvetica Neue"/>
                <w:sz w:val="22"/>
                <w:szCs w:val="22"/>
                <w:lang w:val="en-GB"/>
              </w:rPr>
              <w:t>(0.079)</w:t>
            </w:r>
          </w:p>
        </w:tc>
        <w:tc>
          <w:tcPr>
            <w:tcW w:w="1644" w:type="dxa"/>
            <w:vAlign w:val="center"/>
          </w:tcPr>
          <w:p w14:paraId="2CE4F79F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  <w:lang w:val="en-GB"/>
              </w:rPr>
            </w:pPr>
            <w:r w:rsidRPr="007A494A">
              <w:rPr>
                <w:rFonts w:ascii="Helvetica Neue" w:hAnsi="Helvetica Neue"/>
                <w:sz w:val="22"/>
                <w:szCs w:val="22"/>
                <w:lang w:val="en-GB"/>
              </w:rPr>
              <w:t>0.293</w:t>
            </w:r>
          </w:p>
        </w:tc>
        <w:tc>
          <w:tcPr>
            <w:tcW w:w="2087" w:type="dxa"/>
            <w:vAlign w:val="center"/>
          </w:tcPr>
          <w:p w14:paraId="66FC5F02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  <w:lang w:val="en-GB"/>
              </w:rPr>
            </w:pPr>
            <w:r w:rsidRPr="007A494A">
              <w:rPr>
                <w:rFonts w:ascii="Helvetica Neue" w:hAnsi="Helvetica Neue"/>
                <w:sz w:val="22"/>
                <w:szCs w:val="22"/>
                <w:lang w:val="en-GB"/>
              </w:rPr>
              <w:t>25/40 (62.5%)</w:t>
            </w:r>
          </w:p>
        </w:tc>
      </w:tr>
      <w:tr w:rsidR="00BF22DA" w:rsidRPr="007A494A" w14:paraId="12A89C7F" w14:textId="77777777" w:rsidTr="0055328F">
        <w:trPr>
          <w:trHeight w:val="672"/>
        </w:trPr>
        <w:tc>
          <w:tcPr>
            <w:tcW w:w="2435" w:type="dxa"/>
            <w:vAlign w:val="center"/>
          </w:tcPr>
          <w:p w14:paraId="74ED6DC8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  <w:lang w:val="en-GB"/>
              </w:rPr>
            </w:pPr>
            <w:r w:rsidRPr="007A494A">
              <w:rPr>
                <w:rFonts w:ascii="Helvetica Neue" w:hAnsi="Helvetica Neue"/>
                <w:sz w:val="22"/>
                <w:szCs w:val="22"/>
                <w:lang w:val="en-GB"/>
              </w:rPr>
              <w:t xml:space="preserve">Unexposed individuals from </w:t>
            </w:r>
            <w:r>
              <w:rPr>
                <w:rFonts w:ascii="Helvetica Neue" w:hAnsi="Helvetica Neue"/>
                <w:sz w:val="22"/>
                <w:szCs w:val="22"/>
                <w:lang w:val="en-GB"/>
              </w:rPr>
              <w:t>n</w:t>
            </w:r>
            <w:r w:rsidRPr="007A494A">
              <w:rPr>
                <w:rFonts w:ascii="Helvetica Neue" w:hAnsi="Helvetica Neue"/>
                <w:sz w:val="22"/>
                <w:szCs w:val="22"/>
                <w:lang w:val="en-GB"/>
              </w:rPr>
              <w:t>orthen Uganda</w:t>
            </w:r>
          </w:p>
        </w:tc>
        <w:tc>
          <w:tcPr>
            <w:tcW w:w="1153" w:type="dxa"/>
            <w:vAlign w:val="center"/>
          </w:tcPr>
          <w:p w14:paraId="53997CBA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  <w:lang w:val="en-GB"/>
              </w:rPr>
            </w:pPr>
            <w:r w:rsidRPr="007A494A">
              <w:rPr>
                <w:rFonts w:ascii="Helvetica Neue" w:hAnsi="Helvetica Neue"/>
                <w:sz w:val="22"/>
                <w:szCs w:val="22"/>
                <w:lang w:val="en-GB"/>
              </w:rPr>
              <w:t>29</w:t>
            </w:r>
          </w:p>
        </w:tc>
        <w:tc>
          <w:tcPr>
            <w:tcW w:w="1710" w:type="dxa"/>
            <w:vAlign w:val="center"/>
          </w:tcPr>
          <w:p w14:paraId="4252DB24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  <w:lang w:val="en-GB"/>
              </w:rPr>
            </w:pPr>
            <w:r w:rsidRPr="007A494A">
              <w:rPr>
                <w:rFonts w:ascii="Helvetica Neue" w:hAnsi="Helvetica Neue"/>
                <w:sz w:val="22"/>
                <w:szCs w:val="22"/>
                <w:lang w:val="en-GB"/>
              </w:rPr>
              <w:t xml:space="preserve">0.102 </w:t>
            </w:r>
          </w:p>
          <w:p w14:paraId="7FADB94F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  <w:lang w:val="en-GB"/>
              </w:rPr>
            </w:pPr>
            <w:r w:rsidRPr="007A494A">
              <w:rPr>
                <w:rFonts w:ascii="Helvetica Neue" w:hAnsi="Helvetica Neue"/>
                <w:sz w:val="22"/>
                <w:szCs w:val="22"/>
                <w:lang w:val="en-GB"/>
              </w:rPr>
              <w:t>(0.093, 0.139)</w:t>
            </w:r>
          </w:p>
        </w:tc>
        <w:tc>
          <w:tcPr>
            <w:tcW w:w="1286" w:type="dxa"/>
            <w:vAlign w:val="center"/>
          </w:tcPr>
          <w:p w14:paraId="46AB059C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  <w:lang w:val="en-GB"/>
              </w:rPr>
            </w:pPr>
            <w:r w:rsidRPr="007A494A">
              <w:rPr>
                <w:rFonts w:ascii="Helvetica Neue" w:hAnsi="Helvetica Neue"/>
                <w:sz w:val="22"/>
                <w:szCs w:val="22"/>
                <w:lang w:val="en-GB"/>
              </w:rPr>
              <w:t>0.159</w:t>
            </w:r>
          </w:p>
          <w:p w14:paraId="2A02F988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  <w:lang w:val="en-GB"/>
              </w:rPr>
            </w:pPr>
            <w:r w:rsidRPr="007A494A">
              <w:rPr>
                <w:rFonts w:ascii="Helvetica Neue" w:hAnsi="Helvetica Neue"/>
                <w:sz w:val="22"/>
                <w:szCs w:val="22"/>
                <w:lang w:val="en-GB"/>
              </w:rPr>
              <w:t>(0.154)</w:t>
            </w:r>
          </w:p>
        </w:tc>
        <w:tc>
          <w:tcPr>
            <w:tcW w:w="1644" w:type="dxa"/>
            <w:vAlign w:val="center"/>
          </w:tcPr>
          <w:p w14:paraId="4F2B914D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  <w:lang w:val="en-GB"/>
              </w:rPr>
            </w:pPr>
            <w:r w:rsidRPr="007A494A">
              <w:rPr>
                <w:rFonts w:ascii="Helvetica Neue" w:hAnsi="Helvetica Neue"/>
                <w:sz w:val="22"/>
                <w:szCs w:val="22"/>
                <w:lang w:val="en-GB"/>
              </w:rPr>
              <w:t>0.466</w:t>
            </w:r>
          </w:p>
        </w:tc>
        <w:tc>
          <w:tcPr>
            <w:tcW w:w="2087" w:type="dxa"/>
            <w:vAlign w:val="center"/>
          </w:tcPr>
          <w:p w14:paraId="557207F8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  <w:lang w:val="en-GB"/>
              </w:rPr>
            </w:pPr>
            <w:r w:rsidRPr="007A494A">
              <w:rPr>
                <w:rFonts w:ascii="Helvetica Neue" w:hAnsi="Helvetica Neue"/>
                <w:sz w:val="22"/>
                <w:szCs w:val="22"/>
                <w:lang w:val="en-GB"/>
              </w:rPr>
              <w:t>22/40 (55.0%)</w:t>
            </w:r>
          </w:p>
        </w:tc>
      </w:tr>
      <w:tr w:rsidR="00BF22DA" w:rsidRPr="007A494A" w14:paraId="24C36D35" w14:textId="77777777" w:rsidTr="0055328F">
        <w:trPr>
          <w:trHeight w:val="672"/>
        </w:trPr>
        <w:tc>
          <w:tcPr>
            <w:tcW w:w="2435" w:type="dxa"/>
            <w:vAlign w:val="center"/>
          </w:tcPr>
          <w:p w14:paraId="69888116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  <w:lang w:val="en-GB"/>
              </w:rPr>
            </w:pPr>
            <w:r w:rsidRPr="007A494A">
              <w:rPr>
                <w:rFonts w:ascii="Helvetica Neue" w:hAnsi="Helvetica Neue"/>
                <w:sz w:val="22"/>
                <w:szCs w:val="22"/>
                <w:lang w:val="en-GB"/>
              </w:rPr>
              <w:t>Combined healthy controls</w:t>
            </w:r>
          </w:p>
        </w:tc>
        <w:tc>
          <w:tcPr>
            <w:tcW w:w="1153" w:type="dxa"/>
            <w:vAlign w:val="center"/>
          </w:tcPr>
          <w:p w14:paraId="34CD17BD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  <w:lang w:val="en-GB"/>
              </w:rPr>
            </w:pPr>
            <w:r w:rsidRPr="007A494A">
              <w:rPr>
                <w:rFonts w:ascii="Helvetica Neue" w:hAnsi="Helvetica Neue"/>
                <w:sz w:val="22"/>
                <w:szCs w:val="22"/>
                <w:lang w:val="en-GB"/>
              </w:rPr>
              <w:t>121</w:t>
            </w:r>
          </w:p>
        </w:tc>
        <w:tc>
          <w:tcPr>
            <w:tcW w:w="1710" w:type="dxa"/>
            <w:vAlign w:val="center"/>
          </w:tcPr>
          <w:p w14:paraId="3B1472F8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  <w:lang w:val="en-GB"/>
              </w:rPr>
            </w:pPr>
            <w:r w:rsidRPr="007A494A">
              <w:rPr>
                <w:rFonts w:ascii="Helvetica Neue" w:hAnsi="Helvetica Neue"/>
                <w:sz w:val="22"/>
                <w:szCs w:val="22"/>
                <w:lang w:val="en-GB"/>
              </w:rPr>
              <w:t>0.100</w:t>
            </w:r>
          </w:p>
          <w:p w14:paraId="1A8B6E9C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  <w:lang w:val="en-GB"/>
              </w:rPr>
            </w:pPr>
            <w:r w:rsidRPr="007A494A">
              <w:rPr>
                <w:rFonts w:ascii="Helvetica Neue" w:hAnsi="Helvetica Neue"/>
                <w:sz w:val="22"/>
                <w:szCs w:val="22"/>
                <w:lang w:val="en-GB"/>
              </w:rPr>
              <w:t>(0.078, 0.139)</w:t>
            </w:r>
          </w:p>
        </w:tc>
        <w:tc>
          <w:tcPr>
            <w:tcW w:w="1286" w:type="dxa"/>
            <w:vAlign w:val="center"/>
          </w:tcPr>
          <w:p w14:paraId="721F1A54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  <w:lang w:val="en-GB"/>
              </w:rPr>
            </w:pPr>
            <w:r w:rsidRPr="007A494A">
              <w:rPr>
                <w:rFonts w:ascii="Helvetica Neue" w:hAnsi="Helvetica Neue"/>
                <w:sz w:val="22"/>
                <w:szCs w:val="22"/>
                <w:lang w:val="en-GB"/>
              </w:rPr>
              <w:t>0.147</w:t>
            </w:r>
          </w:p>
          <w:p w14:paraId="2E42098B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  <w:lang w:val="en-GB"/>
              </w:rPr>
            </w:pPr>
            <w:r w:rsidRPr="007A494A">
              <w:rPr>
                <w:rFonts w:ascii="Helvetica Neue" w:hAnsi="Helvetica Neue"/>
                <w:sz w:val="22"/>
                <w:szCs w:val="22"/>
                <w:lang w:val="en-GB"/>
              </w:rPr>
              <w:t>(0.205)</w:t>
            </w:r>
          </w:p>
        </w:tc>
        <w:tc>
          <w:tcPr>
            <w:tcW w:w="1644" w:type="dxa"/>
            <w:vAlign w:val="center"/>
          </w:tcPr>
          <w:p w14:paraId="3674EB3E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  <w:lang w:val="en-GB"/>
              </w:rPr>
            </w:pPr>
            <w:r w:rsidRPr="007A494A">
              <w:rPr>
                <w:rFonts w:ascii="Helvetica Neue" w:hAnsi="Helvetica Neue"/>
                <w:sz w:val="22"/>
                <w:szCs w:val="22"/>
                <w:lang w:val="en-GB"/>
              </w:rPr>
              <w:t>0.556</w:t>
            </w:r>
          </w:p>
        </w:tc>
        <w:tc>
          <w:tcPr>
            <w:tcW w:w="2087" w:type="dxa"/>
            <w:vAlign w:val="center"/>
          </w:tcPr>
          <w:p w14:paraId="3E7189E2" w14:textId="77777777" w:rsidR="00BF22DA" w:rsidRPr="007A494A" w:rsidRDefault="00BF22DA" w:rsidP="0055328F">
            <w:pPr>
              <w:spacing w:line="240" w:lineRule="auto"/>
              <w:rPr>
                <w:rFonts w:ascii="Helvetica Neue" w:hAnsi="Helvetica Neue"/>
                <w:sz w:val="22"/>
                <w:szCs w:val="22"/>
                <w:lang w:val="en-GB"/>
              </w:rPr>
            </w:pPr>
            <w:r w:rsidRPr="007A494A">
              <w:rPr>
                <w:rFonts w:ascii="Helvetica Neue" w:hAnsi="Helvetica Neue"/>
                <w:sz w:val="22"/>
                <w:szCs w:val="22"/>
                <w:lang w:val="en-GB"/>
              </w:rPr>
              <w:t>20/40 (50.0%)</w:t>
            </w:r>
          </w:p>
        </w:tc>
      </w:tr>
    </w:tbl>
    <w:p w14:paraId="78415661" w14:textId="77777777" w:rsidR="00BF22DA" w:rsidRPr="00CE14C9" w:rsidRDefault="00BF22DA" w:rsidP="00BF22DA">
      <w:pPr>
        <w:spacing w:line="360" w:lineRule="auto"/>
        <w:jc w:val="both"/>
        <w:rPr>
          <w:rFonts w:ascii="Helvetica Neue" w:hAnsi="Helvetica Neue"/>
          <w:color w:val="000000"/>
          <w:sz w:val="22"/>
          <w:szCs w:val="22"/>
        </w:rPr>
      </w:pPr>
    </w:p>
    <w:p w14:paraId="7D9BB60E" w14:textId="77777777" w:rsidR="00BF22DA" w:rsidRPr="00CE14C9" w:rsidRDefault="00BF22DA" w:rsidP="00BF22DA">
      <w:pPr>
        <w:spacing w:line="360" w:lineRule="auto"/>
        <w:rPr>
          <w:rFonts w:ascii="Helvetica Neue" w:hAnsi="Helvetica Neue"/>
          <w:b/>
          <w:sz w:val="22"/>
          <w:szCs w:val="22"/>
        </w:rPr>
      </w:pPr>
      <w:r w:rsidRPr="00CE14C9">
        <w:rPr>
          <w:rFonts w:ascii="Helvetica Neue" w:hAnsi="Helvetica Neue"/>
          <w:color w:val="000000"/>
          <w:sz w:val="22"/>
          <w:szCs w:val="22"/>
        </w:rPr>
        <w:t>Biological negative-reference specimens represented a broad biological and geographical range of individuals with no known or documented filovirus infection. For each reference panel, a BDBV-specific threshold was calculated as the mean background-subtracted donor-level OD₄₅₀ + 2SD and applied to BDBV OD₄₅₀ values from the 40 survivors. The combined negative-reference panel comprised healthy controls from EV (n=42), Protocol B00 (n=39) and Protocol L (n=40), Protocol E specimens (n=50), and unexposed uninfected participants from northern Uganda (n=29). The combined healthy-control panel comprised EV, Protocol B00 and Protocol L (n=121). This analysis was restricted to BDBV glycoprotein and was independent of the common assay-derived threshold used in the primary four-antigen analysis. Values are median (IQR), mean (SD), threshold (mean + 2SD) and n/N (%), as indicated.</w:t>
      </w:r>
      <w:r w:rsidRPr="00CE14C9">
        <w:rPr>
          <w:rFonts w:ascii="Helvetica Neue" w:hAnsi="Helvetica Neue"/>
          <w:b/>
          <w:sz w:val="22"/>
          <w:szCs w:val="22"/>
        </w:rPr>
        <w:br w:type="page"/>
      </w:r>
    </w:p>
    <w:p w14:paraId="59A429CD" w14:textId="77777777" w:rsidR="00BF22DA" w:rsidRPr="00CE14C9" w:rsidRDefault="00BF22DA" w:rsidP="00BF22DA">
      <w:pPr>
        <w:rPr>
          <w:rFonts w:ascii="Helvetica Neue" w:hAnsi="Helvetica Neue"/>
          <w:b/>
          <w:sz w:val="22"/>
          <w:szCs w:val="22"/>
        </w:rPr>
      </w:pPr>
      <w:r w:rsidRPr="00CE14C9">
        <w:rPr>
          <w:rFonts w:ascii="Helvetica Neue" w:hAnsi="Helvetica Neue"/>
          <w:b/>
          <w:sz w:val="22"/>
          <w:szCs w:val="22"/>
        </w:rPr>
        <w:lastRenderedPageBreak/>
        <w:t>Supplementary Figures</w:t>
      </w:r>
    </w:p>
    <w:p w14:paraId="09E47AE9" w14:textId="77777777" w:rsidR="00BF22DA" w:rsidRPr="00CE14C9" w:rsidRDefault="00BF22DA" w:rsidP="00BF22DA">
      <w:pPr>
        <w:rPr>
          <w:rFonts w:ascii="Helvetica Neue" w:hAnsi="Helvetica Neue"/>
          <w:b/>
          <w:bCs/>
          <w:sz w:val="22"/>
          <w:szCs w:val="22"/>
        </w:rPr>
      </w:pPr>
      <w:r w:rsidRPr="00CE14C9">
        <w:rPr>
          <w:rFonts w:ascii="Helvetica Neue" w:hAnsi="Helvetica Neue"/>
          <w:b/>
          <w:bCs/>
          <w:color w:val="000000"/>
          <w:sz w:val="22"/>
          <w:szCs w:val="22"/>
        </w:rPr>
        <w:t>Supplementary Figure S1. Cohort derivation and participant flow</w:t>
      </w:r>
    </w:p>
    <w:p w14:paraId="1D4C0387" w14:textId="77777777" w:rsidR="00BF22DA" w:rsidRPr="00CE14C9" w:rsidRDefault="00BF22DA" w:rsidP="00BF22DA">
      <w:pPr>
        <w:spacing w:line="360" w:lineRule="auto"/>
        <w:rPr>
          <w:rFonts w:ascii="Helvetica Neue" w:hAnsi="Helvetica Neue"/>
          <w:b/>
          <w:sz w:val="22"/>
          <w:szCs w:val="22"/>
        </w:rPr>
      </w:pPr>
      <w:r w:rsidRPr="00CE14C9">
        <w:rPr>
          <w:rFonts w:ascii="Helvetica Neue" w:hAnsi="Helvetica Neue"/>
          <w:b/>
          <w:noProof/>
          <w:sz w:val="22"/>
          <w:szCs w:val="22"/>
        </w:rPr>
        <w:drawing>
          <wp:inline distT="0" distB="0" distL="0" distR="0" wp14:anchorId="70F215C2" wp14:editId="1239B628">
            <wp:extent cx="4333714" cy="4327695"/>
            <wp:effectExtent l="0" t="0" r="0" b="3175"/>
            <wp:docPr id="166094764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628697" name="Pictur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9652" cy="4403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02571" w14:textId="77777777" w:rsidR="00BF22DA" w:rsidRPr="00CE14C9" w:rsidRDefault="00BF22DA" w:rsidP="00BF22DA">
      <w:pPr>
        <w:spacing w:line="360" w:lineRule="auto"/>
        <w:rPr>
          <w:rFonts w:ascii="Helvetica Neue" w:hAnsi="Helvetica Neue"/>
          <w:color w:val="000000"/>
          <w:sz w:val="22"/>
          <w:szCs w:val="22"/>
        </w:rPr>
      </w:pPr>
      <w:r w:rsidRPr="00CE14C9">
        <w:rPr>
          <w:rFonts w:ascii="Helvetica Neue" w:hAnsi="Helvetica Neue"/>
          <w:color w:val="000000"/>
          <w:sz w:val="22"/>
          <w:szCs w:val="22"/>
        </w:rPr>
        <w:t>Flow diagram showing derivation of the study cohort from the 2007–2008 Bundibugyo virus disease outbreak in Uganda. Of 131 reported cases, 42 died and 89 survived laboratory-confirmed BDBV infection. Forty survivors were traced, consented, and sampled 16–17 years after infection. All 40 participants had complete glycoprotein-specific IgG measurements against all four ebolavirus glycoproteins evaluated (BDBV, EBOV-Mayinga, SUDV-Gulu, and SUDV-Boniface).</w:t>
      </w:r>
    </w:p>
    <w:p w14:paraId="3A1919E5" w14:textId="77777777" w:rsidR="00BF22DA" w:rsidRPr="00CE14C9" w:rsidRDefault="00BF22DA" w:rsidP="00BF22DA">
      <w:pPr>
        <w:spacing w:line="240" w:lineRule="auto"/>
        <w:rPr>
          <w:rFonts w:ascii="Helvetica Neue" w:hAnsi="Helvetica Neue"/>
          <w:color w:val="000000"/>
          <w:sz w:val="22"/>
          <w:szCs w:val="22"/>
        </w:rPr>
      </w:pPr>
      <w:r w:rsidRPr="00CE14C9">
        <w:rPr>
          <w:rFonts w:ascii="Helvetica Neue" w:hAnsi="Helvetica Neue"/>
          <w:color w:val="000000"/>
          <w:sz w:val="22"/>
          <w:szCs w:val="22"/>
        </w:rPr>
        <w:br w:type="page"/>
      </w:r>
    </w:p>
    <w:p w14:paraId="700348B8" w14:textId="77777777" w:rsidR="00BF22DA" w:rsidRPr="00CE14C9" w:rsidRDefault="00BF22DA" w:rsidP="00BF22DA">
      <w:pPr>
        <w:pStyle w:val="Caption"/>
        <w:keepNext/>
        <w:rPr>
          <w:rFonts w:ascii="Helvetica Neue" w:hAnsi="Helvetica Neue"/>
          <w:b/>
          <w:bCs/>
          <w:i w:val="0"/>
          <w:iCs w:val="0"/>
          <w:sz w:val="22"/>
          <w:szCs w:val="22"/>
        </w:rPr>
      </w:pPr>
      <w:r w:rsidRPr="00CE14C9">
        <w:rPr>
          <w:rFonts w:ascii="Helvetica Neue" w:hAnsi="Helvetica Neue"/>
          <w:b/>
          <w:bCs/>
          <w:i w:val="0"/>
          <w:iCs w:val="0"/>
          <w:color w:val="000000" w:themeColor="text1"/>
          <w:sz w:val="22"/>
          <w:szCs w:val="22"/>
        </w:rPr>
        <w:lastRenderedPageBreak/>
        <w:t xml:space="preserve">Supplementary Figure S2: </w:t>
      </w:r>
      <w:r w:rsidRPr="00CE14C9">
        <w:rPr>
          <w:rFonts w:ascii="Helvetica Neue" w:hAnsi="Helvetica Neue"/>
          <w:b/>
          <w:bCs/>
          <w:i w:val="0"/>
          <w:iCs w:val="0"/>
          <w:color w:val="000000"/>
          <w:sz w:val="22"/>
          <w:szCs w:val="22"/>
        </w:rPr>
        <w:t>Inter-operator performance of the internal IgG reference standard across ELISA runs</w:t>
      </w:r>
    </w:p>
    <w:p w14:paraId="4909B593" w14:textId="77777777" w:rsidR="00BF22DA" w:rsidRPr="00CE14C9" w:rsidRDefault="00BF22DA" w:rsidP="00BF22DA">
      <w:pPr>
        <w:spacing w:line="360" w:lineRule="auto"/>
        <w:rPr>
          <w:rFonts w:ascii="Helvetica Neue" w:hAnsi="Helvetica Neue"/>
          <w:b/>
          <w:bCs/>
          <w:sz w:val="22"/>
          <w:szCs w:val="22"/>
        </w:rPr>
      </w:pPr>
      <w:r w:rsidRPr="007A494A">
        <w:rPr>
          <w:rFonts w:ascii="Helvetica Neue" w:hAnsi="Helvetica Neue"/>
          <w:noProof/>
          <w:sz w:val="22"/>
          <w:szCs w:val="22"/>
          <w:lang w:val="en-GB"/>
        </w:rPr>
        <w:drawing>
          <wp:inline distT="0" distB="0" distL="0" distR="0" wp14:anchorId="4B0DC79D" wp14:editId="6AAFBCE1">
            <wp:extent cx="5731510" cy="3582193"/>
            <wp:effectExtent l="0" t="0" r="0" b="0"/>
            <wp:docPr id="108321483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214837" name="Picture 1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8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7B6A0" w14:textId="77777777" w:rsidR="00BF22DA" w:rsidRPr="0025249D" w:rsidRDefault="00BF22DA" w:rsidP="00BF22DA">
      <w:pPr>
        <w:pStyle w:val="NormalWeb"/>
        <w:spacing w:before="240" w:beforeAutospacing="0" w:line="360" w:lineRule="auto"/>
        <w:rPr>
          <w:rFonts w:ascii="Helvetica Neue" w:hAnsi="Helvetica Neue"/>
          <w:color w:val="000000"/>
          <w:sz w:val="22"/>
          <w:szCs w:val="22"/>
        </w:rPr>
      </w:pPr>
      <w:r w:rsidRPr="0025249D">
        <w:rPr>
          <w:rFonts w:ascii="Helvetica Neue" w:hAnsi="Helvetica Neue"/>
          <w:color w:val="000000"/>
          <w:sz w:val="22"/>
          <w:szCs w:val="22"/>
        </w:rPr>
        <w:t xml:space="preserve">Levey–Jennings plot of the internal STD1 IgG reference standard across ELISA analytical runs performed by two operators (OP1 and OP2). </w:t>
      </w:r>
      <w:r w:rsidRPr="00227EA7">
        <w:rPr>
          <w:rFonts w:ascii="Helvetica Neue" w:hAnsi="Helvetica Neue"/>
          <w:color w:val="000000"/>
          <w:sz w:val="22"/>
          <w:szCs w:val="22"/>
        </w:rPr>
        <w:t>Points represent the mean OD₄₅₀ of triplicate STD1 wells for each analytical run; the solid horizontal line indicates the overall mean, and dashed lines indicate the mean ±2 SD warning limits and mean ±3 SD acceptance limits. Fifteen of 16 measurements (93.8%) fell within the mean ±2 SD warning limits, and all 16 measurements (100%) fell within the mean ±3 SD acceptance limits</w:t>
      </w:r>
      <w:r w:rsidRPr="0025249D">
        <w:rPr>
          <w:rFonts w:ascii="Helvetica Neue" w:hAnsi="Helvetica Neue"/>
          <w:color w:val="000000"/>
          <w:sz w:val="22"/>
          <w:szCs w:val="22"/>
        </w:rPr>
        <w:t>.</w:t>
      </w:r>
    </w:p>
    <w:p w14:paraId="3575D305" w14:textId="77777777" w:rsidR="00BF22DA" w:rsidRPr="00CE14C9" w:rsidRDefault="00BF22DA" w:rsidP="00BF22DA">
      <w:pPr>
        <w:spacing w:line="240" w:lineRule="auto"/>
        <w:rPr>
          <w:rFonts w:ascii="Helvetica Neue" w:hAnsi="Helvetica Neue"/>
          <w:color w:val="000000"/>
          <w:sz w:val="22"/>
          <w:szCs w:val="22"/>
          <w:lang w:eastAsia="en-GB"/>
        </w:rPr>
      </w:pPr>
      <w:r w:rsidRPr="00CE14C9">
        <w:rPr>
          <w:rFonts w:ascii="Helvetica Neue" w:hAnsi="Helvetica Neue"/>
          <w:color w:val="000000"/>
          <w:sz w:val="22"/>
          <w:szCs w:val="22"/>
        </w:rPr>
        <w:br w:type="page"/>
      </w:r>
    </w:p>
    <w:p w14:paraId="042D37D1" w14:textId="77777777" w:rsidR="00BF22DA" w:rsidRPr="007A494A" w:rsidRDefault="00BF22DA" w:rsidP="00BF22DA">
      <w:pPr>
        <w:pStyle w:val="NormalWeb"/>
        <w:spacing w:before="240" w:beforeAutospacing="0" w:after="120" w:afterAutospacing="0" w:line="360" w:lineRule="auto"/>
        <w:rPr>
          <w:rFonts w:ascii="Helvetica Neue" w:hAnsi="Helvetica Neue"/>
          <w:noProof/>
          <w:sz w:val="22"/>
          <w:szCs w:val="22"/>
        </w:rPr>
      </w:pPr>
      <w:r w:rsidRPr="00CE14C9">
        <w:rPr>
          <w:rFonts w:ascii="Helvetica Neue" w:hAnsi="Helvetica Neue"/>
          <w:b/>
          <w:bCs/>
          <w:color w:val="000000"/>
          <w:sz w:val="22"/>
          <w:szCs w:val="22"/>
        </w:rPr>
        <w:lastRenderedPageBreak/>
        <w:t xml:space="preserve">Supplementary Figure S3: Distribution of </w:t>
      </w:r>
      <w:r w:rsidRPr="007A494A">
        <w:rPr>
          <w:rFonts w:ascii="Helvetica Neue" w:hAnsi="Helvetica Neue"/>
          <w:b/>
          <w:bCs/>
          <w:color w:val="000000"/>
          <w:sz w:val="22"/>
          <w:szCs w:val="22"/>
        </w:rPr>
        <w:t>BDBV glycoprotein-specific IgG responses in the biological negative-reference panel</w:t>
      </w:r>
    </w:p>
    <w:p w14:paraId="55C30DF6" w14:textId="77777777" w:rsidR="00BF22DA" w:rsidRPr="00CE14C9" w:rsidRDefault="00BF22DA" w:rsidP="00BF22DA">
      <w:pPr>
        <w:pStyle w:val="NormalWeb"/>
        <w:spacing w:before="240" w:beforeAutospacing="0" w:after="120" w:afterAutospacing="0" w:line="360" w:lineRule="auto"/>
        <w:rPr>
          <w:rFonts w:ascii="Helvetica Neue" w:hAnsi="Helvetica Neue"/>
          <w:color w:val="000000"/>
          <w:sz w:val="22"/>
          <w:szCs w:val="22"/>
        </w:rPr>
      </w:pPr>
      <w:r w:rsidRPr="007A494A">
        <w:rPr>
          <w:rFonts w:ascii="Helvetica Neue" w:hAnsi="Helvetica Neue"/>
          <w:noProof/>
          <w:sz w:val="22"/>
          <w:szCs w:val="22"/>
        </w:rPr>
        <w:drawing>
          <wp:inline distT="0" distB="0" distL="0" distR="0" wp14:anchorId="72EE04B0" wp14:editId="3036C4EE">
            <wp:extent cx="5993707" cy="3746066"/>
            <wp:effectExtent l="0" t="0" r="1270" b="63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3707" cy="3746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B89AF" w14:textId="77777777" w:rsidR="00BF22DA" w:rsidRPr="00174CA1" w:rsidRDefault="00BF22DA" w:rsidP="00BF22DA">
      <w:pPr>
        <w:spacing w:line="360" w:lineRule="auto"/>
        <w:rPr>
          <w:rFonts w:ascii="Helvetica Neue" w:hAnsi="Helvetica Neue"/>
          <w:color w:val="000000"/>
          <w:sz w:val="22"/>
          <w:szCs w:val="22"/>
          <w:lang w:eastAsia="en-GB"/>
        </w:rPr>
      </w:pPr>
      <w:r w:rsidRPr="00227EA7">
        <w:rPr>
          <w:rFonts w:ascii="Helvetica Neue" w:hAnsi="Helvetica Neue"/>
          <w:color w:val="000000"/>
          <w:sz w:val="22"/>
          <w:szCs w:val="22"/>
        </w:rPr>
        <w:t>Distribution of background-subtracted BDBV glycoprotein-specific OD₄₅₀ responses among 200 biological negative-reference specimens with no known or documented filovirus infection. The combined reference panel comprised healthy controls from EV (n=42), Protocol B00 (n=39), Protocol L (n=40) and Protocol E (n=50), and unexposed uninfected participants from northern Uganda (n=29). The mean background-subtracted OD₄₅₀ was 0.136 (SD, 0.176), yielding a BDBV-specific threshold of 0.488, calculated as the mean + 2 SD. The horizontal lines indicate the mean and derived threshold, as specified in the figure</w:t>
      </w:r>
      <w:r w:rsidRPr="00174CA1">
        <w:rPr>
          <w:rFonts w:ascii="Helvetica Neue" w:hAnsi="Helvetica Neue"/>
          <w:color w:val="000000"/>
          <w:sz w:val="22"/>
          <w:szCs w:val="22"/>
        </w:rPr>
        <w:t>.</w:t>
      </w:r>
      <w:r w:rsidRPr="00174CA1">
        <w:rPr>
          <w:rFonts w:ascii="Helvetica Neue" w:hAnsi="Helvetica Neue"/>
          <w:color w:val="000000"/>
          <w:sz w:val="22"/>
          <w:szCs w:val="22"/>
        </w:rPr>
        <w:br w:type="page"/>
      </w:r>
    </w:p>
    <w:p w14:paraId="6ADDC6F4" w14:textId="77777777" w:rsidR="00BF22DA" w:rsidRDefault="00BF22DA" w:rsidP="00BF22DA">
      <w:pPr>
        <w:spacing w:after="120" w:line="240" w:lineRule="auto"/>
        <w:rPr>
          <w:rFonts w:ascii="Helvetica Neue" w:hAnsi="Helvetica Neue"/>
          <w:b/>
          <w:bCs/>
          <w:color w:val="000000"/>
          <w:sz w:val="22"/>
          <w:szCs w:val="22"/>
        </w:rPr>
      </w:pPr>
      <w:r w:rsidRPr="00174CA1">
        <w:rPr>
          <w:rFonts w:ascii="Helvetica Neue" w:hAnsi="Helvetica Neue"/>
          <w:b/>
          <w:bCs/>
          <w:color w:val="000000"/>
          <w:sz w:val="22"/>
          <w:szCs w:val="22"/>
        </w:rPr>
        <w:lastRenderedPageBreak/>
        <w:t xml:space="preserve">Supplementary Figure S4. </w:t>
      </w:r>
      <w:r w:rsidRPr="00227EA7">
        <w:rPr>
          <w:rFonts w:ascii="Helvetica Neue" w:hAnsi="Helvetica Neue"/>
          <w:b/>
          <w:bCs/>
          <w:color w:val="000000"/>
          <w:sz w:val="22"/>
          <w:szCs w:val="22"/>
        </w:rPr>
        <w:t>Sensitivity analysis of the BDBV–SUDV-Gulu association after exclusion of a high SUDV-Gulu response</w:t>
      </w:r>
    </w:p>
    <w:p w14:paraId="59266A50" w14:textId="77777777" w:rsidR="00BF22DA" w:rsidRDefault="00BF22DA" w:rsidP="00BF22DA">
      <w:pPr>
        <w:spacing w:after="120" w:line="240" w:lineRule="auto"/>
        <w:rPr>
          <w:rFonts w:ascii="Helvetica Neue" w:hAnsi="Helvetica Neue"/>
          <w:b/>
          <w:bCs/>
          <w:color w:val="000000"/>
          <w:sz w:val="22"/>
          <w:szCs w:val="22"/>
        </w:rPr>
      </w:pPr>
      <w:r>
        <w:rPr>
          <w:rFonts w:ascii="Helvetica Neue" w:hAnsi="Helvetica Neue"/>
          <w:b/>
          <w:bCs/>
          <w:noProof/>
          <w:color w:val="000000"/>
          <w:sz w:val="22"/>
          <w:szCs w:val="22"/>
        </w:rPr>
        <w:drawing>
          <wp:inline distT="0" distB="0" distL="0" distR="0" wp14:anchorId="402DB501" wp14:editId="3485B956">
            <wp:extent cx="4572000" cy="4572000"/>
            <wp:effectExtent l="0" t="0" r="0" b="0"/>
            <wp:docPr id="195845825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458257" name="Picture 195845825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959A7" w14:textId="77777777" w:rsidR="00BF22DA" w:rsidRPr="00174CA1" w:rsidRDefault="00BF22DA" w:rsidP="00BF22DA">
      <w:pPr>
        <w:spacing w:after="120" w:line="360" w:lineRule="auto"/>
        <w:rPr>
          <w:rFonts w:ascii="Helvetica Neue" w:hAnsi="Helvetica Neue"/>
          <w:b/>
          <w:bCs/>
          <w:color w:val="000000"/>
          <w:sz w:val="22"/>
          <w:szCs w:val="22"/>
          <w:lang w:eastAsia="en-GB"/>
        </w:rPr>
      </w:pPr>
      <w:r w:rsidRPr="00174CA1">
        <w:rPr>
          <w:rFonts w:ascii="Helvetica Neue" w:hAnsi="Helvetica Neue"/>
          <w:color w:val="000000"/>
          <w:sz w:val="22"/>
          <w:szCs w:val="22"/>
        </w:rPr>
        <w:t xml:space="preserve">Scatter plot showing </w:t>
      </w:r>
      <w:r w:rsidRPr="00227EA7">
        <w:rPr>
          <w:rFonts w:ascii="Helvetica Neue" w:hAnsi="Helvetica Neue"/>
          <w:color w:val="000000"/>
          <w:sz w:val="22"/>
          <w:szCs w:val="22"/>
        </w:rPr>
        <w:t>sensitivity analysis of the association between background-subtracted BDBV and SUDV-Gulu glycoprotein-specific OD₄₅₀ responses after exclusion of the participant with the highest SUDV-Gulu response. The sensitivity analysis included 39 participants and yielded Spearman ρ=0.27 and two-sided P=0.097. Each point represents one participant; the line and shaded band represent the fitted linear trend and 95% confidence interval, respectively. The excluded participant was retained in the primary analysis of all 40 participants</w:t>
      </w:r>
      <w:r w:rsidRPr="00174CA1">
        <w:rPr>
          <w:rFonts w:ascii="Helvetica Neue" w:hAnsi="Helvetica Neue"/>
          <w:color w:val="000000"/>
          <w:sz w:val="22"/>
          <w:szCs w:val="22"/>
        </w:rPr>
        <w:t>.</w:t>
      </w:r>
      <w:r w:rsidRPr="00174CA1">
        <w:rPr>
          <w:rFonts w:ascii="Helvetica Neue" w:hAnsi="Helvetica Neue"/>
          <w:b/>
          <w:bCs/>
          <w:color w:val="000000"/>
          <w:sz w:val="22"/>
          <w:szCs w:val="22"/>
        </w:rPr>
        <w:br w:type="page"/>
      </w:r>
    </w:p>
    <w:p w14:paraId="1481264D" w14:textId="77777777" w:rsidR="00BF22DA" w:rsidRPr="00CE14C9" w:rsidRDefault="00BF22DA" w:rsidP="00BF22DA">
      <w:pPr>
        <w:pStyle w:val="NormalWeb"/>
        <w:spacing w:before="240" w:beforeAutospacing="0" w:after="0" w:afterAutospacing="0" w:line="360" w:lineRule="auto"/>
        <w:rPr>
          <w:rFonts w:ascii="Helvetica Neue" w:hAnsi="Helvetica Neue"/>
          <w:b/>
          <w:bCs/>
          <w:color w:val="000000"/>
          <w:sz w:val="22"/>
          <w:szCs w:val="22"/>
        </w:rPr>
      </w:pPr>
      <w:r w:rsidRPr="00CE14C9">
        <w:rPr>
          <w:rFonts w:ascii="Helvetica Neue" w:hAnsi="Helvetica Neue"/>
          <w:b/>
          <w:bCs/>
          <w:color w:val="000000"/>
          <w:sz w:val="22"/>
          <w:szCs w:val="22"/>
        </w:rPr>
        <w:lastRenderedPageBreak/>
        <w:t>Supplementary Figure S</w:t>
      </w:r>
      <w:r>
        <w:rPr>
          <w:rFonts w:ascii="Helvetica Neue" w:hAnsi="Helvetica Neue"/>
          <w:b/>
          <w:bCs/>
          <w:color w:val="000000"/>
          <w:sz w:val="22"/>
          <w:szCs w:val="22"/>
        </w:rPr>
        <w:t>5</w:t>
      </w:r>
      <w:r w:rsidRPr="00CE14C9">
        <w:rPr>
          <w:rFonts w:ascii="Helvetica Neue" w:hAnsi="Helvetica Neue"/>
          <w:b/>
          <w:bCs/>
          <w:color w:val="000000"/>
          <w:sz w:val="22"/>
          <w:szCs w:val="22"/>
        </w:rPr>
        <w:t>: Inter-operator reproducibility of endpoint titres</w:t>
      </w:r>
    </w:p>
    <w:p w14:paraId="39A70827" w14:textId="77777777" w:rsidR="00BF22DA" w:rsidRPr="00CE14C9" w:rsidRDefault="00BF22DA" w:rsidP="00BF22DA">
      <w:pPr>
        <w:pStyle w:val="NormalWeb"/>
        <w:spacing w:before="240" w:beforeAutospacing="0" w:after="120" w:afterAutospacing="0" w:line="360" w:lineRule="auto"/>
        <w:rPr>
          <w:rFonts w:ascii="Helvetica Neue" w:hAnsi="Helvetica Neue"/>
          <w:b/>
          <w:bCs/>
          <w:color w:val="000000"/>
          <w:sz w:val="22"/>
          <w:szCs w:val="22"/>
        </w:rPr>
      </w:pPr>
      <w:r w:rsidRPr="007A494A">
        <w:rPr>
          <w:rFonts w:ascii="Helvetica Neue" w:hAnsi="Helvetica Neue"/>
          <w:noProof/>
          <w:sz w:val="22"/>
          <w:szCs w:val="22"/>
        </w:rPr>
        <w:drawing>
          <wp:inline distT="0" distB="0" distL="0" distR="0" wp14:anchorId="0923E725" wp14:editId="4167342F">
            <wp:extent cx="3959225" cy="3959225"/>
            <wp:effectExtent l="12700" t="12700" r="15875" b="15875"/>
            <wp:docPr id="192704270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042704" name="Picture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9584" cy="3959584"/>
                    </a:xfrm>
                    <a:prstGeom prst="rect">
                      <a:avLst/>
                    </a:prstGeom>
                    <a:ln w="6350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57F09223" w14:textId="77777777" w:rsidR="00BF22DA" w:rsidRPr="00174CA1" w:rsidRDefault="00BF22DA" w:rsidP="00BF22DA">
      <w:pPr>
        <w:pStyle w:val="NormalWeb"/>
        <w:spacing w:before="0" w:beforeAutospacing="0" w:after="120" w:afterAutospacing="0" w:line="360" w:lineRule="auto"/>
        <w:rPr>
          <w:rFonts w:ascii="Helvetica Neue" w:hAnsi="Helvetica Neue"/>
          <w:color w:val="000000"/>
          <w:sz w:val="22"/>
          <w:szCs w:val="22"/>
        </w:rPr>
      </w:pPr>
      <w:r w:rsidRPr="00174CA1">
        <w:rPr>
          <w:rFonts w:ascii="Helvetica Neue" w:hAnsi="Helvetica Neue"/>
          <w:color w:val="000000"/>
          <w:sz w:val="22"/>
          <w:szCs w:val="22"/>
        </w:rPr>
        <w:t xml:space="preserve">Scatter plot </w:t>
      </w:r>
      <w:r w:rsidRPr="00227EA7">
        <w:rPr>
          <w:rFonts w:ascii="Helvetica Neue" w:hAnsi="Helvetica Neue"/>
          <w:color w:val="000000"/>
          <w:sz w:val="22"/>
          <w:szCs w:val="22"/>
        </w:rPr>
        <w:t>comparison of independently determined endpoint antibody titres generated by two operators for BDBV and EBOV-Mayinga glycoprotein-specific IgG responses. Each point represents paired endpoint-titre measurements from the same participant and glycoprotein obtained independently by the two operators. Inter-operator endpoint titres were strongly correlated (Spearman ρ=0.94, two-sided P&lt;0.0001). The line and shaded band represent the fitted trend and 95% confidence interval, respectively</w:t>
      </w:r>
      <w:r w:rsidRPr="00174CA1">
        <w:rPr>
          <w:rFonts w:ascii="Helvetica Neue" w:hAnsi="Helvetica Neue"/>
          <w:color w:val="000000"/>
          <w:sz w:val="22"/>
          <w:szCs w:val="22"/>
        </w:rPr>
        <w:t>.</w:t>
      </w:r>
    </w:p>
    <w:p w14:paraId="43233DFA" w14:textId="77777777" w:rsidR="00BF22DA" w:rsidRPr="007A494A" w:rsidRDefault="00BF22DA" w:rsidP="00BF22DA">
      <w:pPr>
        <w:spacing w:line="240" w:lineRule="auto"/>
      </w:pPr>
    </w:p>
    <w:p w14:paraId="3A0D83ED" w14:textId="77777777" w:rsidR="00E023F9" w:rsidRDefault="00E023F9"/>
    <w:sectPr w:rsidR="00E023F9" w:rsidSect="00BF22DA">
      <w:headerReference w:type="default" r:id="rId9"/>
      <w:footerReference w:type="default" r:id="rId10"/>
      <w:pgSz w:w="12240" w:h="15840" w:code="1"/>
      <w:pgMar w:top="1440" w:right="1161" w:bottom="1440" w:left="1440" w:header="720" w:footer="720" w:gutter="0"/>
      <w:lnNumType w:countBy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3E720" w14:textId="77777777" w:rsidR="00BF22DA" w:rsidRDefault="00BF22DA">
    <w:r>
      <w:fldChar w:fldCharType="begin"/>
    </w:r>
    <w:r>
      <w:instrText xml:space="preserve"> MACROBUTTON NoMacro [Insert Running title of &lt;72 characters]</w:instrText>
    </w:r>
    <w:r>
      <w:fldChar w:fldCharType="end"/>
    </w:r>
  </w:p>
  <w:p w14:paraId="1C468F6B" w14:textId="77777777" w:rsidR="00BF22DA" w:rsidRDefault="00BF22DA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99260" w14:textId="77777777" w:rsidR="00BF22DA" w:rsidRDefault="00BF22DA">
    <w:pPr>
      <w:pStyle w:val="Header"/>
      <w:jc w:val="right"/>
    </w:pPr>
    <w:r>
      <w:fldChar w:fldCharType="begin"/>
    </w:r>
    <w:r>
      <w:instrText xml:space="preserve"> MACROBUTTON NoMacro [First Authors Last Name]</w:instrText>
    </w:r>
    <w:r>
      <w:fldChar w:fldCharType="end"/>
    </w:r>
    <w:r>
      <w:t xml:space="preserve"> 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2DA"/>
    <w:rsid w:val="000C4033"/>
    <w:rsid w:val="00173ED8"/>
    <w:rsid w:val="002F50B1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BF22DA"/>
    <w:rsid w:val="00C14ACD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CB3193"/>
  <w15:chartTrackingRefBased/>
  <w15:docId w15:val="{5A48D2D0-31C9-4296-B489-B468C6733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22DA"/>
    <w:pPr>
      <w:spacing w:after="0" w:line="48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22D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22D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nhideWhenUsed/>
    <w:qFormat/>
    <w:rsid w:val="00BF22D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22D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22D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22D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22D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22D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22D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22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22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BF22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22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22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22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22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22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22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22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F22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22D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F22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22D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F22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22D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F22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22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22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22D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BF22D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F22DA"/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styleId="PageNumber">
    <w:name w:val="page number"/>
    <w:basedOn w:val="DefaultParagraphFont"/>
    <w:rsid w:val="00BF22DA"/>
  </w:style>
  <w:style w:type="paragraph" w:styleId="NormalWeb">
    <w:name w:val="Normal (Web)"/>
    <w:basedOn w:val="Normal"/>
    <w:uiPriority w:val="99"/>
    <w:unhideWhenUsed/>
    <w:rsid w:val="00BF22DA"/>
    <w:pPr>
      <w:spacing w:before="100" w:beforeAutospacing="1" w:after="100" w:afterAutospacing="1" w:line="240" w:lineRule="auto"/>
    </w:pPr>
    <w:rPr>
      <w:lang w:eastAsia="en-GB"/>
    </w:rPr>
  </w:style>
  <w:style w:type="character" w:styleId="Strong">
    <w:name w:val="Strong"/>
    <w:basedOn w:val="DefaultParagraphFont"/>
    <w:uiPriority w:val="22"/>
    <w:qFormat/>
    <w:rsid w:val="00BF22DA"/>
    <w:rPr>
      <w:b/>
      <w:bCs/>
    </w:rPr>
  </w:style>
  <w:style w:type="character" w:customStyle="1" w:styleId="apple-converted-space">
    <w:name w:val="apple-converted-space"/>
    <w:basedOn w:val="DefaultParagraphFont"/>
    <w:rsid w:val="00BF22DA"/>
  </w:style>
  <w:style w:type="character" w:styleId="Emphasis">
    <w:name w:val="Emphasis"/>
    <w:basedOn w:val="DefaultParagraphFont"/>
    <w:uiPriority w:val="20"/>
    <w:qFormat/>
    <w:rsid w:val="00BF22DA"/>
    <w:rPr>
      <w:i/>
      <w:iCs/>
    </w:rPr>
  </w:style>
  <w:style w:type="paragraph" w:styleId="Caption">
    <w:name w:val="caption"/>
    <w:basedOn w:val="Normal"/>
    <w:next w:val="Normal"/>
    <w:unhideWhenUsed/>
    <w:qFormat/>
    <w:rsid w:val="00BF22DA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customStyle="1" w:styleId="pdq2pgselectionanchorcontainer">
    <w:name w:val="pdq2pg_selectionanchorcontainer"/>
    <w:basedOn w:val="Normal"/>
    <w:rsid w:val="00BF22DA"/>
    <w:pPr>
      <w:spacing w:before="100" w:beforeAutospacing="1" w:after="100" w:afterAutospacing="1" w:line="240" w:lineRule="auto"/>
    </w:pPr>
    <w:rPr>
      <w:lang w:eastAsia="en-GB"/>
    </w:rPr>
  </w:style>
  <w:style w:type="table" w:styleId="TableGrid">
    <w:name w:val="Table Grid"/>
    <w:basedOn w:val="TableNormal"/>
    <w:uiPriority w:val="39"/>
    <w:rsid w:val="00BF22D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BF2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footer" Target="footer1.xml"/><Relationship Id="rId4" Type="http://schemas.openxmlformats.org/officeDocument/2006/relationships/image" Target="media/image1.png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968</Words>
  <Characters>5519</Characters>
  <Application>Microsoft Office Word</Application>
  <DocSecurity>0</DocSecurity>
  <Lines>45</Lines>
  <Paragraphs>12</Paragraphs>
  <ScaleCrop>false</ScaleCrop>
  <Company/>
  <LinksUpToDate>false</LinksUpToDate>
  <CharactersWithSpaces>6475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2026-08-26T08:39:00Z</dcterms:created>
  <dcterms:modified xsi:type="dcterms:W3CDTF">2026-08-26T08:39:00Z</dcterms:modified>
</cp:coreProperties>
</file>