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2198215">
      <w:pPr>
        <w:spacing w:beforeLines="0" w:afterLines="0"/>
        <w:jc w:val="left"/>
      </w:pPr>
      <w:r>
        <w:t>To evaluate the robustness of our findings, we performed standard multivariable logistic regression entering the same set of baseline variables. Due to complete separation of the outcome in the endoscopic group, the treatment effect could not be estimated by standard logistic regression. We therefore applied Firth’s penalized likelihood method, which provided a valid estimate for the effect of surgical approach (OR 0.020, 95% CI 0.001</w:t>
      </w:r>
      <w:r>
        <w:rPr>
          <w:rFonts w:hint="eastAsia"/>
          <w:lang w:val="en-US" w:eastAsia="zh-CN"/>
        </w:rPr>
        <w:t>-</w:t>
      </w:r>
      <w:r>
        <w:t>0.347, P=0.007). The coefficients of other covariates remained similar between the two models, supporting the stability of our main analysis. Results are presented in Supplementary Table S1.</w:t>
      </w:r>
    </w:p>
    <w:p w14:paraId="52868F24">
      <w:pPr>
        <w:spacing w:beforeLines="0" w:afterLines="0"/>
        <w:jc w:val="left"/>
      </w:pPr>
    </w:p>
    <w:p w14:paraId="1BB54897">
      <w:pPr>
        <w:spacing w:beforeLines="0" w:afterLines="0"/>
        <w:ind w:firstLine="210" w:firstLineChars="100"/>
        <w:jc w:val="left"/>
      </w:pPr>
      <w:r>
        <w:rPr>
          <w:rFonts w:hint="default" w:ascii="Times New Roman" w:hAnsi="Times New Roman" w:eastAsia="等线" w:cs="Times New Roman"/>
          <w:b/>
          <w:sz w:val="21"/>
          <w:szCs w:val="21"/>
        </w:rPr>
        <w:t>Table S1 Sensitivity Analysis: Standard vs Firth’s Logistic Regression</w:t>
      </w:r>
    </w:p>
    <w:tbl>
      <w:tblPr>
        <w:tblStyle w:val="2"/>
        <w:tblW w:w="8250" w:type="dxa"/>
        <w:jc w:val="center"/>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Layout w:type="autofit"/>
        <w:tblCellMar>
          <w:top w:w="0" w:type="dxa"/>
          <w:left w:w="10" w:type="dxa"/>
          <w:bottom w:w="0" w:type="dxa"/>
          <w:right w:w="10" w:type="dxa"/>
        </w:tblCellMar>
      </w:tblPr>
      <w:tblGrid>
        <w:gridCol w:w="2913"/>
        <w:gridCol w:w="2775"/>
        <w:gridCol w:w="2562"/>
      </w:tblGrid>
      <w:tr w14:paraId="6E63F1C2">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tblHeader/>
          <w:jc w:val="center"/>
        </w:trPr>
        <w:tc>
          <w:tcPr>
            <w:tcW w:w="2914" w:type="dxa"/>
            <w:tcBorders>
              <w:top w:val="single" w:color="auto" w:sz="12" w:space="0"/>
              <w:left w:val="nil"/>
              <w:bottom w:val="nil"/>
              <w:right w:val="nil"/>
            </w:tcBorders>
            <w:noWrap w:val="0"/>
            <w:tcMar>
              <w:top w:w="60" w:type="dxa"/>
              <w:left w:w="120" w:type="dxa"/>
              <w:bottom w:w="30" w:type="dxa"/>
              <w:right w:w="120" w:type="dxa"/>
            </w:tcMar>
            <w:vAlign w:val="center"/>
          </w:tcPr>
          <w:p w14:paraId="2C5D887B">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15"/>
                <w:szCs w:val="15"/>
              </w:rPr>
            </w:pPr>
            <w:r>
              <w:rPr>
                <w:rFonts w:hint="default" w:ascii="Times New Roman" w:hAnsi="Times New Roman" w:eastAsia="等线" w:cs="Times New Roman"/>
                <w:b/>
                <w:sz w:val="15"/>
                <w:szCs w:val="15"/>
              </w:rPr>
              <w:t>Variables</w:t>
            </w:r>
          </w:p>
        </w:tc>
        <w:tc>
          <w:tcPr>
            <w:tcW w:w="2775" w:type="dxa"/>
            <w:tcBorders>
              <w:top w:val="single" w:color="auto" w:sz="12" w:space="0"/>
              <w:left w:val="nil"/>
              <w:bottom w:val="nil"/>
              <w:right w:val="nil"/>
            </w:tcBorders>
            <w:noWrap w:val="0"/>
            <w:tcMar>
              <w:top w:w="60" w:type="dxa"/>
              <w:left w:w="120" w:type="dxa"/>
              <w:bottom w:w="30" w:type="dxa"/>
              <w:right w:w="120" w:type="dxa"/>
            </w:tcMar>
            <w:vAlign w:val="center"/>
          </w:tcPr>
          <w:p w14:paraId="2FEB277D">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15"/>
                <w:szCs w:val="15"/>
              </w:rPr>
            </w:pPr>
            <w:r>
              <w:rPr>
                <w:rFonts w:hint="default" w:ascii="Times New Roman" w:hAnsi="Times New Roman" w:eastAsia="等线" w:cs="Times New Roman"/>
                <w:b/>
                <w:sz w:val="15"/>
                <w:szCs w:val="15"/>
              </w:rPr>
              <w:t xml:space="preserve">Standard Logistic, OR </w:t>
            </w:r>
          </w:p>
          <w:p w14:paraId="3EE88FBD">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15"/>
                <w:szCs w:val="15"/>
              </w:rPr>
            </w:pPr>
            <w:r>
              <w:rPr>
                <w:rFonts w:hint="default" w:ascii="Times New Roman" w:hAnsi="Times New Roman" w:eastAsia="等线" w:cs="Times New Roman"/>
                <w:b/>
                <w:sz w:val="15"/>
                <w:szCs w:val="15"/>
              </w:rPr>
              <w:t>(95% CI)</w:t>
            </w:r>
          </w:p>
        </w:tc>
        <w:tc>
          <w:tcPr>
            <w:tcW w:w="2562" w:type="dxa"/>
            <w:tcBorders>
              <w:top w:val="single" w:color="auto" w:sz="12" w:space="0"/>
              <w:left w:val="nil"/>
              <w:bottom w:val="nil"/>
              <w:right w:val="nil"/>
            </w:tcBorders>
            <w:noWrap w:val="0"/>
            <w:tcMar>
              <w:top w:w="60" w:type="dxa"/>
              <w:left w:w="120" w:type="dxa"/>
              <w:bottom w:w="30" w:type="dxa"/>
              <w:right w:w="120" w:type="dxa"/>
            </w:tcMar>
            <w:vAlign w:val="center"/>
          </w:tcPr>
          <w:p w14:paraId="1E418832">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15"/>
                <w:szCs w:val="15"/>
              </w:rPr>
            </w:pPr>
            <w:r>
              <w:rPr>
                <w:rFonts w:hint="default" w:ascii="Times New Roman" w:hAnsi="Times New Roman" w:eastAsia="等线" w:cs="Times New Roman"/>
                <w:b/>
                <w:sz w:val="15"/>
                <w:szCs w:val="15"/>
              </w:rPr>
              <w:t xml:space="preserve">Firth’s Logistic, OR </w:t>
            </w:r>
          </w:p>
          <w:p w14:paraId="063E9060">
            <w:pPr>
              <w:snapToGrid w:val="0"/>
              <w:spacing w:before="120" w:after="120" w:line="240" w:lineRule="auto"/>
              <w:ind w:left="0" w:leftChars="0" w:right="0" w:rightChars="0" w:firstLine="0" w:firstLineChars="0"/>
              <w:jc w:val="center"/>
              <w:rPr>
                <w:rFonts w:hint="default" w:ascii="Times New Roman" w:hAnsi="Times New Roman" w:eastAsia="等线" w:cs="Times New Roman"/>
                <w:b/>
                <w:sz w:val="15"/>
                <w:szCs w:val="15"/>
              </w:rPr>
            </w:pPr>
            <w:r>
              <w:rPr>
                <w:rFonts w:hint="default" w:ascii="Times New Roman" w:hAnsi="Times New Roman" w:eastAsia="等线" w:cs="Times New Roman"/>
                <w:b/>
                <w:sz w:val="15"/>
                <w:szCs w:val="15"/>
              </w:rPr>
              <w:t>(95% CI)</w:t>
            </w:r>
          </w:p>
        </w:tc>
      </w:tr>
      <w:tr w14:paraId="157478C4">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2914" w:type="dxa"/>
            <w:tcBorders>
              <w:top w:val="single" w:color="auto" w:sz="4" w:space="0"/>
              <w:left w:val="nil"/>
              <w:bottom w:val="nil"/>
              <w:right w:val="nil"/>
            </w:tcBorders>
            <w:noWrap w:val="0"/>
            <w:tcMar>
              <w:top w:w="60" w:type="dxa"/>
              <w:left w:w="120" w:type="dxa"/>
              <w:bottom w:w="30" w:type="dxa"/>
              <w:right w:w="120" w:type="dxa"/>
            </w:tcMar>
            <w:vAlign w:val="center"/>
          </w:tcPr>
          <w:p w14:paraId="607E4563">
            <w:pPr>
              <w:snapToGrid w:val="0"/>
              <w:spacing w:before="120" w:after="120" w:line="240" w:lineRule="auto"/>
              <w:ind w:left="0" w:leftChars="0" w:right="0" w:rightChars="0" w:firstLine="0" w:firstLineChars="0"/>
              <w:jc w:val="center"/>
              <w:rPr>
                <w:rFonts w:hint="default" w:ascii="Times New Roman" w:hAnsi="Times New Roman" w:eastAsia="等线" w:cs="Times New Roman"/>
                <w:sz w:val="15"/>
                <w:szCs w:val="15"/>
              </w:rPr>
            </w:pPr>
            <w:r>
              <w:rPr>
                <w:rFonts w:hint="default" w:ascii="Times New Roman" w:hAnsi="Times New Roman" w:eastAsia="等线" w:cs="Times New Roman"/>
                <w:b w:val="0"/>
                <w:bCs w:val="0"/>
                <w:sz w:val="15"/>
                <w:szCs w:val="15"/>
              </w:rPr>
              <w:t>Treat (</w:t>
            </w:r>
            <w:r>
              <w:rPr>
                <w:rFonts w:hint="default" w:ascii="Times New Roman" w:hAnsi="Times New Roman" w:eastAsia="等线" w:cs="Times New Roman"/>
                <w:b w:val="0"/>
                <w:bCs w:val="0"/>
                <w:sz w:val="15"/>
                <w:szCs w:val="15"/>
                <w:lang w:val="en-US" w:eastAsia="zh-CN"/>
              </w:rPr>
              <w:t>Neuroe</w:t>
            </w:r>
            <w:r>
              <w:rPr>
                <w:rFonts w:hint="default" w:ascii="Times New Roman" w:hAnsi="Times New Roman" w:eastAsia="等线" w:cs="Times New Roman"/>
                <w:b w:val="0"/>
                <w:bCs w:val="0"/>
                <w:sz w:val="15"/>
                <w:szCs w:val="15"/>
              </w:rPr>
              <w:t xml:space="preserve">ndoscopic </w:t>
            </w:r>
            <w:r>
              <w:rPr>
                <w:rFonts w:hint="default" w:ascii="Times New Roman" w:hAnsi="Times New Roman" w:eastAsia="等线" w:cs="Times New Roman"/>
                <w:b w:val="0"/>
                <w:bCs w:val="0"/>
                <w:sz w:val="15"/>
                <w:szCs w:val="15"/>
                <w:lang w:val="en-US" w:eastAsia="zh-CN"/>
              </w:rPr>
              <w:t>surgery</w:t>
            </w:r>
            <w:r>
              <w:rPr>
                <w:rFonts w:hint="default" w:ascii="Times New Roman" w:hAnsi="Times New Roman" w:eastAsia="等线" w:cs="Times New Roman"/>
                <w:b w:val="0"/>
                <w:bCs w:val="0"/>
                <w:sz w:val="15"/>
                <w:szCs w:val="15"/>
              </w:rPr>
              <w:t xml:space="preserve"> vs Conventional </w:t>
            </w:r>
            <w:r>
              <w:rPr>
                <w:rFonts w:hint="default" w:ascii="Times New Roman" w:hAnsi="Times New Roman" w:eastAsia="等线" w:cs="Times New Roman"/>
                <w:b w:val="0"/>
                <w:bCs w:val="0"/>
                <w:sz w:val="15"/>
                <w:szCs w:val="15"/>
                <w:lang w:val="en-US" w:eastAsia="zh-CN"/>
              </w:rPr>
              <w:t>surgery</w:t>
            </w:r>
            <w:r>
              <w:rPr>
                <w:rFonts w:hint="default" w:ascii="Times New Roman" w:hAnsi="Times New Roman" w:eastAsia="等线" w:cs="Times New Roman"/>
                <w:b w:val="0"/>
                <w:bCs w:val="0"/>
                <w:sz w:val="15"/>
                <w:szCs w:val="15"/>
              </w:rPr>
              <w:t>)</w:t>
            </w:r>
          </w:p>
        </w:tc>
        <w:tc>
          <w:tcPr>
            <w:tcW w:w="2775" w:type="dxa"/>
            <w:tcBorders>
              <w:top w:val="single" w:color="auto" w:sz="4" w:space="0"/>
              <w:left w:val="nil"/>
              <w:bottom w:val="nil"/>
              <w:right w:val="nil"/>
            </w:tcBorders>
            <w:noWrap w:val="0"/>
            <w:tcMar>
              <w:top w:w="60" w:type="dxa"/>
              <w:left w:w="120" w:type="dxa"/>
              <w:bottom w:w="30" w:type="dxa"/>
              <w:right w:w="120" w:type="dxa"/>
            </w:tcMar>
            <w:vAlign w:val="center"/>
          </w:tcPr>
          <w:p w14:paraId="6C19F1FB">
            <w:pPr>
              <w:snapToGrid w:val="0"/>
              <w:spacing w:before="120" w:after="120" w:line="240" w:lineRule="auto"/>
              <w:ind w:left="0" w:leftChars="0" w:right="0" w:rightChars="0" w:firstLine="0" w:firstLineChars="0"/>
              <w:jc w:val="left"/>
              <w:rPr>
                <w:rFonts w:hint="default" w:ascii="Times New Roman" w:hAnsi="Times New Roman" w:eastAsia="等线" w:cs="Times New Roman"/>
                <w:sz w:val="15"/>
                <w:szCs w:val="15"/>
              </w:rPr>
            </w:pPr>
            <w:r>
              <w:rPr>
                <w:rFonts w:hint="default" w:ascii="Times New Roman" w:hAnsi="Times New Roman" w:eastAsia="等线" w:cs="Times New Roman"/>
                <w:sz w:val="15"/>
                <w:szCs w:val="15"/>
              </w:rPr>
              <w:t>Not estimable</w:t>
            </w:r>
          </w:p>
        </w:tc>
        <w:tc>
          <w:tcPr>
            <w:tcW w:w="2562" w:type="dxa"/>
            <w:tcBorders>
              <w:top w:val="single" w:color="auto" w:sz="4" w:space="0"/>
              <w:left w:val="nil"/>
              <w:bottom w:val="nil"/>
              <w:right w:val="nil"/>
            </w:tcBorders>
            <w:noWrap w:val="0"/>
            <w:tcMar>
              <w:top w:w="60" w:type="dxa"/>
              <w:left w:w="120" w:type="dxa"/>
              <w:bottom w:w="30" w:type="dxa"/>
              <w:right w:w="120" w:type="dxa"/>
            </w:tcMar>
            <w:vAlign w:val="center"/>
          </w:tcPr>
          <w:p w14:paraId="4D3F409C">
            <w:pPr>
              <w:snapToGrid w:val="0"/>
              <w:spacing w:before="120" w:after="120" w:line="240" w:lineRule="auto"/>
              <w:ind w:left="0" w:leftChars="0" w:right="0" w:rightChars="0" w:firstLine="0" w:firstLineChars="0"/>
              <w:jc w:val="center"/>
              <w:rPr>
                <w:rFonts w:hint="default" w:ascii="Times New Roman" w:hAnsi="Times New Roman" w:eastAsia="等线" w:cs="Times New Roman"/>
                <w:kern w:val="2"/>
                <w:sz w:val="15"/>
                <w:szCs w:val="15"/>
              </w:rPr>
            </w:pPr>
            <w:bookmarkStart w:id="0" w:name="_GoBack"/>
            <w:r>
              <w:rPr>
                <w:rFonts w:hint="default" w:ascii="Times New Roman" w:hAnsi="Times New Roman" w:eastAsia="等线" w:cs="Times New Roman"/>
                <w:kern w:val="2"/>
                <w:sz w:val="15"/>
                <w:szCs w:val="15"/>
              </w:rPr>
              <w:t>0.014 (0.001–0.299)</w:t>
            </w:r>
            <w:bookmarkEnd w:id="0"/>
          </w:p>
        </w:tc>
      </w:tr>
      <w:tr w14:paraId="3D735873">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2914" w:type="dxa"/>
            <w:tcBorders>
              <w:top w:val="nil"/>
              <w:left w:val="nil"/>
              <w:bottom w:val="nil"/>
              <w:right w:val="nil"/>
            </w:tcBorders>
            <w:noWrap w:val="0"/>
            <w:tcMar>
              <w:top w:w="60" w:type="dxa"/>
              <w:left w:w="120" w:type="dxa"/>
              <w:bottom w:w="30" w:type="dxa"/>
              <w:right w:w="120" w:type="dxa"/>
            </w:tcMar>
            <w:vAlign w:val="center"/>
          </w:tcPr>
          <w:p w14:paraId="1BCD1B80">
            <w:pPr>
              <w:snapToGrid w:val="0"/>
              <w:spacing w:before="120" w:after="120" w:line="240" w:lineRule="auto"/>
              <w:ind w:left="0" w:leftChars="0" w:right="0" w:rightChars="0" w:firstLine="0" w:firstLineChars="0"/>
              <w:jc w:val="center"/>
              <w:rPr>
                <w:rFonts w:hint="default" w:ascii="Times New Roman" w:hAnsi="Times New Roman" w:eastAsia="等线" w:cs="Times New Roman"/>
                <w:sz w:val="15"/>
                <w:szCs w:val="15"/>
              </w:rPr>
            </w:pPr>
            <w:r>
              <w:rPr>
                <w:rFonts w:hint="default" w:ascii="Times New Roman" w:hAnsi="Times New Roman" w:eastAsia="等线" w:cs="Times New Roman"/>
                <w:sz w:val="15"/>
                <w:szCs w:val="15"/>
              </w:rPr>
              <w:t>Age</w:t>
            </w:r>
          </w:p>
        </w:tc>
        <w:tc>
          <w:tcPr>
            <w:tcW w:w="2775" w:type="dxa"/>
            <w:tcBorders>
              <w:top w:val="nil"/>
              <w:left w:val="nil"/>
              <w:bottom w:val="nil"/>
              <w:right w:val="nil"/>
            </w:tcBorders>
            <w:noWrap w:val="0"/>
            <w:tcMar>
              <w:top w:w="60" w:type="dxa"/>
              <w:left w:w="120" w:type="dxa"/>
              <w:bottom w:w="30" w:type="dxa"/>
              <w:right w:w="120" w:type="dxa"/>
            </w:tcMar>
            <w:vAlign w:val="center"/>
          </w:tcPr>
          <w:p w14:paraId="6FB54A47">
            <w:pPr>
              <w:snapToGrid w:val="0"/>
              <w:spacing w:before="120" w:after="120" w:line="240" w:lineRule="auto"/>
              <w:ind w:left="0" w:leftChars="0" w:right="0" w:rightChars="0" w:firstLine="0" w:firstLineChars="0"/>
              <w:jc w:val="left"/>
              <w:rPr>
                <w:rFonts w:hint="default" w:ascii="Times New Roman" w:hAnsi="Times New Roman" w:eastAsia="等线" w:cs="Times New Roman"/>
                <w:sz w:val="15"/>
                <w:szCs w:val="15"/>
              </w:rPr>
            </w:pPr>
            <w:r>
              <w:rPr>
                <w:rFonts w:hint="default" w:ascii="Times New Roman" w:hAnsi="Times New Roman" w:eastAsia="等线" w:cs="Times New Roman"/>
                <w:sz w:val="15"/>
                <w:szCs w:val="15"/>
              </w:rPr>
              <w:t>0.798 (0.556–1.144)</w:t>
            </w:r>
          </w:p>
        </w:tc>
        <w:tc>
          <w:tcPr>
            <w:tcW w:w="2562" w:type="dxa"/>
            <w:tcBorders>
              <w:top w:val="nil"/>
              <w:left w:val="nil"/>
              <w:bottom w:val="nil"/>
              <w:right w:val="nil"/>
            </w:tcBorders>
            <w:noWrap w:val="0"/>
            <w:tcMar>
              <w:top w:w="60" w:type="dxa"/>
              <w:left w:w="120" w:type="dxa"/>
              <w:bottom w:w="30" w:type="dxa"/>
              <w:right w:w="120" w:type="dxa"/>
            </w:tcMar>
            <w:vAlign w:val="center"/>
          </w:tcPr>
          <w:p w14:paraId="368B7045">
            <w:pPr>
              <w:snapToGrid w:val="0"/>
              <w:spacing w:before="120" w:after="120" w:line="240" w:lineRule="auto"/>
              <w:ind w:left="0" w:leftChars="0" w:right="0" w:rightChars="0" w:firstLine="0" w:firstLineChars="0"/>
              <w:jc w:val="center"/>
              <w:rPr>
                <w:rFonts w:hint="default" w:ascii="Times New Roman" w:hAnsi="Times New Roman" w:eastAsia="等线" w:cs="Times New Roman"/>
                <w:kern w:val="2"/>
                <w:sz w:val="15"/>
                <w:szCs w:val="15"/>
              </w:rPr>
            </w:pPr>
            <w:r>
              <w:rPr>
                <w:rFonts w:hint="default" w:ascii="Times New Roman" w:hAnsi="Times New Roman" w:eastAsia="等线" w:cs="Times New Roman"/>
                <w:kern w:val="2"/>
                <w:sz w:val="15"/>
                <w:szCs w:val="15"/>
              </w:rPr>
              <w:t>0.778 (0.546–1.108)</w:t>
            </w:r>
          </w:p>
        </w:tc>
      </w:tr>
      <w:tr w14:paraId="50D68EDA">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2914" w:type="dxa"/>
            <w:tcBorders>
              <w:top w:val="nil"/>
              <w:left w:val="nil"/>
              <w:bottom w:val="nil"/>
              <w:right w:val="nil"/>
            </w:tcBorders>
            <w:noWrap w:val="0"/>
            <w:tcMar>
              <w:top w:w="60" w:type="dxa"/>
              <w:left w:w="120" w:type="dxa"/>
              <w:bottom w:w="30" w:type="dxa"/>
              <w:right w:w="120" w:type="dxa"/>
            </w:tcMar>
            <w:vAlign w:val="center"/>
          </w:tcPr>
          <w:p w14:paraId="729FEB22">
            <w:pPr>
              <w:snapToGrid w:val="0"/>
              <w:spacing w:before="120" w:after="120" w:line="240" w:lineRule="auto"/>
              <w:ind w:left="0" w:leftChars="0" w:right="0" w:rightChars="0" w:firstLine="0" w:firstLineChars="0"/>
              <w:jc w:val="center"/>
              <w:rPr>
                <w:rFonts w:hint="default" w:ascii="Times New Roman" w:hAnsi="Times New Roman" w:eastAsia="等线" w:cs="Times New Roman"/>
                <w:sz w:val="15"/>
                <w:szCs w:val="15"/>
              </w:rPr>
            </w:pPr>
            <w:r>
              <w:rPr>
                <w:rFonts w:hint="default" w:ascii="Times New Roman" w:hAnsi="Times New Roman" w:eastAsia="等线" w:cs="Times New Roman"/>
                <w:sz w:val="15"/>
                <w:szCs w:val="15"/>
              </w:rPr>
              <w:t>Preoperative GCS</w:t>
            </w:r>
          </w:p>
        </w:tc>
        <w:tc>
          <w:tcPr>
            <w:tcW w:w="2775" w:type="dxa"/>
            <w:tcBorders>
              <w:top w:val="nil"/>
              <w:left w:val="nil"/>
              <w:bottom w:val="nil"/>
              <w:right w:val="nil"/>
            </w:tcBorders>
            <w:noWrap w:val="0"/>
            <w:tcMar>
              <w:top w:w="60" w:type="dxa"/>
              <w:left w:w="120" w:type="dxa"/>
              <w:bottom w:w="30" w:type="dxa"/>
              <w:right w:w="120" w:type="dxa"/>
            </w:tcMar>
            <w:vAlign w:val="center"/>
          </w:tcPr>
          <w:p w14:paraId="77E02BB9">
            <w:pPr>
              <w:snapToGrid w:val="0"/>
              <w:spacing w:before="120" w:after="120" w:line="240" w:lineRule="auto"/>
              <w:ind w:left="0" w:leftChars="0" w:right="0" w:rightChars="0" w:firstLine="0" w:firstLineChars="0"/>
              <w:jc w:val="left"/>
              <w:rPr>
                <w:rFonts w:hint="default" w:ascii="Times New Roman" w:hAnsi="Times New Roman" w:eastAsia="等线" w:cs="Times New Roman"/>
                <w:sz w:val="15"/>
                <w:szCs w:val="15"/>
              </w:rPr>
            </w:pPr>
            <w:r>
              <w:rPr>
                <w:rFonts w:hint="default" w:ascii="Times New Roman" w:hAnsi="Times New Roman" w:eastAsia="等线" w:cs="Times New Roman"/>
                <w:sz w:val="15"/>
                <w:szCs w:val="15"/>
              </w:rPr>
              <w:t>0.965 (0.357–2.610)</w:t>
            </w:r>
          </w:p>
        </w:tc>
        <w:tc>
          <w:tcPr>
            <w:tcW w:w="2562" w:type="dxa"/>
            <w:tcBorders>
              <w:top w:val="nil"/>
              <w:left w:val="nil"/>
              <w:bottom w:val="nil"/>
              <w:right w:val="nil"/>
            </w:tcBorders>
            <w:noWrap w:val="0"/>
            <w:tcMar>
              <w:top w:w="60" w:type="dxa"/>
              <w:left w:w="120" w:type="dxa"/>
              <w:bottom w:w="30" w:type="dxa"/>
              <w:right w:w="120" w:type="dxa"/>
            </w:tcMar>
            <w:vAlign w:val="center"/>
          </w:tcPr>
          <w:p w14:paraId="72EE9F06">
            <w:pPr>
              <w:snapToGrid w:val="0"/>
              <w:spacing w:before="120" w:after="120" w:line="240" w:lineRule="auto"/>
              <w:ind w:left="0" w:leftChars="0" w:right="0" w:rightChars="0" w:firstLine="0" w:firstLineChars="0"/>
              <w:jc w:val="center"/>
              <w:rPr>
                <w:rFonts w:hint="default" w:ascii="Times New Roman" w:hAnsi="Times New Roman" w:eastAsia="等线" w:cs="Times New Roman"/>
                <w:kern w:val="2"/>
                <w:sz w:val="15"/>
                <w:szCs w:val="15"/>
              </w:rPr>
            </w:pPr>
            <w:r>
              <w:rPr>
                <w:rFonts w:hint="default" w:ascii="Times New Roman" w:hAnsi="Times New Roman" w:eastAsia="等线" w:cs="Times New Roman"/>
                <w:kern w:val="2"/>
                <w:sz w:val="15"/>
                <w:szCs w:val="15"/>
              </w:rPr>
              <w:t>0.827 (0.327–2.093)</w:t>
            </w:r>
          </w:p>
        </w:tc>
      </w:tr>
      <w:tr w14:paraId="55CFE72E">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2914" w:type="dxa"/>
            <w:tcBorders>
              <w:top w:val="nil"/>
              <w:left w:val="nil"/>
              <w:bottom w:val="nil"/>
              <w:right w:val="nil"/>
            </w:tcBorders>
            <w:noWrap w:val="0"/>
            <w:tcMar>
              <w:top w:w="60" w:type="dxa"/>
              <w:left w:w="120" w:type="dxa"/>
              <w:bottom w:w="30" w:type="dxa"/>
              <w:right w:w="120" w:type="dxa"/>
            </w:tcMar>
            <w:vAlign w:val="center"/>
          </w:tcPr>
          <w:p w14:paraId="1021A714">
            <w:pPr>
              <w:snapToGrid w:val="0"/>
              <w:spacing w:before="120" w:after="120" w:line="240" w:lineRule="auto"/>
              <w:ind w:left="0" w:leftChars="0" w:right="0" w:rightChars="0" w:firstLine="0" w:firstLineChars="0"/>
              <w:jc w:val="center"/>
              <w:rPr>
                <w:rFonts w:hint="default" w:ascii="Times New Roman" w:hAnsi="Times New Roman" w:eastAsia="等线" w:cs="Times New Roman"/>
                <w:sz w:val="15"/>
                <w:szCs w:val="15"/>
              </w:rPr>
            </w:pPr>
            <w:r>
              <w:rPr>
                <w:rFonts w:hint="default" w:ascii="Times New Roman" w:hAnsi="Times New Roman" w:eastAsia="等线" w:cs="Times New Roman"/>
                <w:sz w:val="15"/>
                <w:szCs w:val="15"/>
              </w:rPr>
              <w:t>Hematoma volume</w:t>
            </w:r>
          </w:p>
        </w:tc>
        <w:tc>
          <w:tcPr>
            <w:tcW w:w="2775" w:type="dxa"/>
            <w:tcBorders>
              <w:top w:val="nil"/>
              <w:left w:val="nil"/>
              <w:bottom w:val="nil"/>
              <w:right w:val="nil"/>
            </w:tcBorders>
            <w:noWrap w:val="0"/>
            <w:tcMar>
              <w:top w:w="60" w:type="dxa"/>
              <w:left w:w="120" w:type="dxa"/>
              <w:bottom w:w="30" w:type="dxa"/>
              <w:right w:w="120" w:type="dxa"/>
            </w:tcMar>
            <w:vAlign w:val="center"/>
          </w:tcPr>
          <w:p w14:paraId="60B656DB">
            <w:pPr>
              <w:snapToGrid w:val="0"/>
              <w:spacing w:before="120" w:after="120" w:line="240" w:lineRule="auto"/>
              <w:ind w:left="0" w:leftChars="0" w:right="0" w:rightChars="0" w:firstLine="0" w:firstLineChars="0"/>
              <w:jc w:val="left"/>
              <w:rPr>
                <w:rFonts w:hint="default" w:ascii="Times New Roman" w:hAnsi="Times New Roman" w:eastAsia="等线" w:cs="Times New Roman"/>
                <w:sz w:val="15"/>
                <w:szCs w:val="15"/>
              </w:rPr>
            </w:pPr>
            <w:r>
              <w:rPr>
                <w:rFonts w:hint="default" w:ascii="Times New Roman" w:hAnsi="Times New Roman" w:eastAsia="等线" w:cs="Times New Roman"/>
                <w:sz w:val="15"/>
                <w:szCs w:val="15"/>
              </w:rPr>
              <w:t>1.021 (0.901–1.156)</w:t>
            </w:r>
          </w:p>
        </w:tc>
        <w:tc>
          <w:tcPr>
            <w:tcW w:w="2562" w:type="dxa"/>
            <w:tcBorders>
              <w:top w:val="nil"/>
              <w:left w:val="nil"/>
              <w:bottom w:val="nil"/>
              <w:right w:val="nil"/>
            </w:tcBorders>
            <w:noWrap w:val="0"/>
            <w:tcMar>
              <w:top w:w="60" w:type="dxa"/>
              <w:left w:w="120" w:type="dxa"/>
              <w:bottom w:w="30" w:type="dxa"/>
              <w:right w:w="120" w:type="dxa"/>
            </w:tcMar>
            <w:vAlign w:val="center"/>
          </w:tcPr>
          <w:p w14:paraId="290E5BB4">
            <w:pPr>
              <w:snapToGrid w:val="0"/>
              <w:spacing w:before="120" w:after="120" w:line="240" w:lineRule="auto"/>
              <w:ind w:left="0" w:leftChars="0" w:right="0" w:rightChars="0" w:firstLine="0" w:firstLineChars="0"/>
              <w:jc w:val="center"/>
              <w:rPr>
                <w:rFonts w:hint="default" w:ascii="Times New Roman" w:hAnsi="Times New Roman" w:eastAsia="等线" w:cs="Times New Roman"/>
                <w:kern w:val="2"/>
                <w:sz w:val="15"/>
                <w:szCs w:val="15"/>
              </w:rPr>
            </w:pPr>
            <w:r>
              <w:rPr>
                <w:rFonts w:hint="default" w:ascii="Times New Roman" w:hAnsi="Times New Roman" w:eastAsia="等线" w:cs="Times New Roman"/>
                <w:kern w:val="2"/>
                <w:sz w:val="15"/>
                <w:szCs w:val="15"/>
              </w:rPr>
              <w:t>1.028 (0.914–1.157)</w:t>
            </w:r>
          </w:p>
        </w:tc>
      </w:tr>
      <w:tr w14:paraId="54A12DE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2914" w:type="dxa"/>
            <w:tcBorders>
              <w:top w:val="nil"/>
              <w:left w:val="nil"/>
              <w:bottom w:val="nil"/>
              <w:right w:val="nil"/>
            </w:tcBorders>
            <w:noWrap w:val="0"/>
            <w:tcMar>
              <w:top w:w="60" w:type="dxa"/>
              <w:left w:w="120" w:type="dxa"/>
              <w:bottom w:w="30" w:type="dxa"/>
              <w:right w:w="120" w:type="dxa"/>
            </w:tcMar>
            <w:vAlign w:val="center"/>
          </w:tcPr>
          <w:p w14:paraId="15B70849">
            <w:pPr>
              <w:snapToGrid w:val="0"/>
              <w:spacing w:before="120" w:after="120" w:line="240" w:lineRule="auto"/>
              <w:ind w:left="0" w:leftChars="0" w:right="0" w:rightChars="0" w:firstLine="0" w:firstLineChars="0"/>
              <w:jc w:val="center"/>
              <w:rPr>
                <w:rFonts w:hint="default" w:ascii="Times New Roman" w:hAnsi="Times New Roman" w:eastAsia="等线" w:cs="Times New Roman"/>
                <w:sz w:val="15"/>
                <w:szCs w:val="15"/>
              </w:rPr>
            </w:pPr>
            <w:r>
              <w:rPr>
                <w:rFonts w:hint="default" w:ascii="Times New Roman" w:hAnsi="Times New Roman" w:eastAsia="等线" w:cs="Times New Roman"/>
                <w:sz w:val="15"/>
                <w:szCs w:val="15"/>
              </w:rPr>
              <w:t>With intraventricular hematoma</w:t>
            </w:r>
          </w:p>
        </w:tc>
        <w:tc>
          <w:tcPr>
            <w:tcW w:w="2775" w:type="dxa"/>
            <w:tcBorders>
              <w:top w:val="nil"/>
              <w:left w:val="nil"/>
              <w:bottom w:val="nil"/>
              <w:right w:val="nil"/>
            </w:tcBorders>
            <w:noWrap w:val="0"/>
            <w:tcMar>
              <w:top w:w="60" w:type="dxa"/>
              <w:left w:w="120" w:type="dxa"/>
              <w:bottom w:w="30" w:type="dxa"/>
              <w:right w:w="120" w:type="dxa"/>
            </w:tcMar>
            <w:vAlign w:val="center"/>
          </w:tcPr>
          <w:p w14:paraId="305A521E">
            <w:pPr>
              <w:snapToGrid w:val="0"/>
              <w:spacing w:before="120" w:after="120" w:line="240" w:lineRule="auto"/>
              <w:ind w:left="0" w:leftChars="0" w:right="0" w:rightChars="0" w:firstLine="0" w:firstLineChars="0"/>
              <w:jc w:val="left"/>
              <w:rPr>
                <w:rFonts w:hint="default" w:ascii="Times New Roman" w:hAnsi="Times New Roman" w:eastAsia="等线" w:cs="Times New Roman"/>
                <w:sz w:val="15"/>
                <w:szCs w:val="15"/>
              </w:rPr>
            </w:pPr>
            <w:r>
              <w:rPr>
                <w:rFonts w:hint="default" w:ascii="Times New Roman" w:hAnsi="Times New Roman" w:eastAsia="等线" w:cs="Times New Roman"/>
                <w:sz w:val="15"/>
                <w:szCs w:val="15"/>
              </w:rPr>
              <w:t>2.226 (0.237–20.880)</w:t>
            </w:r>
          </w:p>
        </w:tc>
        <w:tc>
          <w:tcPr>
            <w:tcW w:w="2562" w:type="dxa"/>
            <w:tcBorders>
              <w:top w:val="nil"/>
              <w:left w:val="nil"/>
              <w:bottom w:val="nil"/>
              <w:right w:val="nil"/>
            </w:tcBorders>
            <w:noWrap w:val="0"/>
            <w:tcMar>
              <w:top w:w="60" w:type="dxa"/>
              <w:left w:w="120" w:type="dxa"/>
              <w:bottom w:w="30" w:type="dxa"/>
              <w:right w:w="120" w:type="dxa"/>
            </w:tcMar>
            <w:vAlign w:val="center"/>
          </w:tcPr>
          <w:p w14:paraId="56520FD7">
            <w:pPr>
              <w:snapToGrid w:val="0"/>
              <w:spacing w:before="120" w:after="120" w:line="240" w:lineRule="auto"/>
              <w:ind w:left="0" w:leftChars="0" w:right="0" w:rightChars="0" w:firstLine="0" w:firstLineChars="0"/>
              <w:jc w:val="center"/>
              <w:rPr>
                <w:rFonts w:hint="default" w:ascii="Times New Roman" w:hAnsi="Times New Roman" w:eastAsia="等线" w:cs="Times New Roman"/>
                <w:kern w:val="2"/>
                <w:sz w:val="15"/>
                <w:szCs w:val="15"/>
              </w:rPr>
            </w:pPr>
            <w:r>
              <w:rPr>
                <w:rFonts w:hint="default" w:ascii="Times New Roman" w:hAnsi="Times New Roman" w:eastAsia="等线" w:cs="Times New Roman"/>
                <w:kern w:val="2"/>
                <w:sz w:val="15"/>
                <w:szCs w:val="15"/>
              </w:rPr>
              <w:t>1.684 (0.243–11.670)</w:t>
            </w:r>
          </w:p>
        </w:tc>
      </w:tr>
      <w:tr w14:paraId="0D4C6B97">
        <w:tblPrEx>
          <w:tblBorders>
            <w:top w:val="none" w:color="DEE0E3" w:sz="0" w:space="0"/>
            <w:left w:val="none" w:color="DEE0E3" w:sz="0" w:space="0"/>
            <w:bottom w:val="none" w:color="DEE0E3" w:sz="0" w:space="0"/>
            <w:right w:val="none" w:color="DEE0E3" w:sz="0" w:space="0"/>
            <w:insideH w:val="none" w:color="DEE0E3" w:sz="0" w:space="0"/>
            <w:insideV w:val="none" w:color="DEE0E3" w:sz="0" w:space="0"/>
          </w:tblBorders>
          <w:tblCellMar>
            <w:top w:w="0" w:type="dxa"/>
            <w:left w:w="10" w:type="dxa"/>
            <w:bottom w:w="0" w:type="dxa"/>
            <w:right w:w="10" w:type="dxa"/>
          </w:tblCellMar>
        </w:tblPrEx>
        <w:trPr>
          <w:trHeight w:val="0" w:hRule="atLeast"/>
          <w:jc w:val="center"/>
        </w:trPr>
        <w:tc>
          <w:tcPr>
            <w:tcW w:w="2914" w:type="dxa"/>
            <w:tcBorders>
              <w:top w:val="nil"/>
              <w:left w:val="nil"/>
              <w:bottom w:val="single" w:color="auto" w:sz="12" w:space="0"/>
              <w:right w:val="nil"/>
            </w:tcBorders>
            <w:noWrap w:val="0"/>
            <w:tcMar>
              <w:top w:w="60" w:type="dxa"/>
              <w:left w:w="120" w:type="dxa"/>
              <w:bottom w:w="30" w:type="dxa"/>
              <w:right w:w="120" w:type="dxa"/>
            </w:tcMar>
            <w:vAlign w:val="center"/>
          </w:tcPr>
          <w:p w14:paraId="1F042DFC">
            <w:pPr>
              <w:snapToGrid w:val="0"/>
              <w:spacing w:before="120" w:after="120" w:line="240" w:lineRule="auto"/>
              <w:ind w:left="0" w:leftChars="0" w:right="0" w:rightChars="0" w:firstLine="0" w:firstLineChars="0"/>
              <w:jc w:val="center"/>
              <w:rPr>
                <w:rFonts w:hint="default" w:ascii="Times New Roman" w:hAnsi="Times New Roman" w:eastAsia="等线" w:cs="Times New Roman"/>
                <w:b w:val="0"/>
                <w:bCs w:val="0"/>
                <w:kern w:val="2"/>
                <w:sz w:val="15"/>
                <w:szCs w:val="15"/>
              </w:rPr>
            </w:pPr>
            <w:r>
              <w:rPr>
                <w:rFonts w:hint="default" w:ascii="Times New Roman" w:hAnsi="Times New Roman" w:eastAsia="等线" w:cs="Times New Roman"/>
                <w:b w:val="0"/>
                <w:bCs w:val="0"/>
                <w:kern w:val="2"/>
                <w:sz w:val="15"/>
                <w:szCs w:val="15"/>
              </w:rPr>
              <w:t>Hypertension</w:t>
            </w:r>
          </w:p>
        </w:tc>
        <w:tc>
          <w:tcPr>
            <w:tcW w:w="2775" w:type="dxa"/>
            <w:tcBorders>
              <w:top w:val="nil"/>
              <w:left w:val="nil"/>
              <w:bottom w:val="single" w:color="auto" w:sz="12" w:space="0"/>
              <w:right w:val="nil"/>
            </w:tcBorders>
            <w:noWrap w:val="0"/>
            <w:tcMar>
              <w:top w:w="60" w:type="dxa"/>
              <w:left w:w="120" w:type="dxa"/>
              <w:bottom w:w="30" w:type="dxa"/>
              <w:right w:w="120" w:type="dxa"/>
            </w:tcMar>
            <w:vAlign w:val="center"/>
          </w:tcPr>
          <w:p w14:paraId="0ABEBDCC">
            <w:pPr>
              <w:snapToGrid w:val="0"/>
              <w:spacing w:before="120" w:after="120" w:line="240" w:lineRule="auto"/>
              <w:ind w:left="0" w:leftChars="0" w:right="0" w:rightChars="0" w:firstLine="0" w:firstLineChars="0"/>
              <w:jc w:val="left"/>
              <w:rPr>
                <w:rFonts w:hint="default" w:ascii="Times New Roman" w:hAnsi="Times New Roman" w:eastAsia="等线" w:cs="Times New Roman"/>
                <w:kern w:val="2"/>
                <w:sz w:val="15"/>
                <w:szCs w:val="15"/>
              </w:rPr>
            </w:pPr>
            <w:r>
              <w:rPr>
                <w:rFonts w:hint="default" w:ascii="Times New Roman" w:hAnsi="Times New Roman" w:eastAsia="等线" w:cs="Times New Roman"/>
                <w:kern w:val="2"/>
                <w:sz w:val="15"/>
                <w:szCs w:val="15"/>
              </w:rPr>
              <w:t>Not included</w:t>
            </w:r>
          </w:p>
        </w:tc>
        <w:tc>
          <w:tcPr>
            <w:tcW w:w="2562" w:type="dxa"/>
            <w:tcBorders>
              <w:top w:val="nil"/>
              <w:left w:val="nil"/>
              <w:bottom w:val="single" w:color="auto" w:sz="12" w:space="0"/>
              <w:right w:val="nil"/>
            </w:tcBorders>
            <w:noWrap w:val="0"/>
            <w:tcMar>
              <w:top w:w="60" w:type="dxa"/>
              <w:left w:w="120" w:type="dxa"/>
              <w:bottom w:w="30" w:type="dxa"/>
              <w:right w:w="120" w:type="dxa"/>
            </w:tcMar>
            <w:vAlign w:val="center"/>
          </w:tcPr>
          <w:p w14:paraId="3F6AECA1">
            <w:pPr>
              <w:snapToGrid w:val="0"/>
              <w:spacing w:before="120" w:after="120" w:line="240" w:lineRule="auto"/>
              <w:ind w:left="0" w:leftChars="0" w:right="0" w:rightChars="0" w:firstLine="0" w:firstLineChars="0"/>
              <w:jc w:val="center"/>
              <w:rPr>
                <w:rFonts w:hint="default" w:ascii="Times New Roman" w:hAnsi="Times New Roman" w:eastAsia="等线" w:cs="Times New Roman"/>
                <w:kern w:val="2"/>
                <w:sz w:val="15"/>
                <w:szCs w:val="15"/>
              </w:rPr>
            </w:pPr>
            <w:r>
              <w:rPr>
                <w:rFonts w:hint="default" w:ascii="Times New Roman" w:hAnsi="Times New Roman" w:eastAsia="等线" w:cs="Times New Roman"/>
                <w:kern w:val="2"/>
                <w:sz w:val="15"/>
                <w:szCs w:val="15"/>
              </w:rPr>
              <w:t>0.313 (0.050–1.960)</w:t>
            </w:r>
          </w:p>
        </w:tc>
      </w:tr>
    </w:tbl>
    <w:p w14:paraId="31AE3FA9">
      <w:pPr>
        <w:spacing w:before="120" w:after="120" w:line="288" w:lineRule="auto"/>
        <w:ind w:left="0"/>
        <w:jc w:val="left"/>
        <w:rPr>
          <w:rFonts w:hint="default" w:ascii="Times New Roman" w:hAnsi="Times New Roman" w:eastAsia="等线" w:cs="Times New Roman"/>
          <w:sz w:val="15"/>
          <w:szCs w:val="15"/>
        </w:rPr>
      </w:pPr>
      <w:r>
        <w:rPr>
          <w:rFonts w:hint="eastAsia" w:ascii="Arial" w:hAnsi="Arial" w:eastAsia="等线" w:cs="Arial"/>
          <w:b/>
          <w:sz w:val="22"/>
          <w:lang w:val="en-US" w:eastAsia="zh-CN"/>
        </w:rPr>
        <w:t>N</w:t>
      </w:r>
      <w:r>
        <w:rPr>
          <w:rFonts w:ascii="Arial" w:hAnsi="Arial" w:eastAsia="等线" w:cs="Arial"/>
          <w:b/>
          <w:sz w:val="22"/>
        </w:rPr>
        <w:t>ote:</w:t>
      </w:r>
      <w:r>
        <w:rPr>
          <w:rFonts w:ascii="Arial" w:hAnsi="Arial" w:eastAsia="等线" w:cs="Arial"/>
          <w:sz w:val="22"/>
        </w:rPr>
        <w:t xml:space="preserve"> </w:t>
      </w:r>
      <w:r>
        <w:rPr>
          <w:rFonts w:hint="default" w:ascii="Times New Roman" w:hAnsi="Times New Roman" w:eastAsia="等线" w:cs="Times New Roman"/>
          <w:sz w:val="15"/>
          <w:szCs w:val="15"/>
        </w:rPr>
        <w:t>Standard logistic regression failed to estimate treatment effect due to complete separation; Firth’s method provided valid estimation. OR, odds ratio; CI, confidence interval; GCS, Glasgow Coma Scale.</w:t>
      </w:r>
    </w:p>
    <w:sectPr>
      <w:footerReference r:id="rId3" w:type="default"/>
      <w:pgSz w:w="12240" w:h="15840"/>
      <w:pgMar w:top="1440" w:right="1800" w:bottom="1440" w:left="180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var(--dsw-font-markdown-tabl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D28CF">
    <w:pPr>
      <w:spacing w:beforeLines="0" w:afterLines="0"/>
      <w:jc w:val="center"/>
      <w:rPr>
        <w:rFonts w:hint="eastAsia" w:ascii="Times New Roman" w:hAnsi="Times New Roman" w:eastAsia="Times New Roman"/>
        <w:sz w:val="24"/>
        <w:szCs w:val="24"/>
      </w:rPr>
    </w:pPr>
    <w:r>
      <w:rPr>
        <w:rFonts w:hint="eastAsia" w:ascii="Times New Roman" w:hAnsi="Times New Roman" w:eastAsia="Times New Roman"/>
        <w:sz w:val="24"/>
        <w:szCs w:val="24"/>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1"/>
  <w:displayVerticalDrawingGridEvery w:val="1"/>
  <w:doNotUseMarginsForDrawingGridOrigin w:val="1"/>
  <w:drawingGridHorizontalOrigin w:val="1701"/>
  <w:drawingGridVerticalOrigin w:val="1984"/>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FB21F89"/>
    <w:rsid w:val="23DB7DEA"/>
    <w:rsid w:val="330F40E7"/>
    <w:rsid w:val="3CE62073"/>
    <w:rsid w:val="470E4CD9"/>
    <w:rsid w:val="57BB331D"/>
    <w:rsid w:val="6529777C"/>
    <w:rsid w:val="6731395C"/>
    <w:rsid w:val="70986420"/>
    <w:rsid w:val="757607E7"/>
    <w:rsid w:val="7F3859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iPriority="99"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iPriority="99" w:name="Title"/>
    <w:lsdException w:uiPriority="99" w:name="Closing"/>
    <w:lsdException w:uiPriority="99" w:name="Signature"/>
    <w:lsdException w:qFormat="1"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rPr>
  </w:style>
  <w:style w:type="character" w:default="1" w:styleId="3">
    <w:name w:val="Default Paragraph Font"/>
    <w:semiHidden/>
    <w:unhideWhenUsed/>
    <w:qFormat/>
    <w:uiPriority w:val="99"/>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173</Words>
  <Characters>1126</Characters>
  <TotalTime>2</TotalTime>
  <ScaleCrop>false</ScaleCrop>
  <LinksUpToDate>false</LinksUpToDate>
  <CharactersWithSpaces>1278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2026-04-26T05:59:00Z</dcterms:created>
  <dc:creator>wung</dc:creator>
  <cp:lastModifiedBy>永楠·再青</cp:lastModifiedBy>
  <dcterms:modified xsi:type="dcterms:W3CDTF">2026-08-05T18:23:52Z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BE5362C7305641E1B214BB93BE1C456F_13</vt:lpwstr>
  </property>
  <property fmtid="{D5CDD505-2E9C-101B-9397-08002B2CF9AE}" pid="4" name="KSOTemplateDocerSaveRecord">
    <vt:lpwstr>eyJoZGlkIjoiZGUxMWQ2YjQ5YmExMDE0MDFiMWIyMWVmNTQ1MWQwMTAiLCJ1c2VySWQiOiI1NTgzMjk1NDgifQ==</vt:lpwstr>
  </property>
</Properties>
</file>