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80"/>
        <w:jc w:val="left"/>
        <w:rPr>
          <w:b/>
          <w:bCs/>
          <w:color w:val="000000"/>
        </w:rPr>
      </w:pPr>
      <w:r>
        <w:rPr>
          <w:rFonts w:eastAsia="Arial"/>
          <w:b/>
          <w:bCs/>
          <w:color w:val="000000"/>
          <w:sz w:val="36"/>
        </w:rPr>
        <w:t>Supplementary information</w:t>
      </w:r>
    </w:p>
    <w:p>
      <w:pPr>
        <w:pStyle w:val="Normal"/>
        <w:spacing w:before="0" w:after="240"/>
        <w:rPr/>
      </w:pPr>
      <w:r>
        <w:rPr>
          <w:rFonts w:eastAsia="Arial"/>
          <w:color w:val="595959"/>
          <w:sz w:val="21"/>
        </w:rPr>
        <w:t>Effects of Rht-B1p, Ppd-D1b and Vrn-B1 on agronomic traits in a family-structured spring wheat population across multiple years and environments: an open and reproducible workflow combining mixed models and multivariate analyses</w:t>
      </w:r>
    </w:p>
    <w:p>
      <w:pPr>
        <w:pStyle w:val="Normal"/>
        <w:rPr>
          <w:highlight w:val="none"/>
          <w:shd w:fill="auto" w:val="clear"/>
        </w:rPr>
      </w:pPr>
      <w:r>
        <w:rPr>
          <w:shd w:fill="auto" w:val="clear"/>
        </w:rPr>
        <w:t>Authors: Pavel Kroupin, Lubov Nazarova, Vladimir Panchenko, Viktoria Voronezhskaya, Ludmila Bespalova, Anastasiya Chernook, Aleksandra Kroupina, Gennady Karlov, Mikhail Divashuk</w:t>
      </w:r>
    </w:p>
    <w:p>
      <w:pPr>
        <w:pStyle w:val="Heading1"/>
        <w:rPr/>
      </w:pPr>
      <w:r>
        <w:rPr>
          <w:rFonts w:eastAsia="Arial" w:ascii="Arial" w:hAnsi="Arial"/>
          <w:b/>
          <w:color w:val="000000"/>
          <w:sz w:val="26"/>
        </w:rPr>
        <w:t>Table S1. Traits, abbreviations and environments</w:t>
      </w:r>
    </w:p>
    <w:p>
      <w:pPr>
        <w:pStyle w:val="Normal"/>
        <w:spacing w:lineRule="auto" w:line="252" w:before="0" w:after="80"/>
        <w:rPr/>
      </w:pPr>
      <w:r>
        <w:rPr>
          <w:rFonts w:eastAsia="Arial"/>
          <w:i w:val="false"/>
          <w:color w:val="000000"/>
          <w:sz w:val="19"/>
        </w:rPr>
        <w:t>Complete list of phenotypic traits, their abbreviations, units, measurement definitions, and environments in which they were recorded.</w:t>
      </w:r>
    </w:p>
    <w:tbl>
      <w:tblPr>
        <w:tblW w:w="9936" w:type="dxa"/>
        <w:jc w:val="left"/>
        <w:tblInd w:w="132" w:type="dxa"/>
        <w:tblLayout w:type="fixed"/>
        <w:tblCellMar>
          <w:top w:w="80" w:type="dxa"/>
          <w:left w:w="120" w:type="dxa"/>
          <w:bottom w:w="80" w:type="dxa"/>
          <w:right w:w="120" w:type="dxa"/>
        </w:tblCellMar>
        <w:tblLook w:val="04a0" w:noHBand="0" w:noVBand="1" w:firstColumn="1" w:lastRow="0" w:lastColumn="0" w:firstRow="1"/>
      </w:tblPr>
      <w:tblGrid>
        <w:gridCol w:w="1987"/>
        <w:gridCol w:w="1987"/>
        <w:gridCol w:w="1987"/>
        <w:gridCol w:w="1987"/>
        <w:gridCol w:w="1988"/>
      </w:tblGrid>
      <w:tr>
        <w:trPr>
          <w:tblHeader w:val="true"/>
        </w:trPr>
        <w:tc>
          <w:tcPr>
            <w:tcW w:w="1987"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i w:val="false"/>
                <w:color w:val="000000"/>
                <w:sz w:val="18"/>
              </w:rPr>
              <w:t>Abbreviation</w:t>
            </w:r>
          </w:p>
        </w:tc>
        <w:tc>
          <w:tcPr>
            <w:tcW w:w="1987"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i w:val="false"/>
                <w:color w:val="000000"/>
                <w:sz w:val="18"/>
              </w:rPr>
              <w:t>Full name</w:t>
            </w:r>
          </w:p>
        </w:tc>
        <w:tc>
          <w:tcPr>
            <w:tcW w:w="1987"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i w:val="false"/>
                <w:color w:val="000000"/>
                <w:sz w:val="18"/>
              </w:rPr>
              <w:t>Unit</w:t>
            </w:r>
          </w:p>
        </w:tc>
        <w:tc>
          <w:tcPr>
            <w:tcW w:w="1987"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i w:val="false"/>
                <w:color w:val="000000"/>
                <w:sz w:val="18"/>
              </w:rPr>
              <w:t>Description</w:t>
            </w:r>
          </w:p>
        </w:tc>
        <w:tc>
          <w:tcPr>
            <w:tcW w:w="1988"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i w:val="false"/>
                <w:color w:val="000000"/>
                <w:sz w:val="18"/>
              </w:rPr>
              <w:t>Environments measured</w:t>
            </w:r>
          </w:p>
        </w:tc>
      </w:tr>
      <w:tr>
        <w:trPr/>
        <w:tc>
          <w:tcPr>
            <w:tcW w:w="1987" w:type="dxa"/>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PH</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Plant height</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cm</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Distance from soil surface to spike tip (excluding awns)</w:t>
            </w:r>
          </w:p>
        </w:tc>
        <w:tc>
          <w:tcPr>
            <w:tcW w:w="1988"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All five environments</w:t>
            </w:r>
          </w:p>
        </w:tc>
      </w:tr>
      <w:tr>
        <w:trPr/>
        <w:tc>
          <w:tcPr>
            <w:tcW w:w="1987" w:type="dxa"/>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SL</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Spike length</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cm</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From base of spike to tip of terminal spikelet</w:t>
            </w:r>
          </w:p>
        </w:tc>
        <w:tc>
          <w:tcPr>
            <w:tcW w:w="1988"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All five environments</w:t>
            </w:r>
          </w:p>
        </w:tc>
      </w:tr>
      <w:tr>
        <w:trPr/>
        <w:tc>
          <w:tcPr>
            <w:tcW w:w="1987" w:type="dxa"/>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GNS</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Grain number per spike</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count</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Total grains from main spike</w:t>
            </w:r>
          </w:p>
        </w:tc>
        <w:tc>
          <w:tcPr>
            <w:tcW w:w="1988"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All five environments</w:t>
            </w:r>
          </w:p>
        </w:tc>
      </w:tr>
      <w:tr>
        <w:trPr/>
        <w:tc>
          <w:tcPr>
            <w:tcW w:w="1987" w:type="dxa"/>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GWS</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Grain weight per spike</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g</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Weight of all grains from main spike</w:t>
            </w:r>
          </w:p>
        </w:tc>
        <w:tc>
          <w:tcPr>
            <w:tcW w:w="1988"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All five environments</w:t>
            </w:r>
          </w:p>
        </w:tc>
      </w:tr>
      <w:tr>
        <w:trPr/>
        <w:tc>
          <w:tcPr>
            <w:tcW w:w="1987" w:type="dxa"/>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cTGW</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Calculated thousand-grain weight</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g</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GWS / GNS × 1000</w:t>
            </w:r>
          </w:p>
        </w:tc>
        <w:tc>
          <w:tcPr>
            <w:tcW w:w="1988"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All five environments</w:t>
            </w:r>
          </w:p>
        </w:tc>
      </w:tr>
      <w:tr>
        <w:trPr/>
        <w:tc>
          <w:tcPr>
            <w:tcW w:w="1987" w:type="dxa"/>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HI</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Harvest index</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ratio</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GWS / (GWS + SMMS)</w:t>
            </w:r>
          </w:p>
        </w:tc>
        <w:tc>
          <w:tcPr>
            <w:tcW w:w="1988"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All five environments</w:t>
            </w:r>
          </w:p>
        </w:tc>
      </w:tr>
      <w:tr>
        <w:trPr/>
        <w:tc>
          <w:tcPr>
            <w:tcW w:w="1987" w:type="dxa"/>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VMMS</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Vegetative mass of main spike</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g</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Mass of main-spike vegetative parts</w:t>
            </w:r>
          </w:p>
        </w:tc>
        <w:tc>
          <w:tcPr>
            <w:tcW w:w="1988"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All five environments</w:t>
            </w:r>
          </w:p>
        </w:tc>
      </w:tr>
      <w:tr>
        <w:trPr/>
        <w:tc>
          <w:tcPr>
            <w:tcW w:w="1987" w:type="dxa"/>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SMMS</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Straw mass of main spike</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g</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Straw mass associated with main spike</w:t>
            </w:r>
          </w:p>
        </w:tc>
        <w:tc>
          <w:tcPr>
            <w:tcW w:w="1988"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All five environments</w:t>
            </w:r>
          </w:p>
        </w:tc>
      </w:tr>
      <w:tr>
        <w:trPr/>
        <w:tc>
          <w:tcPr>
            <w:tcW w:w="1987" w:type="dxa"/>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SN</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Spikelet number</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count</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Number of spikelets on the main spike</w:t>
            </w:r>
          </w:p>
        </w:tc>
        <w:tc>
          <w:tcPr>
            <w:tcW w:w="1988"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All five environments</w:t>
            </w:r>
          </w:p>
        </w:tc>
      </w:tr>
      <w:tr>
        <w:trPr/>
        <w:tc>
          <w:tcPr>
            <w:tcW w:w="1987" w:type="dxa"/>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SD</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Spike density</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spikelets / 10 cm</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(SN / SL) × 10</w:t>
            </w:r>
          </w:p>
        </w:tc>
        <w:tc>
          <w:tcPr>
            <w:tcW w:w="1988"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All environments except K_2019</w:t>
            </w:r>
          </w:p>
        </w:tc>
      </w:tr>
      <w:tr>
        <w:trPr/>
        <w:tc>
          <w:tcPr>
            <w:tcW w:w="1987" w:type="dxa"/>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IN</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Internode number</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count</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Number of internodes in the main stem</w:t>
            </w:r>
          </w:p>
        </w:tc>
        <w:tc>
          <w:tcPr>
            <w:tcW w:w="1988"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K_2018, M_2019</w:t>
            </w:r>
          </w:p>
        </w:tc>
      </w:tr>
      <w:tr>
        <w:trPr/>
        <w:tc>
          <w:tcPr>
            <w:tcW w:w="1987" w:type="dxa"/>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DH</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Days to heading</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days</w:t>
            </w:r>
          </w:p>
        </w:tc>
        <w:tc>
          <w:tcPr>
            <w:tcW w:w="1987"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Days from sowing to 50% spike emergence (Zadoks 57)</w:t>
            </w:r>
          </w:p>
        </w:tc>
        <w:tc>
          <w:tcPr>
            <w:tcW w:w="1988"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K_2018, M_2019, M_2022</w:t>
            </w:r>
          </w:p>
        </w:tc>
      </w:tr>
      <w:tr>
        <w:trPr/>
        <w:tc>
          <w:tcPr>
            <w:tcW w:w="1987" w:type="dxa"/>
            <w:tcBorders>
              <w:bottom w:val="single" w:sz="12" w:space="0" w:color="000000"/>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DF</w:t>
            </w:r>
          </w:p>
        </w:tc>
        <w:tc>
          <w:tcPr>
            <w:tcW w:w="1987"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Days to flowering</w:t>
            </w:r>
          </w:p>
        </w:tc>
        <w:tc>
          <w:tcPr>
            <w:tcW w:w="1987"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days</w:t>
            </w:r>
          </w:p>
        </w:tc>
        <w:tc>
          <w:tcPr>
            <w:tcW w:w="1987"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Days from sowing to anthesis (Zadoks 65)</w:t>
            </w:r>
          </w:p>
        </w:tc>
        <w:tc>
          <w:tcPr>
            <w:tcW w:w="1988"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M_2019, M_2022</w:t>
            </w:r>
          </w:p>
        </w:tc>
      </w:tr>
    </w:tbl>
    <w:p>
      <w:pPr>
        <w:sectPr>
          <w:type w:val="nextPage"/>
          <w:pgSz w:w="12240" w:h="15840"/>
          <w:pgMar w:left="1008" w:right="1008" w:gutter="0" w:header="0" w:top="1008" w:footer="0" w:bottom="1008"/>
          <w:pgNumType w:fmt="decimal"/>
          <w:formProt w:val="false"/>
          <w:textDirection w:val="lrTb"/>
          <w:docGrid w:type="default" w:linePitch="360" w:charSpace="0"/>
        </w:sectPr>
      </w:pPr>
    </w:p>
    <w:p>
      <w:pPr>
        <w:pStyle w:val="Heading1"/>
        <w:rPr/>
      </w:pPr>
      <w:r>
        <w:rPr>
          <w:rFonts w:eastAsia="Arial" w:ascii="Arial" w:hAnsi="Arial"/>
          <w:b/>
          <w:color w:val="000000"/>
          <w:sz w:val="26"/>
        </w:rPr>
        <w:t>Table S2. PCA variance explained</w:t>
      </w:r>
    </w:p>
    <w:p>
      <w:pPr>
        <w:pStyle w:val="Normal"/>
        <w:spacing w:lineRule="auto" w:line="252" w:before="0" w:after="80"/>
        <w:rPr/>
      </w:pPr>
      <w:r>
        <w:rPr>
          <w:rFonts w:eastAsia="Arial"/>
          <w:i w:val="false"/>
          <w:color w:val="000000"/>
          <w:sz w:val="19"/>
        </w:rPr>
        <w:t>Percentage of variance explained by the first two principal components per environment (standardised traits).</w:t>
      </w:r>
    </w:p>
    <w:tbl>
      <w:tblPr>
        <w:tblW w:w="9936" w:type="dxa"/>
        <w:jc w:val="left"/>
        <w:tblInd w:w="132" w:type="dxa"/>
        <w:tblLayout w:type="fixed"/>
        <w:tblCellMar>
          <w:top w:w="80" w:type="dxa"/>
          <w:left w:w="120" w:type="dxa"/>
          <w:bottom w:w="80" w:type="dxa"/>
          <w:right w:w="120" w:type="dxa"/>
        </w:tblCellMar>
        <w:tblLook w:val="04a0" w:noHBand="0" w:noVBand="1" w:firstColumn="1" w:lastRow="0" w:lastColumn="0" w:firstRow="1"/>
      </w:tblPr>
      <w:tblGrid>
        <w:gridCol w:w="2484"/>
        <w:gridCol w:w="2484"/>
        <w:gridCol w:w="2484"/>
        <w:gridCol w:w="2483"/>
      </w:tblGrid>
      <w:tr>
        <w:trPr>
          <w:tblHeader w:val="true"/>
        </w:trPr>
        <w:tc>
          <w:tcPr>
            <w:tcW w:w="2484"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i w:val="false"/>
                <w:color w:val="000000"/>
                <w:sz w:val="18"/>
              </w:rPr>
              <w:t>Environment</w:t>
            </w:r>
          </w:p>
        </w:tc>
        <w:tc>
          <w:tcPr>
            <w:tcW w:w="2484"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i w:val="false"/>
                <w:color w:val="000000"/>
                <w:sz w:val="18"/>
              </w:rPr>
              <w:t>PC1 (%)</w:t>
            </w:r>
          </w:p>
        </w:tc>
        <w:tc>
          <w:tcPr>
            <w:tcW w:w="2484"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i w:val="false"/>
                <w:color w:val="000000"/>
                <w:sz w:val="18"/>
              </w:rPr>
              <w:t>PC2 (%)</w:t>
            </w:r>
          </w:p>
        </w:tc>
        <w:tc>
          <w:tcPr>
            <w:tcW w:w="2483"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i w:val="false"/>
                <w:color w:val="000000"/>
                <w:sz w:val="18"/>
              </w:rPr>
              <w:t>Cumulative (%)</w:t>
            </w:r>
          </w:p>
        </w:tc>
      </w:tr>
      <w:tr>
        <w:trPr/>
        <w:tc>
          <w:tcPr>
            <w:tcW w:w="2484" w:type="dxa"/>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K_2018</w:t>
            </w:r>
          </w:p>
        </w:tc>
        <w:tc>
          <w:tcPr>
            <w:tcW w:w="2484"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35.18</w:t>
            </w:r>
          </w:p>
        </w:tc>
        <w:tc>
          <w:tcPr>
            <w:tcW w:w="2484"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18.71</w:t>
            </w:r>
          </w:p>
        </w:tc>
        <w:tc>
          <w:tcPr>
            <w:tcW w:w="2483"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53.89</w:t>
            </w:r>
          </w:p>
        </w:tc>
      </w:tr>
      <w:tr>
        <w:trPr/>
        <w:tc>
          <w:tcPr>
            <w:tcW w:w="2484" w:type="dxa"/>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K_2019</w:t>
            </w:r>
          </w:p>
        </w:tc>
        <w:tc>
          <w:tcPr>
            <w:tcW w:w="2484"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52.83</w:t>
            </w:r>
          </w:p>
        </w:tc>
        <w:tc>
          <w:tcPr>
            <w:tcW w:w="2484"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19.34</w:t>
            </w:r>
          </w:p>
        </w:tc>
        <w:tc>
          <w:tcPr>
            <w:tcW w:w="2483"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72.17</w:t>
            </w:r>
          </w:p>
        </w:tc>
      </w:tr>
      <w:tr>
        <w:trPr/>
        <w:tc>
          <w:tcPr>
            <w:tcW w:w="2484" w:type="dxa"/>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M_2018</w:t>
            </w:r>
          </w:p>
        </w:tc>
        <w:tc>
          <w:tcPr>
            <w:tcW w:w="2484"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45.84</w:t>
            </w:r>
          </w:p>
        </w:tc>
        <w:tc>
          <w:tcPr>
            <w:tcW w:w="2484"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17.22</w:t>
            </w:r>
          </w:p>
        </w:tc>
        <w:tc>
          <w:tcPr>
            <w:tcW w:w="2483"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63.06</w:t>
            </w:r>
          </w:p>
        </w:tc>
      </w:tr>
      <w:tr>
        <w:trPr/>
        <w:tc>
          <w:tcPr>
            <w:tcW w:w="2484" w:type="dxa"/>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M_2019</w:t>
            </w:r>
          </w:p>
        </w:tc>
        <w:tc>
          <w:tcPr>
            <w:tcW w:w="2484"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33.94</w:t>
            </w:r>
          </w:p>
        </w:tc>
        <w:tc>
          <w:tcPr>
            <w:tcW w:w="2484"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25.34</w:t>
            </w:r>
          </w:p>
        </w:tc>
        <w:tc>
          <w:tcPr>
            <w:tcW w:w="2483" w:type="dxa"/>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59.28</w:t>
            </w:r>
          </w:p>
        </w:tc>
      </w:tr>
      <w:tr>
        <w:trPr/>
        <w:tc>
          <w:tcPr>
            <w:tcW w:w="2484" w:type="dxa"/>
            <w:tcBorders>
              <w:bottom w:val="single" w:sz="12" w:space="0" w:color="000000"/>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M_2022</w:t>
            </w:r>
          </w:p>
        </w:tc>
        <w:tc>
          <w:tcPr>
            <w:tcW w:w="2484"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35.04</w:t>
            </w:r>
          </w:p>
        </w:tc>
        <w:tc>
          <w:tcPr>
            <w:tcW w:w="2484"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25.18</w:t>
            </w:r>
          </w:p>
        </w:tc>
        <w:tc>
          <w:tcPr>
            <w:tcW w:w="2483"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b w:val="false"/>
                <w:i w:val="false"/>
                <w:color w:val="000000"/>
                <w:sz w:val="18"/>
              </w:rPr>
              <w:t>60.22</w:t>
            </w:r>
          </w:p>
        </w:tc>
      </w:tr>
    </w:tbl>
    <w:p>
      <w:pPr>
        <w:sectPr>
          <w:type w:val="nextPage"/>
          <w:pgSz w:w="12240" w:h="15840"/>
          <w:pgMar w:left="1008" w:right="1008" w:gutter="0" w:header="0" w:top="1008" w:footer="0" w:bottom="1008"/>
          <w:pgNumType w:fmt="decimal"/>
          <w:formProt w:val="false"/>
          <w:textDirection w:val="lrTb"/>
          <w:docGrid w:type="default" w:linePitch="360" w:charSpace="0"/>
        </w:sectPr>
        <w:pStyle w:val="Normal"/>
        <w:spacing w:lineRule="auto" w:line="252" w:before="0" w:after="80"/>
        <w:rPr/>
      </w:pPr>
      <w:r>
        <w:rPr>
          <w:rFonts w:eastAsia="Arial"/>
          <w:i/>
          <w:color w:val="000000"/>
          <w:sz w:val="19"/>
        </w:rPr>
        <w:t>Note. Values correspond to the environment-wise PCA summarised in the primary M17 analysis (range 53.9–72.2% for PC1+PC2).</w:t>
      </w:r>
    </w:p>
    <w:p>
      <w:pPr>
        <w:pStyle w:val="Heading1"/>
        <w:rPr/>
      </w:pPr>
      <w:r>
        <w:rPr>
          <w:rFonts w:eastAsia="Arial" w:ascii="Arial" w:hAnsi="Arial"/>
          <w:b/>
          <w:color w:val="000000"/>
          <w:sz w:val="26"/>
        </w:rPr>
        <w:t>Table S3. Traits retained for multivariate analyses</w:t>
      </w:r>
    </w:p>
    <w:p>
      <w:pPr>
        <w:pStyle w:val="Normal"/>
        <w:spacing w:lineRule="auto" w:line="252" w:before="0" w:after="80"/>
        <w:rPr/>
      </w:pPr>
      <w:r>
        <w:rPr>
          <w:rFonts w:eastAsia="Arial"/>
          <w:i w:val="false"/>
          <w:color w:val="000000"/>
          <w:sz w:val="19"/>
        </w:rPr>
        <w:t>Traits retained after PCA (cos2 ≥ 0.25) and correlation pruning (|ρ| ≥ 0.85), by environment (traits shared across gene-specific multivariate runs).</w:t>
      </w:r>
    </w:p>
    <w:tbl>
      <w:tblPr>
        <w:tblW w:w="9936" w:type="dxa"/>
        <w:jc w:val="left"/>
        <w:tblInd w:w="132" w:type="dxa"/>
        <w:tblLayout w:type="fixed"/>
        <w:tblCellMar>
          <w:top w:w="80" w:type="dxa"/>
          <w:left w:w="120" w:type="dxa"/>
          <w:bottom w:w="80" w:type="dxa"/>
          <w:right w:w="120" w:type="dxa"/>
        </w:tblCellMar>
        <w:tblLook w:val="04a0" w:noHBand="0" w:noVBand="1" w:firstColumn="1" w:lastRow="0" w:lastColumn="0" w:firstRow="1"/>
      </w:tblPr>
      <w:tblGrid>
        <w:gridCol w:w="2107"/>
        <w:gridCol w:w="7828"/>
      </w:tblGrid>
      <w:tr>
        <w:trPr>
          <w:tblHeader w:val="true"/>
        </w:trPr>
        <w:tc>
          <w:tcPr>
            <w:tcW w:w="2107"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8"/>
              </w:rPr>
              <w:t>Environment</w:t>
            </w:r>
          </w:p>
        </w:tc>
        <w:tc>
          <w:tcPr>
            <w:tcW w:w="7828"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8"/>
              </w:rPr>
              <w:t>Traits used</w:t>
            </w:r>
          </w:p>
        </w:tc>
      </w:tr>
      <w:tr>
        <w:trPr/>
        <w:tc>
          <w:tcPr>
            <w:tcW w:w="2107" w:type="dxa"/>
            <w:tcBorders/>
            <w:vAlign w:val="center"/>
          </w:tcPr>
          <w:p>
            <w:pPr>
              <w:pStyle w:val="Normal"/>
              <w:spacing w:lineRule="auto" w:line="240" w:before="0" w:after="0"/>
              <w:rPr/>
            </w:pPr>
            <w:r>
              <w:rPr>
                <w:rFonts w:eastAsia="Times New Roman" w:ascii="Times New Roman" w:hAnsi="Times New Roman"/>
                <w:color w:val="000000"/>
                <w:sz w:val="18"/>
              </w:rPr>
              <w:t>K_2018</w:t>
            </w:r>
          </w:p>
        </w:tc>
        <w:tc>
          <w:tcPr>
            <w:tcW w:w="7828" w:type="dxa"/>
            <w:tcBorders/>
            <w:vAlign w:val="center"/>
          </w:tcPr>
          <w:p>
            <w:pPr>
              <w:pStyle w:val="Normal"/>
              <w:spacing w:lineRule="auto" w:line="240" w:before="0" w:after="0"/>
              <w:jc w:val="center"/>
              <w:rPr/>
            </w:pPr>
            <w:r>
              <w:rPr>
                <w:rFonts w:eastAsia="Times New Roman" w:ascii="Times New Roman" w:hAnsi="Times New Roman"/>
                <w:color w:val="000000"/>
                <w:sz w:val="18"/>
              </w:rPr>
              <w:t>PH, GWS, cTGW, HI, SL, SMMS, IN, SD, GNS, SN</w:t>
            </w:r>
          </w:p>
        </w:tc>
      </w:tr>
      <w:tr>
        <w:trPr/>
        <w:tc>
          <w:tcPr>
            <w:tcW w:w="2107" w:type="dxa"/>
            <w:tcBorders/>
            <w:vAlign w:val="center"/>
          </w:tcPr>
          <w:p>
            <w:pPr>
              <w:pStyle w:val="Normal"/>
              <w:spacing w:lineRule="auto" w:line="240" w:before="0" w:after="0"/>
              <w:rPr/>
            </w:pPr>
            <w:r>
              <w:rPr>
                <w:rFonts w:eastAsia="Times New Roman" w:ascii="Times New Roman" w:hAnsi="Times New Roman"/>
                <w:color w:val="000000"/>
                <w:sz w:val="18"/>
              </w:rPr>
              <w:t>K_2019</w:t>
            </w:r>
          </w:p>
        </w:tc>
        <w:tc>
          <w:tcPr>
            <w:tcW w:w="7828" w:type="dxa"/>
            <w:tcBorders/>
            <w:vAlign w:val="center"/>
          </w:tcPr>
          <w:p>
            <w:pPr>
              <w:pStyle w:val="Normal"/>
              <w:spacing w:lineRule="auto" w:line="240" w:before="0" w:after="0"/>
              <w:jc w:val="center"/>
              <w:rPr/>
            </w:pPr>
            <w:r>
              <w:rPr>
                <w:rFonts w:eastAsia="Times New Roman" w:ascii="Times New Roman" w:hAnsi="Times New Roman"/>
                <w:color w:val="000000"/>
                <w:sz w:val="18"/>
              </w:rPr>
              <w:t>PH, GWS, cTGW, SL, VMMS, GNS</w:t>
            </w:r>
          </w:p>
        </w:tc>
      </w:tr>
      <w:tr>
        <w:trPr/>
        <w:tc>
          <w:tcPr>
            <w:tcW w:w="2107" w:type="dxa"/>
            <w:tcBorders/>
            <w:vAlign w:val="center"/>
          </w:tcPr>
          <w:p>
            <w:pPr>
              <w:pStyle w:val="Normal"/>
              <w:spacing w:lineRule="auto" w:line="240" w:before="0" w:after="0"/>
              <w:rPr/>
            </w:pPr>
            <w:r>
              <w:rPr>
                <w:rFonts w:eastAsia="Times New Roman" w:ascii="Times New Roman" w:hAnsi="Times New Roman"/>
                <w:color w:val="000000"/>
                <w:sz w:val="18"/>
              </w:rPr>
              <w:t>M_2018</w:t>
            </w:r>
          </w:p>
        </w:tc>
        <w:tc>
          <w:tcPr>
            <w:tcW w:w="7828" w:type="dxa"/>
            <w:tcBorders/>
            <w:vAlign w:val="center"/>
          </w:tcPr>
          <w:p>
            <w:pPr>
              <w:pStyle w:val="Normal"/>
              <w:spacing w:lineRule="auto" w:line="240" w:before="0" w:after="0"/>
              <w:jc w:val="center"/>
              <w:rPr/>
            </w:pPr>
            <w:r>
              <w:rPr>
                <w:rFonts w:eastAsia="Times New Roman" w:ascii="Times New Roman" w:hAnsi="Times New Roman"/>
                <w:color w:val="000000"/>
                <w:sz w:val="18"/>
              </w:rPr>
              <w:t>PH, cTGW, HI, SL, VMMS, SMMS, GNS, SN</w:t>
            </w:r>
          </w:p>
        </w:tc>
      </w:tr>
      <w:tr>
        <w:trPr/>
        <w:tc>
          <w:tcPr>
            <w:tcW w:w="2107" w:type="dxa"/>
            <w:tcBorders/>
            <w:vAlign w:val="center"/>
          </w:tcPr>
          <w:p>
            <w:pPr>
              <w:pStyle w:val="Normal"/>
              <w:spacing w:lineRule="auto" w:line="240" w:before="0" w:after="0"/>
              <w:rPr/>
            </w:pPr>
            <w:r>
              <w:rPr>
                <w:rFonts w:eastAsia="Times New Roman" w:ascii="Times New Roman" w:hAnsi="Times New Roman"/>
                <w:color w:val="000000"/>
                <w:sz w:val="18"/>
              </w:rPr>
              <w:t>M_2019</w:t>
            </w:r>
          </w:p>
        </w:tc>
        <w:tc>
          <w:tcPr>
            <w:tcW w:w="7828" w:type="dxa"/>
            <w:tcBorders/>
            <w:vAlign w:val="center"/>
          </w:tcPr>
          <w:p>
            <w:pPr>
              <w:pStyle w:val="Normal"/>
              <w:spacing w:lineRule="auto" w:line="240" w:before="0" w:after="0"/>
              <w:jc w:val="center"/>
              <w:rPr/>
            </w:pPr>
            <w:r>
              <w:rPr>
                <w:rFonts w:eastAsia="Times New Roman" w:ascii="Times New Roman" w:hAnsi="Times New Roman"/>
                <w:color w:val="000000"/>
                <w:sz w:val="18"/>
              </w:rPr>
              <w:t>PH, HI, SL, VMMS, SMMS, SD, SN, DF</w:t>
            </w:r>
          </w:p>
        </w:tc>
      </w:tr>
      <w:tr>
        <w:trPr/>
        <w:tc>
          <w:tcPr>
            <w:tcW w:w="2107" w:type="dxa"/>
            <w:tcBorders>
              <w:bottom w:val="single" w:sz="12" w:space="0" w:color="000000"/>
            </w:tcBorders>
            <w:vAlign w:val="center"/>
          </w:tcPr>
          <w:p>
            <w:pPr>
              <w:pStyle w:val="Normal"/>
              <w:spacing w:lineRule="auto" w:line="240" w:before="0" w:after="0"/>
              <w:rPr/>
            </w:pPr>
            <w:r>
              <w:rPr>
                <w:rFonts w:eastAsia="Times New Roman" w:ascii="Times New Roman" w:hAnsi="Times New Roman"/>
                <w:color w:val="000000"/>
                <w:sz w:val="18"/>
              </w:rPr>
              <w:t>M_2022</w:t>
            </w:r>
          </w:p>
        </w:tc>
        <w:tc>
          <w:tcPr>
            <w:tcW w:w="7828"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color w:val="000000"/>
                <w:sz w:val="18"/>
              </w:rPr>
              <w:t>PH, GWS, HI, SL, SMMS, SD, GNS, SN, DH, DF</w:t>
            </w:r>
          </w:p>
        </w:tc>
      </w:tr>
    </w:tbl>
    <w:p>
      <w:pPr>
        <w:sectPr>
          <w:type w:val="nextPage"/>
          <w:pgSz w:w="12240" w:h="15840"/>
          <w:pgMar w:left="1008" w:right="1008" w:gutter="0" w:header="0" w:top="1008" w:footer="0" w:bottom="1008"/>
          <w:pgNumType w:fmt="decimal"/>
          <w:formProt w:val="false"/>
          <w:textDirection w:val="lrTb"/>
          <w:docGrid w:type="default" w:linePitch="360" w:charSpace="0"/>
        </w:sectPr>
      </w:pPr>
    </w:p>
    <w:p>
      <w:pPr>
        <w:pStyle w:val="Heading1"/>
        <w:rPr/>
      </w:pPr>
      <w:r>
        <w:rPr>
          <w:rFonts w:eastAsia="Arial" w:ascii="Arial" w:hAnsi="Arial"/>
          <w:b/>
          <w:color w:val="000000"/>
          <w:sz w:val="26"/>
        </w:rPr>
        <w:t>Table S4. GLMM versus LMM p-values for count traits</w:t>
      </w:r>
    </w:p>
    <w:p>
      <w:pPr>
        <w:pStyle w:val="Normal"/>
        <w:spacing w:lineRule="auto" w:line="252" w:before="0" w:after="80"/>
        <w:rPr/>
      </w:pPr>
      <w:r>
        <w:rPr>
          <w:rFonts w:eastAsia="Arial"/>
          <w:i w:val="false"/>
          <w:color w:val="000000"/>
          <w:sz w:val="19"/>
        </w:rPr>
        <w:t>Comparison of p-values from GLMM (Poisson/negative binomial, Wald test), original-scale LMM, and rank-based LMM for count traits (DH, DF, GNS, SN) by environment and gene.</w:t>
      </w:r>
    </w:p>
    <w:tbl>
      <w:tblPr>
        <w:tblW w:w="12960" w:type="dxa"/>
        <w:jc w:val="left"/>
        <w:tblInd w:w="132" w:type="dxa"/>
        <w:tblLayout w:type="fixed"/>
        <w:tblCellMar>
          <w:top w:w="80" w:type="dxa"/>
          <w:left w:w="120" w:type="dxa"/>
          <w:bottom w:w="80" w:type="dxa"/>
          <w:right w:w="120" w:type="dxa"/>
        </w:tblCellMar>
        <w:tblLook w:val="04a0" w:noHBand="0" w:noVBand="1" w:firstColumn="1" w:lastRow="0" w:lastColumn="0" w:firstRow="1"/>
      </w:tblPr>
      <w:tblGrid>
        <w:gridCol w:w="2296"/>
        <w:gridCol w:w="1476"/>
        <w:gridCol w:w="985"/>
        <w:gridCol w:w="1230"/>
        <w:gridCol w:w="1313"/>
        <w:gridCol w:w="1476"/>
        <w:gridCol w:w="1230"/>
        <w:gridCol w:w="1476"/>
        <w:gridCol w:w="1476"/>
      </w:tblGrid>
      <w:tr>
        <w:trPr>
          <w:tblHeader w:val="true"/>
        </w:trPr>
        <w:tc>
          <w:tcPr>
            <w:tcW w:w="2296"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6"/>
              </w:rPr>
              <w:t>Environment</w:t>
            </w:r>
          </w:p>
        </w:tc>
        <w:tc>
          <w:tcPr>
            <w:tcW w:w="1476"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6"/>
              </w:rPr>
              <w:t>Gene</w:t>
            </w:r>
          </w:p>
        </w:tc>
        <w:tc>
          <w:tcPr>
            <w:tcW w:w="985"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6"/>
              </w:rPr>
              <w:t>Trait</w:t>
            </w:r>
          </w:p>
        </w:tc>
        <w:tc>
          <w:tcPr>
            <w:tcW w:w="1230"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6"/>
              </w:rPr>
              <w:t>n plants</w:t>
            </w:r>
          </w:p>
        </w:tc>
        <w:tc>
          <w:tcPr>
            <w:tcW w:w="1313"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6"/>
              </w:rPr>
              <w:t>n families</w:t>
            </w:r>
          </w:p>
        </w:tc>
        <w:tc>
          <w:tcPr>
            <w:tcW w:w="1476"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6"/>
              </w:rPr>
              <w:t>GLMM p</w:t>
            </w:r>
          </w:p>
        </w:tc>
        <w:tc>
          <w:tcPr>
            <w:tcW w:w="1230"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6"/>
              </w:rPr>
              <w:t>GLMM</w:t>
            </w:r>
          </w:p>
        </w:tc>
        <w:tc>
          <w:tcPr>
            <w:tcW w:w="1476"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6"/>
              </w:rPr>
              <w:t>LMM p</w:t>
            </w:r>
          </w:p>
        </w:tc>
        <w:tc>
          <w:tcPr>
            <w:tcW w:w="1476"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6"/>
              </w:rPr>
              <w:t>Rank LMM p</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Krasnodar 2018</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Rht</w:t>
              <w:noBreakHyphen/>
              <w:t>B1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DH</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694</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70</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0.175</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0.515</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0.00136</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Krasnodar 2018</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Rht</w:t>
              <w:noBreakHyphen/>
              <w:t>B1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GNS</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627</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70</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0.649</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0.655</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0.553</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Krasnodar 2018</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Rht</w:t>
              <w:noBreakHyphen/>
              <w:t>B1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S</w:t>
            </w:r>
            <w:bookmarkStart w:id="0" w:name="_GoBack"/>
            <w:bookmarkEnd w:id="0"/>
            <w:r>
              <w:rPr>
                <w:rFonts w:eastAsia="Times New Roman" w:ascii="Times New Roman" w:hAnsi="Times New Roman"/>
                <w:color w:val="000000"/>
                <w:sz w:val="16"/>
              </w:rPr>
              <w:t>N</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648</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70</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0.271</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0.13</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0.146</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Krasnodar 2018</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Ppd</w:t>
              <w:noBreakHyphen/>
              <w:t>D1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DH</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674</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68</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1.03e-08</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9.35e-10</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0.972</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Krasnodar 2018</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Ppd</w:t>
              <w:noBreakHyphen/>
              <w:t>D1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GNS</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607</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68</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0.568</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0.602</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0.591</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Krasnodar 2018</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Ppd</w:t>
              <w:noBreakHyphen/>
              <w:t>D1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SN</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629</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68</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0.0431</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0.00111</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9.74e-04</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Krasnodar 2018</w:t>
            </w:r>
          </w:p>
        </w:tc>
        <w:tc>
          <w:tcPr>
            <w:tcW w:w="1476" w:type="dxa"/>
            <w:tcBorders/>
            <w:vAlign w:val="center"/>
          </w:tcPr>
          <w:p>
            <w:pPr>
              <w:pStyle w:val="Normal"/>
              <w:spacing w:lineRule="auto" w:line="240" w:before="0" w:after="0"/>
              <w:jc w:val="center"/>
              <w:rPr/>
            </w:pPr>
            <w:r>
              <w:rPr>
                <w:rFonts w:eastAsia="Times New Roman" w:ascii="Times New Roman" w:hAnsi="Times New Roman"/>
                <w:i/>
                <w:color w:val="000000"/>
                <w:sz w:val="16"/>
              </w:rPr>
              <w:t>Vrn-B1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DH</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694</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70</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0.768</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0.347</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5.60e-14</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Krasnodar 2018</w:t>
            </w:r>
          </w:p>
        </w:tc>
        <w:tc>
          <w:tcPr>
            <w:tcW w:w="1476" w:type="dxa"/>
            <w:tcBorders/>
            <w:vAlign w:val="center"/>
          </w:tcPr>
          <w:p>
            <w:pPr>
              <w:pStyle w:val="Normal"/>
              <w:spacing w:lineRule="auto" w:line="240" w:before="0" w:after="0"/>
              <w:jc w:val="center"/>
              <w:rPr/>
            </w:pPr>
            <w:r>
              <w:rPr>
                <w:rFonts w:eastAsia="Times New Roman" w:ascii="Times New Roman" w:hAnsi="Times New Roman"/>
                <w:i/>
                <w:color w:val="000000"/>
                <w:sz w:val="16"/>
              </w:rPr>
              <w:t>Vrn-B1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GNS</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627</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70</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0.943</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0.938</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0.845</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Krasnodar 2018</w:t>
            </w:r>
          </w:p>
        </w:tc>
        <w:tc>
          <w:tcPr>
            <w:tcW w:w="1476" w:type="dxa"/>
            <w:tcBorders/>
            <w:vAlign w:val="center"/>
          </w:tcPr>
          <w:p>
            <w:pPr>
              <w:pStyle w:val="Normal"/>
              <w:spacing w:lineRule="auto" w:line="240" w:before="0" w:after="0"/>
              <w:jc w:val="center"/>
              <w:rPr/>
            </w:pPr>
            <w:r>
              <w:rPr>
                <w:rFonts w:eastAsia="Times New Roman" w:ascii="Times New Roman" w:hAnsi="Times New Roman"/>
                <w:i/>
                <w:color w:val="000000"/>
                <w:sz w:val="16"/>
              </w:rPr>
              <w:t>Vrn-B1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SN</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648</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70</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0.94</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0.85</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0.839</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Krasnodar 2019</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Rht</w:t>
              <w:noBreakHyphen/>
              <w:t>B1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GNS</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718</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40</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0.151</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0.189</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0.241</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Krasnodar 2019</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Ppd</w:t>
              <w:noBreakHyphen/>
              <w:t>D1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GNS</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718</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40</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1.43e-04</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9.82e-05</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4.47e-05</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Krasnodar 2019</w:t>
            </w:r>
          </w:p>
        </w:tc>
        <w:tc>
          <w:tcPr>
            <w:tcW w:w="1476" w:type="dxa"/>
            <w:tcBorders/>
            <w:vAlign w:val="center"/>
          </w:tcPr>
          <w:p>
            <w:pPr>
              <w:pStyle w:val="Normal"/>
              <w:spacing w:lineRule="auto" w:line="240" w:before="0" w:after="0"/>
              <w:jc w:val="center"/>
              <w:rPr/>
            </w:pPr>
            <w:r>
              <w:rPr>
                <w:rFonts w:eastAsia="Times New Roman" w:ascii="Times New Roman" w:hAnsi="Times New Roman"/>
                <w:i/>
                <w:color w:val="000000"/>
                <w:sz w:val="16"/>
              </w:rPr>
              <w:t>Vrn-B1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GNS</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718</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40</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1.49e-05</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5.85e-06</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2.84e-06</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Moscow 2018</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Rht</w:t>
              <w:noBreakHyphen/>
              <w:t>B1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GNS</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920</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81</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0.0734</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NB2</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0.0759</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0.0596</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Moscow 2018</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Rht</w:t>
              <w:noBreakHyphen/>
              <w:t>B1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SN</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966</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81</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0.371</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0.283</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0.326</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Moscow 2018</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Ppd</w:t>
              <w:noBreakHyphen/>
              <w:t>D1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GNS</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897</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79</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0.0537</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NB2</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0.0574</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0.0573</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Moscow 2018</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Ppd</w:t>
              <w:noBreakHyphen/>
              <w:t>D1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SN</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943</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79</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0.382</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0.325</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0.331</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Moscow 2018</w:t>
            </w:r>
          </w:p>
        </w:tc>
        <w:tc>
          <w:tcPr>
            <w:tcW w:w="1476" w:type="dxa"/>
            <w:tcBorders/>
            <w:vAlign w:val="center"/>
          </w:tcPr>
          <w:p>
            <w:pPr>
              <w:pStyle w:val="Normal"/>
              <w:spacing w:lineRule="auto" w:line="240" w:before="0" w:after="0"/>
              <w:jc w:val="center"/>
              <w:rPr/>
            </w:pPr>
            <w:r>
              <w:rPr>
                <w:rFonts w:eastAsia="Times New Roman" w:ascii="Times New Roman" w:hAnsi="Times New Roman"/>
                <w:i/>
                <w:color w:val="000000"/>
                <w:sz w:val="16"/>
              </w:rPr>
              <w:t>Vrn-B1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GNS</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920</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81</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0.994</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NB2</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0.993</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0.978</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Moscow 2018</w:t>
            </w:r>
          </w:p>
        </w:tc>
        <w:tc>
          <w:tcPr>
            <w:tcW w:w="1476" w:type="dxa"/>
            <w:tcBorders/>
            <w:vAlign w:val="center"/>
          </w:tcPr>
          <w:p>
            <w:pPr>
              <w:pStyle w:val="Normal"/>
              <w:spacing w:lineRule="auto" w:line="240" w:before="0" w:after="0"/>
              <w:jc w:val="center"/>
              <w:rPr/>
            </w:pPr>
            <w:r>
              <w:rPr>
                <w:rFonts w:eastAsia="Times New Roman" w:ascii="Times New Roman" w:hAnsi="Times New Roman"/>
                <w:i/>
                <w:color w:val="000000"/>
                <w:sz w:val="16"/>
              </w:rPr>
              <w:t>Vrn-B1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SN</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966</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81</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0.839</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0.861</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0.926</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Moscow 2019</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Rht</w:t>
              <w:noBreakHyphen/>
              <w:t>B1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DH</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552</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47</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0.0324</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0.0264</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0.00583</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Moscow 2019</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Rht</w:t>
              <w:noBreakHyphen/>
              <w:t>B1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DF</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541</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46</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0.00158</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0.00176</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0.00197</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Moscow 2019</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Rht</w:t>
              <w:noBreakHyphen/>
              <w:t>B1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GNS</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507</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49</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0.94</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0.909</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0.849</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Moscow 2019</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Rht</w:t>
              <w:noBreakHyphen/>
              <w:t>B1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SN</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520</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49</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0.462</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0.52</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0.583</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Moscow 2019</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Ppd</w:t>
              <w:noBreakHyphen/>
              <w:t>D1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DH</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552</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47</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2.90e-06</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5.59e-72</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3.43e-51</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Moscow 2019</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Ppd</w:t>
              <w:noBreakHyphen/>
              <w:t>D1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DF</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541</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46</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4.55e-04</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2.09e-22</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5.10e-29</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Moscow 2019</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Ppd</w:t>
              <w:noBreakHyphen/>
              <w:t>D1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GNS</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507</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49</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2.29e-04</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4.53e-04</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6.51e-04</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Moscow 2019</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Ppd</w:t>
              <w:noBreakHyphen/>
              <w:t>D1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SN</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520</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49</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0.0833</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1.81e-04</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8.98e-05</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Moscow 2019</w:t>
            </w:r>
          </w:p>
        </w:tc>
        <w:tc>
          <w:tcPr>
            <w:tcW w:w="1476" w:type="dxa"/>
            <w:tcBorders/>
            <w:vAlign w:val="center"/>
          </w:tcPr>
          <w:p>
            <w:pPr>
              <w:pStyle w:val="Normal"/>
              <w:spacing w:lineRule="auto" w:line="240" w:before="0" w:after="0"/>
              <w:jc w:val="center"/>
              <w:rPr/>
            </w:pPr>
            <w:r>
              <w:rPr>
                <w:rFonts w:eastAsia="Times New Roman" w:ascii="Times New Roman" w:hAnsi="Times New Roman"/>
                <w:i/>
                <w:color w:val="000000"/>
                <w:sz w:val="16"/>
              </w:rPr>
              <w:t>Vrn-B1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DH</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552</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47</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0.58</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3.56e-43</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4.92e-39</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Moscow 2019</w:t>
            </w:r>
          </w:p>
        </w:tc>
        <w:tc>
          <w:tcPr>
            <w:tcW w:w="1476" w:type="dxa"/>
            <w:tcBorders/>
            <w:vAlign w:val="center"/>
          </w:tcPr>
          <w:p>
            <w:pPr>
              <w:pStyle w:val="Normal"/>
              <w:spacing w:lineRule="auto" w:line="240" w:before="0" w:after="0"/>
              <w:jc w:val="center"/>
              <w:rPr/>
            </w:pPr>
            <w:r>
              <w:rPr>
                <w:rFonts w:eastAsia="Times New Roman" w:ascii="Times New Roman" w:hAnsi="Times New Roman"/>
                <w:i/>
                <w:color w:val="000000"/>
                <w:sz w:val="16"/>
              </w:rPr>
              <w:t>Vrn-B1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DF</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541</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46</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0.00918</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1.02e-77</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4.92e-68</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Moscow 2019</w:t>
            </w:r>
          </w:p>
        </w:tc>
        <w:tc>
          <w:tcPr>
            <w:tcW w:w="1476" w:type="dxa"/>
            <w:tcBorders/>
            <w:vAlign w:val="center"/>
          </w:tcPr>
          <w:p>
            <w:pPr>
              <w:pStyle w:val="Normal"/>
              <w:spacing w:lineRule="auto" w:line="240" w:before="0" w:after="0"/>
              <w:jc w:val="center"/>
              <w:rPr/>
            </w:pPr>
            <w:r>
              <w:rPr>
                <w:rFonts w:eastAsia="Times New Roman" w:ascii="Times New Roman" w:hAnsi="Times New Roman"/>
                <w:i/>
                <w:color w:val="000000"/>
                <w:sz w:val="16"/>
              </w:rPr>
              <w:t>Vrn-B1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GNS</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507</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49</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0.319</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0.319</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0.243</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Moscow 2019</w:t>
            </w:r>
          </w:p>
        </w:tc>
        <w:tc>
          <w:tcPr>
            <w:tcW w:w="1476" w:type="dxa"/>
            <w:tcBorders/>
            <w:vAlign w:val="center"/>
          </w:tcPr>
          <w:p>
            <w:pPr>
              <w:pStyle w:val="Normal"/>
              <w:spacing w:lineRule="auto" w:line="240" w:before="0" w:after="0"/>
              <w:jc w:val="center"/>
              <w:rPr/>
            </w:pPr>
            <w:r>
              <w:rPr>
                <w:rFonts w:eastAsia="Times New Roman" w:ascii="Times New Roman" w:hAnsi="Times New Roman"/>
                <w:i/>
                <w:color w:val="000000"/>
                <w:sz w:val="16"/>
              </w:rPr>
              <w:t>Vrn-B1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SN</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520</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49</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0.936</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0.331</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0.337</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Moscow 2022</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Rht</w:t>
              <w:noBreakHyphen/>
              <w:t>B1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DH</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993</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43</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1.34e-04</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7.88e-04</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5.41e-04</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Moscow 2022</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Rht</w:t>
              <w:noBreakHyphen/>
              <w:t>B1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DF</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991</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44</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0.236</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0.0654</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0.058</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Moscow 2022</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Rht</w:t>
              <w:noBreakHyphen/>
              <w:t>B1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GNS</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951</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44</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0.0302</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0.0283</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0.0308</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Moscow 2022</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Rht</w:t>
              <w:noBreakHyphen/>
              <w:t>B1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SN</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988</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44</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0.683</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0.662</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0.745</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Moscow 2022</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Ppd</w:t>
              <w:noBreakHyphen/>
              <w:t>D1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DH</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993</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43</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1.31e-07</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1.51e-110</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4.17e-122</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Moscow 2022</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Ppd</w:t>
              <w:noBreakHyphen/>
              <w:t>D1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DF</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991</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44</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0.0224</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5.42e-80</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7.74e-90</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Moscow 2022</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Ppd</w:t>
              <w:noBreakHyphen/>
              <w:t>D1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GNS</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951</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44</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0.0538</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0.0356</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0.025</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Moscow 2022</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Ppd</w:t>
              <w:noBreakHyphen/>
              <w:t>D1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SN</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988</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44</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0.00114</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3.60e-07</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7.44e-08</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Moscow 2022</w:t>
            </w:r>
          </w:p>
        </w:tc>
        <w:tc>
          <w:tcPr>
            <w:tcW w:w="1476" w:type="dxa"/>
            <w:tcBorders/>
            <w:vAlign w:val="center"/>
          </w:tcPr>
          <w:p>
            <w:pPr>
              <w:pStyle w:val="Normal"/>
              <w:spacing w:lineRule="auto" w:line="240" w:before="0" w:after="0"/>
              <w:jc w:val="center"/>
              <w:rPr/>
            </w:pPr>
            <w:r>
              <w:rPr>
                <w:rFonts w:eastAsia="Times New Roman" w:ascii="Times New Roman" w:hAnsi="Times New Roman"/>
                <w:i/>
                <w:color w:val="000000"/>
                <w:sz w:val="16"/>
              </w:rPr>
              <w:t>Vrn-B1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DH</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993</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43</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0.266</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1.97e-56</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1.05e-59</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Moscow 2022</w:t>
            </w:r>
          </w:p>
        </w:tc>
        <w:tc>
          <w:tcPr>
            <w:tcW w:w="1476" w:type="dxa"/>
            <w:tcBorders/>
            <w:vAlign w:val="center"/>
          </w:tcPr>
          <w:p>
            <w:pPr>
              <w:pStyle w:val="Normal"/>
              <w:spacing w:lineRule="auto" w:line="240" w:before="0" w:after="0"/>
              <w:jc w:val="center"/>
              <w:rPr/>
            </w:pPr>
            <w:r>
              <w:rPr>
                <w:rFonts w:eastAsia="Times New Roman" w:ascii="Times New Roman" w:hAnsi="Times New Roman"/>
                <w:i/>
                <w:color w:val="000000"/>
                <w:sz w:val="16"/>
              </w:rPr>
              <w:t>Vrn-B1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DF</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991</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44</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0.174</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2.43e-113</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2.93e-145</w:t>
            </w:r>
          </w:p>
        </w:tc>
      </w:tr>
      <w:tr>
        <w:trPr/>
        <w:tc>
          <w:tcPr>
            <w:tcW w:w="2296" w:type="dxa"/>
            <w:tcBorders/>
            <w:vAlign w:val="center"/>
          </w:tcPr>
          <w:p>
            <w:pPr>
              <w:pStyle w:val="Normal"/>
              <w:spacing w:lineRule="auto" w:line="240" w:before="0" w:after="0"/>
              <w:rPr/>
            </w:pPr>
            <w:r>
              <w:rPr>
                <w:rFonts w:eastAsia="Times New Roman" w:ascii="Times New Roman" w:hAnsi="Times New Roman"/>
                <w:color w:val="000000"/>
                <w:sz w:val="16"/>
              </w:rPr>
              <w:t>Moscow 2022</w:t>
            </w:r>
          </w:p>
        </w:tc>
        <w:tc>
          <w:tcPr>
            <w:tcW w:w="1476" w:type="dxa"/>
            <w:tcBorders/>
            <w:vAlign w:val="center"/>
          </w:tcPr>
          <w:p>
            <w:pPr>
              <w:pStyle w:val="Normal"/>
              <w:spacing w:lineRule="auto" w:line="240" w:before="0" w:after="0"/>
              <w:jc w:val="center"/>
              <w:rPr/>
            </w:pPr>
            <w:r>
              <w:rPr>
                <w:rFonts w:eastAsia="Times New Roman" w:ascii="Times New Roman" w:hAnsi="Times New Roman"/>
                <w:i/>
                <w:color w:val="000000"/>
                <w:sz w:val="16"/>
              </w:rPr>
              <w:t>Vrn-B1</w:t>
            </w:r>
          </w:p>
        </w:tc>
        <w:tc>
          <w:tcPr>
            <w:tcW w:w="985" w:type="dxa"/>
            <w:tcBorders/>
            <w:vAlign w:val="center"/>
          </w:tcPr>
          <w:p>
            <w:pPr>
              <w:pStyle w:val="Normal"/>
              <w:spacing w:lineRule="auto" w:line="240" w:before="0" w:after="0"/>
              <w:jc w:val="center"/>
              <w:rPr/>
            </w:pPr>
            <w:r>
              <w:rPr>
                <w:rFonts w:eastAsia="Times New Roman" w:ascii="Times New Roman" w:hAnsi="Times New Roman"/>
                <w:color w:val="000000"/>
                <w:sz w:val="16"/>
              </w:rPr>
              <w:t>GNS</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951</w:t>
            </w:r>
          </w:p>
        </w:tc>
        <w:tc>
          <w:tcPr>
            <w:tcW w:w="1313" w:type="dxa"/>
            <w:tcBorders/>
            <w:vAlign w:val="center"/>
          </w:tcPr>
          <w:p>
            <w:pPr>
              <w:pStyle w:val="Normal"/>
              <w:spacing w:lineRule="auto" w:line="240" w:before="0" w:after="0"/>
              <w:jc w:val="center"/>
              <w:rPr/>
            </w:pPr>
            <w:r>
              <w:rPr>
                <w:rFonts w:eastAsia="Times New Roman" w:ascii="Times New Roman" w:hAnsi="Times New Roman"/>
                <w:color w:val="000000"/>
                <w:sz w:val="16"/>
              </w:rPr>
              <w:t>44</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0.122</w:t>
            </w:r>
          </w:p>
        </w:tc>
        <w:tc>
          <w:tcPr>
            <w:tcW w:w="1230" w:type="dxa"/>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0.137</w:t>
            </w:r>
          </w:p>
        </w:tc>
        <w:tc>
          <w:tcPr>
            <w:tcW w:w="1476" w:type="dxa"/>
            <w:tcBorders/>
            <w:vAlign w:val="center"/>
          </w:tcPr>
          <w:p>
            <w:pPr>
              <w:pStyle w:val="Normal"/>
              <w:spacing w:lineRule="auto" w:line="240" w:before="0" w:after="0"/>
              <w:jc w:val="center"/>
              <w:rPr/>
            </w:pPr>
            <w:r>
              <w:rPr>
                <w:rFonts w:eastAsia="Times New Roman" w:ascii="Times New Roman" w:hAnsi="Times New Roman"/>
                <w:color w:val="000000"/>
                <w:sz w:val="16"/>
              </w:rPr>
              <w:t>0.201</w:t>
            </w:r>
          </w:p>
        </w:tc>
      </w:tr>
      <w:tr>
        <w:trPr/>
        <w:tc>
          <w:tcPr>
            <w:tcW w:w="2296" w:type="dxa"/>
            <w:tcBorders>
              <w:bottom w:val="single" w:sz="12" w:space="0" w:color="000000"/>
            </w:tcBorders>
            <w:vAlign w:val="center"/>
          </w:tcPr>
          <w:p>
            <w:pPr>
              <w:pStyle w:val="Normal"/>
              <w:spacing w:lineRule="auto" w:line="240" w:before="0" w:after="0"/>
              <w:rPr/>
            </w:pPr>
            <w:r>
              <w:rPr>
                <w:rFonts w:eastAsia="Times New Roman" w:ascii="Times New Roman" w:hAnsi="Times New Roman"/>
                <w:color w:val="000000"/>
                <w:sz w:val="16"/>
              </w:rPr>
              <w:t>Moscow 2022</w:t>
            </w:r>
          </w:p>
        </w:tc>
        <w:tc>
          <w:tcPr>
            <w:tcW w:w="1476"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i/>
                <w:color w:val="000000"/>
                <w:sz w:val="16"/>
              </w:rPr>
              <w:t>Vrn-B1</w:t>
            </w:r>
          </w:p>
        </w:tc>
        <w:tc>
          <w:tcPr>
            <w:tcW w:w="985"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color w:val="000000"/>
                <w:sz w:val="16"/>
              </w:rPr>
              <w:t>SN</w:t>
            </w:r>
          </w:p>
        </w:tc>
        <w:tc>
          <w:tcPr>
            <w:tcW w:w="1230"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color w:val="000000"/>
                <w:sz w:val="16"/>
              </w:rPr>
              <w:t>988</w:t>
            </w:r>
          </w:p>
        </w:tc>
        <w:tc>
          <w:tcPr>
            <w:tcW w:w="1313"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color w:val="000000"/>
                <w:sz w:val="16"/>
              </w:rPr>
              <w:t>44</w:t>
            </w:r>
          </w:p>
        </w:tc>
        <w:tc>
          <w:tcPr>
            <w:tcW w:w="1476"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color w:val="000000"/>
                <w:sz w:val="16"/>
              </w:rPr>
              <w:t>0.603</w:t>
            </w:r>
          </w:p>
        </w:tc>
        <w:tc>
          <w:tcPr>
            <w:tcW w:w="1230"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color w:val="000000"/>
                <w:sz w:val="16"/>
              </w:rPr>
              <w:t>Poisson</w:t>
            </w:r>
          </w:p>
        </w:tc>
        <w:tc>
          <w:tcPr>
            <w:tcW w:w="1476"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color w:val="000000"/>
                <w:sz w:val="16"/>
              </w:rPr>
              <w:t>0.125</w:t>
            </w:r>
          </w:p>
        </w:tc>
        <w:tc>
          <w:tcPr>
            <w:tcW w:w="1476"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color w:val="000000"/>
                <w:sz w:val="16"/>
              </w:rPr>
              <w:t>0.113</w:t>
            </w:r>
          </w:p>
        </w:tc>
      </w:tr>
    </w:tbl>
    <w:p>
      <w:pPr>
        <w:sectPr>
          <w:type w:val="nextPage"/>
          <w:pgSz w:orient="landscape" w:w="15840" w:h="12240"/>
          <w:pgMar w:left="792" w:right="792" w:gutter="0" w:header="0" w:top="792" w:footer="0" w:bottom="792"/>
          <w:pgNumType w:fmt="decimal"/>
          <w:formProt w:val="false"/>
          <w:textDirection w:val="lrTb"/>
          <w:docGrid w:type="default" w:linePitch="360" w:charSpace="0"/>
        </w:sectPr>
      </w:pPr>
    </w:p>
    <w:p>
      <w:pPr>
        <w:pStyle w:val="Heading1"/>
        <w:rPr/>
      </w:pPr>
      <w:r>
        <w:rPr>
          <w:rFonts w:eastAsia="Arial" w:ascii="Arial" w:hAnsi="Arial"/>
          <w:b/>
          <w:color w:val="000000"/>
          <w:sz w:val="26"/>
        </w:rPr>
        <w:t>Table S5. Local versus global FDR for single-locus tests</w:t>
      </w:r>
    </w:p>
    <w:p>
      <w:pPr>
        <w:pStyle w:val="Normal"/>
        <w:spacing w:lineRule="auto" w:line="252" w:before="0" w:after="80"/>
        <w:rPr/>
      </w:pPr>
      <w:r>
        <w:rPr>
          <w:rFonts w:eastAsia="Arial"/>
          <w:i w:val="false"/>
          <w:color w:val="000000"/>
          <w:sz w:val="19"/>
        </w:rPr>
        <w:t>Comparison of local (per gene × environment) and global (per environment) Benjamini–Hochberg FDR-adjusted p-values for single-locus tests.</w:t>
      </w:r>
    </w:p>
    <w:tbl>
      <w:tblPr>
        <w:tblW w:w="12960" w:type="dxa"/>
        <w:jc w:val="left"/>
        <w:tblInd w:w="132" w:type="dxa"/>
        <w:tblLayout w:type="fixed"/>
        <w:tblCellMar>
          <w:top w:w="80" w:type="dxa"/>
          <w:left w:w="120" w:type="dxa"/>
          <w:bottom w:w="80" w:type="dxa"/>
          <w:right w:w="120" w:type="dxa"/>
        </w:tblCellMar>
        <w:tblLook w:val="04a0" w:noHBand="0" w:noVBand="1" w:firstColumn="1" w:lastRow="0" w:lastColumn="0" w:firstRow="1"/>
      </w:tblPr>
      <w:tblGrid>
        <w:gridCol w:w="2879"/>
        <w:gridCol w:w="1981"/>
        <w:gridCol w:w="1350"/>
        <w:gridCol w:w="2250"/>
        <w:gridCol w:w="2250"/>
        <w:gridCol w:w="2249"/>
      </w:tblGrid>
      <w:tr>
        <w:trPr>
          <w:tblHeader w:val="true"/>
        </w:trPr>
        <w:tc>
          <w:tcPr>
            <w:tcW w:w="2879"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4"/>
              </w:rPr>
              <w:t>Environment</w:t>
            </w:r>
          </w:p>
        </w:tc>
        <w:tc>
          <w:tcPr>
            <w:tcW w:w="1981"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4"/>
              </w:rPr>
              <w:t>Gene</w:t>
            </w:r>
          </w:p>
        </w:tc>
        <w:tc>
          <w:tcPr>
            <w:tcW w:w="1350"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4"/>
              </w:rPr>
              <w:t>Trait</w:t>
            </w:r>
          </w:p>
        </w:tc>
        <w:tc>
          <w:tcPr>
            <w:tcW w:w="2250"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4"/>
              </w:rPr>
              <w:t>p-value</w:t>
            </w:r>
          </w:p>
        </w:tc>
        <w:tc>
          <w:tcPr>
            <w:tcW w:w="2250"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4"/>
              </w:rPr>
              <w:t>Local q</w:t>
            </w:r>
          </w:p>
        </w:tc>
        <w:tc>
          <w:tcPr>
            <w:tcW w:w="2249"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4"/>
              </w:rPr>
              <w:t>Global q</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SN</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0.0435</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0.104</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0.131</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GNS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0.569</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0.759</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0.819</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SL</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0.935</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0.957</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0.957</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DH</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2.46e-07</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2.96e-06</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1.77e-06</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PH</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0.957</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0.957</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0.957</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HI</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0.0142</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0.0756</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0.064</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IN</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0.138</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0.275</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0.354</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cTGW</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0.0265</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0.0796</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0.0869</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GWS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0.267</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0.457</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0.541</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SD</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0.0189</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0.0756</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0.0705</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VMMS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0.376</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0.565</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0.565</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SMMS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0.941</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0.957</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0.957</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SN</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0.27</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0.361</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0.541</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GNS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0.649</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0.708</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0.899</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SL</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0.366</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0.439</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0.565</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DH</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0.178</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0.267</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0.401</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PH</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5.02e-44</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6.02e-43</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1.81e-42</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HI</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5.93e-08</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1.78e-07</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5.34e-07</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IN</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4.66e-08</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1.78e-07</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5.34e-07</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cTGW</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7.02e-06</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1.68e-05</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4.21e-05</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GWS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0.00483</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0.00966</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0.0248</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SD</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0.91</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0.91</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0.957</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VMMS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0.0196</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0.0336</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0.0705</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SMMS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3.69e-13</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2.21e-12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6.63e-12</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SN</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0.94</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0.952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0.957</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GNS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0.943</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0.952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0.957</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SL</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0.318</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0.728</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0.56</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DH</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0.768</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0.952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0.957</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PH</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0.364</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0.728</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0.565</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HI</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0.952</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0.952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0.957</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IN</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0.835</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0.952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0.957</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cTGW</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0.136</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0.728</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0.354</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GWS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0.294</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0.728</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0.557</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SD</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0.812</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0.952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0.957</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VMMS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0.327</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0.728</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0.56</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SMMS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0.15</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0.728</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0.361</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GNS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1.47e-04</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2.36e-04</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3.22e-04</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SL</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1.58e-06</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4.20e-06</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4.73e-06</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PH</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2.14e-09</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1.71e-08</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1.03e-08</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HI</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9.66e-06</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1.93e-05</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2.57e-05</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cTGW</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0.313</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0.313</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0.375</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GWS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0.00638</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0.00729</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0.00957</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VMMS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3.90e-07</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1.56e-06</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1.34e-06</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SMMS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0.00354</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0.00472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0.00607</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GNS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0.155</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0.207</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0.196</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SL</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0.707</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0.707</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0.707</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PH</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2.10e-31</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1.68e-30</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5.05e-30</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HI</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0.654</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0.707</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0.707</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cTGW</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3.30e-14</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8.80e-14</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2.64e-13</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GWS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2.96e-12</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5.91e-12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1.77e-11</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VMMS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1.48e-14</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5.92e-14</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1.78e-13</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SMMS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1.80e-07</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2.87e-07</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7.18e-07</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GNS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1.93e-05</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1.54e-04</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4.62e-05</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SL</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0.0805</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0.107</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0.107</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PH</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0.00289</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0.0087</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0.00578</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HI</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0.702</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0.702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0.707</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cTGW</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0.494</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0.565</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0.565</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GWS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0.00603</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0.0121</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0.00957</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VMMS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0.0283</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0.0453</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0.04</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Krasnodar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SMMS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0.00326</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0.0087</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0.00602</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SN</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0.382</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0.915</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0.765</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GNS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0.0559</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0.279</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0.21</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SL</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0.915</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0.915</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0.947</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PH</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0.761</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0.915</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0.898</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HI</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0.836</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0.915</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0.898</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cTGW</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0.108</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0.362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0.296</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GWS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0.836</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0.915</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0.898</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SD</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0.023</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0.23</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0.0985</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VMMS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0.808</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0.915</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0.898</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SMMS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0.699</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0.915</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0.898</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SN</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0.371</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0.412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0.765</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GNS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0.0779</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0.0979</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0.235</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SL</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0.0783</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0.0979</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0.235</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PH</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1.33e-33</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1.33e-32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4.00e-32</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HI</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2.36e-04</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3.93e-04</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0.00118</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cTGW</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2.95e-14</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9.82e-14</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2.95e-13</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GWS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7.26e-08</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1.45e-07</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4.36e-07</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SD</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0.571</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0.571</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0.898</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VMMS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4.90e-08</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1.22e-07</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3.67e-07</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SMMS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1.25e-23</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6.27e-23</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1.88e-22</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SN</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0.839</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0.932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0.898</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GNS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1</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1</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1</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SL</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0.747</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0.932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0.898</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PH</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0.801</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0.932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0.898</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HI</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0.302</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0.932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0.754</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cTGW</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0.695</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0.932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0.898</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GWS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0.567</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0.932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0.898</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SD</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0.805</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0.932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0.898</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VMMS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0.365</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0.932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0.765</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2018</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SMMS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0.498</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0.932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0.898</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SN</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0.0834</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0.108</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0.136</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GNS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5.67e-04</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0.0018</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0.00276</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SL</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0.201</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0.237</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0.27</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DH</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1.32e-05</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1.71e-04</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1.03e-04</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DF</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6.93e-04</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0.0018</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0.003</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PH</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2.66e-04</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0.00132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0.0017</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HI</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0.994</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0.994</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0.994</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IN</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0.046</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0.0664</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0.0854</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cTGW</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0.3</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0.325</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0.366</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GWS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0.00886</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0.0165</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0.0266</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SD</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3.05e-04</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0.00132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0.0017</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VMMS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0.00859</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0.0165</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0.0266</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SMMS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0.0267</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0.0433</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0.0578</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SN</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0.462</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0.547</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0.53</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GNS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0.94</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0.94</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0.965</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SL</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0.0837</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0.136</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0.136</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DH</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0.0364</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0.0676</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0.0747</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DF</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0.00252</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0.00655</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0.00983</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PH</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6.41e-25</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8.33e-24</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2.50e-23</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HI</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2.62e-13</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1.13e-12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3.40e-12</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IN</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7.45e-06</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2.42e-05</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7.26e-05</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cTGW</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0.0184</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0.04</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0.0479</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GWS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0.158</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0.228</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0.22</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SD</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0.623</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0.675</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0.675</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VMMS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0.246</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0.32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0.32</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SMMS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2.94e-14</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1.91e-13</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5.73e-13</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SN</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0.936</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0.936</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0.965</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GNS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0.323</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0.382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0.382</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SL</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0.0247</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0.081</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0.0572</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DH</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0.577</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0.625</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0.643</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DF</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0.00689</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0.081</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0.0244</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PH</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0.0442</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0.115</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0.0854</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HI</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0.0126</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0.081</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0.0352</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IN</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0.277</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0.361</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0.349</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cTGW</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0.0249</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0.081</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0.0572</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GWS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0.0533</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0.116</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0.0945</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SD</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0.145</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0.213</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0.213</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VMMS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0.148</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0.213</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0.213</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2019</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SMMS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0.126</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0.213</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0.196</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SN</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0.00111</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0.00333</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0.004</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GNS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0.0605</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0.0907</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0.136</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SL</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9.61e-06</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5.77e-05</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6.92e-05</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DH</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9.24e-07</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1.11e-05</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8.32e-06</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DF</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0.0223</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0.0446</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0.0618</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PH</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2.80e-04</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0.00112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0.00168</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HI</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0.124</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0.165</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0.223</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cTGW</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0.395</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0.469</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0.547</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GWS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0.0543</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0.0907</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0.13</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SD</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0.774</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0.774</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0.82</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VMMS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0.00817</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0.0196</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0.0245</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Ppd-D1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SMMS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0.429</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0.469</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0.573</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SN</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0.683</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0.82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0.769</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GNS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0.0347</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0.0695</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0.0894</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SL</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0.655</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0.82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0.76</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DH</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4.35e-04</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0.00131</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0.00224</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DF</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0.236</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0.404</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0.369</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PH</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5.04e-27</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6.05e-26</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1.81e-25</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HI</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6.33e-14</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2.53e-13</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7.60e-13</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cTGW</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6.89e-04</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0.00165</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0.0031</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GWS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1</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1</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1</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SD</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0.881</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0.961</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0.906</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VMMS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0.583</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0.82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0.723</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Rht-B1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SMMS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3.28e-15</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1.97e-14</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5.91e-14</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SN</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0.603</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0.657</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0.723</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GNS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0.122</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0.292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0.223</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SL</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0.481</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0.577</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0.618</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DH</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0.262</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0.393</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0.393</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DF</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0.174</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0.349</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0.299</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PH</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8.35e-04</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0.01</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0.00334</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HI</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0.00479</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0.0287</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0.0157</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cTGW</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0.117</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0.292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0.223</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GWS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0.234</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0.393</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0.369</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SD</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0.0813</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0.292</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0.172</w:t>
            </w:r>
          </w:p>
        </w:tc>
      </w:tr>
      <w:tr>
        <w:trPr/>
        <w:tc>
          <w:tcPr>
            <w:tcW w:w="2879" w:type="dxa"/>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vAlign w:val="center"/>
          </w:tcPr>
          <w:p>
            <w:pPr>
              <w:pStyle w:val="Normal"/>
              <w:spacing w:lineRule="auto" w:line="240" w:before="0" w:after="0"/>
              <w:jc w:val="center"/>
              <w:rPr/>
            </w:pPr>
            <w:r>
              <w:rPr>
                <w:rFonts w:eastAsia="Times New Roman" w:ascii="Times New Roman" w:hAnsi="Times New Roman"/>
                <w:color w:val="000000"/>
                <w:sz w:val="14"/>
              </w:rPr>
              <w:t>VMMS</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0.753</w:t>
            </w:r>
          </w:p>
        </w:tc>
        <w:tc>
          <w:tcPr>
            <w:tcW w:w="2250" w:type="dxa"/>
            <w:tcBorders/>
            <w:vAlign w:val="center"/>
          </w:tcPr>
          <w:p>
            <w:pPr>
              <w:pStyle w:val="Normal"/>
              <w:spacing w:lineRule="auto" w:line="240" w:before="0" w:after="0"/>
              <w:jc w:val="center"/>
              <w:rPr/>
            </w:pPr>
            <w:r>
              <w:rPr>
                <w:rFonts w:eastAsia="Times New Roman" w:ascii="Times New Roman" w:hAnsi="Times New Roman"/>
                <w:color w:val="000000"/>
                <w:sz w:val="14"/>
              </w:rPr>
              <w:t>0.753</w:t>
            </w:r>
          </w:p>
        </w:tc>
        <w:tc>
          <w:tcPr>
            <w:tcW w:w="2249" w:type="dxa"/>
            <w:tcBorders/>
            <w:vAlign w:val="center"/>
          </w:tcPr>
          <w:p>
            <w:pPr>
              <w:pStyle w:val="Normal"/>
              <w:spacing w:lineRule="auto" w:line="240" w:before="0" w:after="0"/>
              <w:jc w:val="center"/>
              <w:rPr/>
            </w:pPr>
            <w:r>
              <w:rPr>
                <w:rFonts w:eastAsia="Times New Roman" w:ascii="Times New Roman" w:hAnsi="Times New Roman"/>
                <w:color w:val="000000"/>
                <w:sz w:val="14"/>
              </w:rPr>
              <w:t>0.82</w:t>
            </w:r>
          </w:p>
        </w:tc>
      </w:tr>
      <w:tr>
        <w:trPr/>
        <w:tc>
          <w:tcPr>
            <w:tcW w:w="2879" w:type="dxa"/>
            <w:tcBorders>
              <w:bottom w:val="single" w:sz="12" w:space="0" w:color="000000"/>
            </w:tcBorders>
            <w:vAlign w:val="center"/>
          </w:tcPr>
          <w:p>
            <w:pPr>
              <w:pStyle w:val="Normal"/>
              <w:spacing w:lineRule="auto" w:line="240" w:before="0" w:after="0"/>
              <w:rPr/>
            </w:pPr>
            <w:r>
              <w:rPr>
                <w:rFonts w:eastAsia="Times New Roman" w:ascii="Times New Roman" w:hAnsi="Times New Roman"/>
                <w:color w:val="000000"/>
                <w:sz w:val="14"/>
              </w:rPr>
              <w:t>Moscow 2022</w:t>
            </w:r>
          </w:p>
        </w:tc>
        <w:tc>
          <w:tcPr>
            <w:tcW w:w="1981"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i/>
                <w:color w:val="000000"/>
                <w:sz w:val="14"/>
              </w:rPr>
              <w:t>Vrn-B1</w:t>
            </w:r>
          </w:p>
        </w:tc>
        <w:tc>
          <w:tcPr>
            <w:tcW w:w="1350"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color w:val="000000"/>
                <w:sz w:val="14"/>
              </w:rPr>
              <w:t>SMMS</w:t>
            </w:r>
          </w:p>
        </w:tc>
        <w:tc>
          <w:tcPr>
            <w:tcW w:w="2250"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color w:val="000000"/>
                <w:sz w:val="14"/>
              </w:rPr>
              <w:t>0.355</w:t>
            </w:r>
          </w:p>
        </w:tc>
        <w:tc>
          <w:tcPr>
            <w:tcW w:w="2250"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color w:val="000000"/>
                <w:sz w:val="14"/>
              </w:rPr>
              <w:t>0.473</w:t>
            </w:r>
          </w:p>
        </w:tc>
        <w:tc>
          <w:tcPr>
            <w:tcW w:w="2249"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color w:val="000000"/>
                <w:sz w:val="14"/>
              </w:rPr>
              <w:t>0.511</w:t>
            </w:r>
          </w:p>
        </w:tc>
      </w:tr>
    </w:tbl>
    <w:p>
      <w:pPr>
        <w:sectPr>
          <w:type w:val="nextPage"/>
          <w:pgSz w:orient="landscape" w:w="15840" w:h="12240"/>
          <w:pgMar w:left="792" w:right="792" w:gutter="0" w:header="0" w:top="792" w:footer="0" w:bottom="792"/>
          <w:pgNumType w:fmt="decimal"/>
          <w:formProt w:val="false"/>
          <w:textDirection w:val="lrTb"/>
          <w:docGrid w:type="default" w:linePitch="360" w:charSpace="0"/>
        </w:sectPr>
      </w:pPr>
    </w:p>
    <w:p>
      <w:pPr>
        <w:pStyle w:val="Heading1"/>
        <w:rPr/>
      </w:pPr>
      <w:r>
        <w:rPr>
          <w:rFonts w:eastAsia="Arial" w:ascii="Arial" w:hAnsi="Arial"/>
          <w:b/>
          <w:color w:val="000000"/>
          <w:sz w:val="26"/>
        </w:rPr>
        <w:t>Table S6. Sample sizes by analysed allele class</w:t>
      </w:r>
    </w:p>
    <w:p>
      <w:pPr>
        <w:pStyle w:val="Normal"/>
        <w:spacing w:lineRule="auto" w:line="252" w:before="0" w:after="80"/>
        <w:rPr/>
      </w:pPr>
      <w:r>
        <w:rPr>
          <w:rFonts w:eastAsia="Arial"/>
          <w:i w:val="false"/>
          <w:color w:val="000000"/>
          <w:sz w:val="19"/>
        </w:rPr>
        <w:t>Number of plants and families for the two analysed allele classes at each locus and in each environment. Values are shown as n plants (n families).</w:t>
      </w:r>
    </w:p>
    <w:tbl>
      <w:tblPr>
        <w:tblW w:w="12960" w:type="dxa"/>
        <w:jc w:val="left"/>
        <w:tblInd w:w="132" w:type="dxa"/>
        <w:tblLayout w:type="fixed"/>
        <w:tblCellMar>
          <w:top w:w="80" w:type="dxa"/>
          <w:left w:w="120" w:type="dxa"/>
          <w:bottom w:w="80" w:type="dxa"/>
          <w:right w:w="120" w:type="dxa"/>
        </w:tblCellMar>
        <w:tblLook w:val="04a0" w:noHBand="0" w:noVBand="1" w:firstColumn="1" w:lastRow="0" w:lastColumn="0" w:firstRow="1"/>
      </w:tblPr>
      <w:tblGrid>
        <w:gridCol w:w="3240"/>
        <w:gridCol w:w="3240"/>
        <w:gridCol w:w="3240"/>
        <w:gridCol w:w="3239"/>
      </w:tblGrid>
      <w:tr>
        <w:trPr>
          <w:tblHeader w:val="true"/>
        </w:trPr>
        <w:tc>
          <w:tcPr>
            <w:tcW w:w="3240"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i w:val="false"/>
                <w:color w:val="000000"/>
                <w:sz w:val="18"/>
              </w:rPr>
              <w:t>Environment</w:t>
            </w:r>
          </w:p>
        </w:tc>
        <w:tc>
          <w:tcPr>
            <w:tcW w:w="3240"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i w:val="false"/>
                <w:color w:val="000000"/>
                <w:sz w:val="18"/>
              </w:rPr>
              <w:t>Locus</w:t>
            </w:r>
          </w:p>
        </w:tc>
        <w:tc>
          <w:tcPr>
            <w:tcW w:w="3240"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i w:val="false"/>
                <w:color w:val="000000"/>
                <w:sz w:val="18"/>
              </w:rPr>
              <w:t>First allele class</w:t>
            </w:r>
          </w:p>
        </w:tc>
        <w:tc>
          <w:tcPr>
            <w:tcW w:w="3239"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i w:val="false"/>
                <w:color w:val="000000"/>
                <w:sz w:val="18"/>
              </w:rPr>
              <w:t>Second allele class</w:t>
            </w:r>
          </w:p>
        </w:tc>
      </w:tr>
      <w:tr>
        <w:trPr/>
        <w:tc>
          <w:tcPr>
            <w:tcW w:w="3240" w:type="dxa"/>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K_2018</w:t>
            </w:r>
          </w:p>
        </w:tc>
        <w:tc>
          <w:tcPr>
            <w:tcW w:w="3240"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Ppd-D1</w:t>
            </w:r>
          </w:p>
        </w:tc>
        <w:tc>
          <w:tcPr>
            <w:tcW w:w="3240"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Ppd-D1a</w:t>
            </w:r>
            <w:r>
              <w:rPr>
                <w:rFonts w:eastAsia="Times New Roman" w:ascii="Times New Roman" w:hAnsi="Times New Roman"/>
                <w:b w:val="false"/>
                <w:i w:val="false"/>
                <w:color w:val="000000"/>
                <w:sz w:val="18"/>
              </w:rPr>
              <w:t>: 454 (46)</w:t>
            </w:r>
          </w:p>
        </w:tc>
        <w:tc>
          <w:tcPr>
            <w:tcW w:w="3239"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Ppd-D1b</w:t>
            </w:r>
            <w:r>
              <w:rPr>
                <w:rFonts w:eastAsia="Times New Roman" w:ascii="Times New Roman" w:hAnsi="Times New Roman"/>
                <w:b w:val="false"/>
                <w:i w:val="false"/>
                <w:color w:val="000000"/>
                <w:sz w:val="18"/>
              </w:rPr>
              <w:t>: 220 (22)</w:t>
            </w:r>
          </w:p>
        </w:tc>
      </w:tr>
      <w:tr>
        <w:trPr/>
        <w:tc>
          <w:tcPr>
            <w:tcW w:w="3240" w:type="dxa"/>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K_2018</w:t>
            </w:r>
          </w:p>
        </w:tc>
        <w:tc>
          <w:tcPr>
            <w:tcW w:w="3240"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Rht-B1</w:t>
            </w:r>
          </w:p>
        </w:tc>
        <w:tc>
          <w:tcPr>
            <w:tcW w:w="3240"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Rht-B1a</w:t>
            </w:r>
            <w:r>
              <w:rPr>
                <w:rFonts w:eastAsia="Times New Roman" w:ascii="Times New Roman" w:hAnsi="Times New Roman"/>
                <w:b w:val="false"/>
                <w:i w:val="false"/>
                <w:color w:val="000000"/>
                <w:sz w:val="18"/>
              </w:rPr>
              <w:t>: 398 (40)</w:t>
            </w:r>
          </w:p>
        </w:tc>
        <w:tc>
          <w:tcPr>
            <w:tcW w:w="3239"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Rht-B1p</w:t>
            </w:r>
            <w:r>
              <w:rPr>
                <w:rFonts w:eastAsia="Times New Roman" w:ascii="Times New Roman" w:hAnsi="Times New Roman"/>
                <w:b w:val="false"/>
                <w:i w:val="false"/>
                <w:color w:val="000000"/>
                <w:sz w:val="18"/>
              </w:rPr>
              <w:t>: 296 (30)</w:t>
            </w:r>
          </w:p>
        </w:tc>
      </w:tr>
      <w:tr>
        <w:trPr/>
        <w:tc>
          <w:tcPr>
            <w:tcW w:w="3240" w:type="dxa"/>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K_2018</w:t>
            </w:r>
          </w:p>
        </w:tc>
        <w:tc>
          <w:tcPr>
            <w:tcW w:w="3240"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Vrn-B1</w:t>
            </w:r>
          </w:p>
        </w:tc>
        <w:tc>
          <w:tcPr>
            <w:tcW w:w="3240"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vrn-B1</w:t>
            </w:r>
            <w:r>
              <w:rPr>
                <w:rFonts w:eastAsia="Times New Roman" w:ascii="Times New Roman" w:hAnsi="Times New Roman"/>
                <w:b w:val="false"/>
                <w:i w:val="false"/>
                <w:color w:val="000000"/>
                <w:sz w:val="18"/>
              </w:rPr>
              <w:t>: 438 (44)</w:t>
            </w:r>
          </w:p>
        </w:tc>
        <w:tc>
          <w:tcPr>
            <w:tcW w:w="3239"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Vrn-B1a</w:t>
            </w:r>
            <w:r>
              <w:rPr>
                <w:rFonts w:eastAsia="Times New Roman" w:ascii="Times New Roman" w:hAnsi="Times New Roman"/>
                <w:b w:val="false"/>
                <w:i w:val="false"/>
                <w:color w:val="000000"/>
                <w:sz w:val="18"/>
              </w:rPr>
              <w:t>: 256 (26)</w:t>
            </w:r>
          </w:p>
        </w:tc>
      </w:tr>
      <w:tr>
        <w:trPr/>
        <w:tc>
          <w:tcPr>
            <w:tcW w:w="3240" w:type="dxa"/>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K_2019</w:t>
            </w:r>
          </w:p>
        </w:tc>
        <w:tc>
          <w:tcPr>
            <w:tcW w:w="3240"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Ppd-D1</w:t>
            </w:r>
          </w:p>
        </w:tc>
        <w:tc>
          <w:tcPr>
            <w:tcW w:w="3240"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Ppd-D1a</w:t>
            </w:r>
            <w:r>
              <w:rPr>
                <w:rFonts w:eastAsia="Times New Roman" w:ascii="Times New Roman" w:hAnsi="Times New Roman"/>
                <w:b w:val="false"/>
                <w:i w:val="false"/>
                <w:color w:val="000000"/>
                <w:sz w:val="18"/>
              </w:rPr>
              <w:t>: 400 (17)</w:t>
            </w:r>
          </w:p>
        </w:tc>
        <w:tc>
          <w:tcPr>
            <w:tcW w:w="3239"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Ppd-D1b</w:t>
            </w:r>
            <w:r>
              <w:rPr>
                <w:rFonts w:eastAsia="Times New Roman" w:ascii="Times New Roman" w:hAnsi="Times New Roman"/>
                <w:b w:val="false"/>
                <w:i w:val="false"/>
                <w:color w:val="000000"/>
                <w:sz w:val="18"/>
              </w:rPr>
              <w:t>: 390 (24)</w:t>
            </w:r>
          </w:p>
        </w:tc>
      </w:tr>
      <w:tr>
        <w:trPr/>
        <w:tc>
          <w:tcPr>
            <w:tcW w:w="3240" w:type="dxa"/>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K_2019</w:t>
            </w:r>
          </w:p>
        </w:tc>
        <w:tc>
          <w:tcPr>
            <w:tcW w:w="3240"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Rht-B1</w:t>
            </w:r>
          </w:p>
        </w:tc>
        <w:tc>
          <w:tcPr>
            <w:tcW w:w="3240"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Rht-B1a</w:t>
            </w:r>
            <w:r>
              <w:rPr>
                <w:rFonts w:eastAsia="Times New Roman" w:ascii="Times New Roman" w:hAnsi="Times New Roman"/>
                <w:b w:val="false"/>
                <w:i w:val="false"/>
                <w:color w:val="000000"/>
                <w:sz w:val="18"/>
              </w:rPr>
              <w:t>: 390 (20)</w:t>
            </w:r>
          </w:p>
        </w:tc>
        <w:tc>
          <w:tcPr>
            <w:tcW w:w="3239"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Rht-B1p</w:t>
            </w:r>
            <w:r>
              <w:rPr>
                <w:rFonts w:eastAsia="Times New Roman" w:ascii="Times New Roman" w:hAnsi="Times New Roman"/>
                <w:b w:val="false"/>
                <w:i w:val="false"/>
                <w:color w:val="000000"/>
                <w:sz w:val="18"/>
              </w:rPr>
              <w:t>: 404 (20)</w:t>
            </w:r>
          </w:p>
        </w:tc>
      </w:tr>
      <w:tr>
        <w:trPr/>
        <w:tc>
          <w:tcPr>
            <w:tcW w:w="3240" w:type="dxa"/>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K_2019</w:t>
            </w:r>
          </w:p>
        </w:tc>
        <w:tc>
          <w:tcPr>
            <w:tcW w:w="3240"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Vrn-B1</w:t>
            </w:r>
          </w:p>
        </w:tc>
        <w:tc>
          <w:tcPr>
            <w:tcW w:w="3240"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vrn-B1</w:t>
            </w:r>
            <w:r>
              <w:rPr>
                <w:rFonts w:eastAsia="Times New Roman" w:ascii="Times New Roman" w:hAnsi="Times New Roman"/>
                <w:b w:val="false"/>
                <w:i w:val="false"/>
                <w:color w:val="000000"/>
                <w:sz w:val="18"/>
              </w:rPr>
              <w:t>: 359 (22)</w:t>
            </w:r>
          </w:p>
        </w:tc>
        <w:tc>
          <w:tcPr>
            <w:tcW w:w="3239"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Vrn-B1a</w:t>
            </w:r>
            <w:r>
              <w:rPr>
                <w:rFonts w:eastAsia="Times New Roman" w:ascii="Times New Roman" w:hAnsi="Times New Roman"/>
                <w:b w:val="false"/>
                <w:i w:val="false"/>
                <w:color w:val="000000"/>
                <w:sz w:val="18"/>
              </w:rPr>
              <w:t>: 431 (21)</w:t>
            </w:r>
          </w:p>
        </w:tc>
      </w:tr>
      <w:tr>
        <w:trPr/>
        <w:tc>
          <w:tcPr>
            <w:tcW w:w="3240" w:type="dxa"/>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M_2018</w:t>
            </w:r>
          </w:p>
        </w:tc>
        <w:tc>
          <w:tcPr>
            <w:tcW w:w="3240"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Ppd-D1</w:t>
            </w:r>
          </w:p>
        </w:tc>
        <w:tc>
          <w:tcPr>
            <w:tcW w:w="3240"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Ppd-D1a</w:t>
            </w:r>
            <w:r>
              <w:rPr>
                <w:rFonts w:eastAsia="Times New Roman" w:ascii="Times New Roman" w:hAnsi="Times New Roman"/>
                <w:b w:val="false"/>
                <w:i w:val="false"/>
                <w:color w:val="000000"/>
                <w:sz w:val="18"/>
              </w:rPr>
              <w:t>: 644 (51)</w:t>
            </w:r>
          </w:p>
        </w:tc>
        <w:tc>
          <w:tcPr>
            <w:tcW w:w="3239"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Ppd-D1b</w:t>
            </w:r>
            <w:r>
              <w:rPr>
                <w:rFonts w:eastAsia="Times New Roman" w:ascii="Times New Roman" w:hAnsi="Times New Roman"/>
                <w:b w:val="false"/>
                <w:i w:val="false"/>
                <w:color w:val="000000"/>
                <w:sz w:val="18"/>
              </w:rPr>
              <w:t>: 348 (28)</w:t>
            </w:r>
          </w:p>
        </w:tc>
      </w:tr>
      <w:tr>
        <w:trPr/>
        <w:tc>
          <w:tcPr>
            <w:tcW w:w="3240" w:type="dxa"/>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M_2018</w:t>
            </w:r>
          </w:p>
        </w:tc>
        <w:tc>
          <w:tcPr>
            <w:tcW w:w="3240"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Rht-B1</w:t>
            </w:r>
          </w:p>
        </w:tc>
        <w:tc>
          <w:tcPr>
            <w:tcW w:w="3240"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Rht-B1a</w:t>
            </w:r>
            <w:r>
              <w:rPr>
                <w:rFonts w:eastAsia="Times New Roman" w:ascii="Times New Roman" w:hAnsi="Times New Roman"/>
                <w:b w:val="false"/>
                <w:i w:val="false"/>
                <w:color w:val="000000"/>
                <w:sz w:val="18"/>
              </w:rPr>
              <w:t>: 596 (43)</w:t>
            </w:r>
          </w:p>
        </w:tc>
        <w:tc>
          <w:tcPr>
            <w:tcW w:w="3239"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Rht-B1p</w:t>
            </w:r>
            <w:r>
              <w:rPr>
                <w:rFonts w:eastAsia="Times New Roman" w:ascii="Times New Roman" w:hAnsi="Times New Roman"/>
                <w:b w:val="false"/>
                <w:i w:val="false"/>
                <w:color w:val="000000"/>
                <w:sz w:val="18"/>
              </w:rPr>
              <w:t>: 421 (38)</w:t>
            </w:r>
          </w:p>
        </w:tc>
      </w:tr>
      <w:tr>
        <w:trPr/>
        <w:tc>
          <w:tcPr>
            <w:tcW w:w="3240" w:type="dxa"/>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M_2018</w:t>
            </w:r>
          </w:p>
        </w:tc>
        <w:tc>
          <w:tcPr>
            <w:tcW w:w="3240"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Vrn-B1</w:t>
            </w:r>
          </w:p>
        </w:tc>
        <w:tc>
          <w:tcPr>
            <w:tcW w:w="3240"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vrn-B1</w:t>
            </w:r>
            <w:r>
              <w:rPr>
                <w:rFonts w:eastAsia="Times New Roman" w:ascii="Times New Roman" w:hAnsi="Times New Roman"/>
                <w:b w:val="false"/>
                <w:i w:val="false"/>
                <w:color w:val="000000"/>
                <w:sz w:val="18"/>
              </w:rPr>
              <w:t>: 671 (55)</w:t>
            </w:r>
          </w:p>
        </w:tc>
        <w:tc>
          <w:tcPr>
            <w:tcW w:w="3239"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Vrn-B1a</w:t>
            </w:r>
            <w:r>
              <w:rPr>
                <w:rFonts w:eastAsia="Times New Roman" w:ascii="Times New Roman" w:hAnsi="Times New Roman"/>
                <w:b w:val="false"/>
                <w:i w:val="false"/>
                <w:color w:val="000000"/>
                <w:sz w:val="18"/>
              </w:rPr>
              <w:t>: 346 (26)</w:t>
            </w:r>
          </w:p>
        </w:tc>
      </w:tr>
      <w:tr>
        <w:trPr/>
        <w:tc>
          <w:tcPr>
            <w:tcW w:w="3240" w:type="dxa"/>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M_2019</w:t>
            </w:r>
          </w:p>
        </w:tc>
        <w:tc>
          <w:tcPr>
            <w:tcW w:w="3240"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Ppd-D1</w:t>
            </w:r>
          </w:p>
        </w:tc>
        <w:tc>
          <w:tcPr>
            <w:tcW w:w="3240"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Ppd-D1a</w:t>
            </w:r>
            <w:r>
              <w:rPr>
                <w:rFonts w:eastAsia="Times New Roman" w:ascii="Times New Roman" w:hAnsi="Times New Roman"/>
                <w:b w:val="false"/>
                <w:i w:val="false"/>
                <w:color w:val="000000"/>
                <w:sz w:val="18"/>
              </w:rPr>
              <w:t>: 297 (25)</w:t>
            </w:r>
          </w:p>
        </w:tc>
        <w:tc>
          <w:tcPr>
            <w:tcW w:w="3239"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Ppd-D1b</w:t>
            </w:r>
            <w:r>
              <w:rPr>
                <w:rFonts w:eastAsia="Times New Roman" w:ascii="Times New Roman" w:hAnsi="Times New Roman"/>
                <w:b w:val="false"/>
                <w:i w:val="false"/>
                <w:color w:val="000000"/>
                <w:sz w:val="18"/>
              </w:rPr>
              <w:t>: 265 (27)</w:t>
            </w:r>
          </w:p>
        </w:tc>
      </w:tr>
      <w:tr>
        <w:trPr/>
        <w:tc>
          <w:tcPr>
            <w:tcW w:w="3240" w:type="dxa"/>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M_2019</w:t>
            </w:r>
          </w:p>
        </w:tc>
        <w:tc>
          <w:tcPr>
            <w:tcW w:w="3240"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Rht-B1</w:t>
            </w:r>
          </w:p>
        </w:tc>
        <w:tc>
          <w:tcPr>
            <w:tcW w:w="3240"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Rht-B1a</w:t>
            </w:r>
            <w:r>
              <w:rPr>
                <w:rFonts w:eastAsia="Times New Roman" w:ascii="Times New Roman" w:hAnsi="Times New Roman"/>
                <w:b w:val="false"/>
                <w:i w:val="false"/>
                <w:color w:val="000000"/>
                <w:sz w:val="18"/>
              </w:rPr>
              <w:t>: 288 (24)</w:t>
            </w:r>
          </w:p>
        </w:tc>
        <w:tc>
          <w:tcPr>
            <w:tcW w:w="3239"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Rht-B1p</w:t>
            </w:r>
            <w:r>
              <w:rPr>
                <w:rFonts w:eastAsia="Times New Roman" w:ascii="Times New Roman" w:hAnsi="Times New Roman"/>
                <w:b w:val="false"/>
                <w:i w:val="false"/>
                <w:color w:val="000000"/>
                <w:sz w:val="18"/>
              </w:rPr>
              <w:t>: 274 (25)</w:t>
            </w:r>
          </w:p>
        </w:tc>
      </w:tr>
      <w:tr>
        <w:trPr/>
        <w:tc>
          <w:tcPr>
            <w:tcW w:w="3240" w:type="dxa"/>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M_2019</w:t>
            </w:r>
          </w:p>
        </w:tc>
        <w:tc>
          <w:tcPr>
            <w:tcW w:w="3240"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Vrn-B1</w:t>
            </w:r>
          </w:p>
        </w:tc>
        <w:tc>
          <w:tcPr>
            <w:tcW w:w="3240"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vrn-B1</w:t>
            </w:r>
            <w:r>
              <w:rPr>
                <w:rFonts w:eastAsia="Times New Roman" w:ascii="Times New Roman" w:hAnsi="Times New Roman"/>
                <w:b w:val="false"/>
                <w:i w:val="false"/>
                <w:color w:val="000000"/>
                <w:sz w:val="18"/>
              </w:rPr>
              <w:t>: 279 (29)</w:t>
            </w:r>
          </w:p>
        </w:tc>
        <w:tc>
          <w:tcPr>
            <w:tcW w:w="3239"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Vrn-B1a</w:t>
            </w:r>
            <w:r>
              <w:rPr>
                <w:rFonts w:eastAsia="Times New Roman" w:ascii="Times New Roman" w:hAnsi="Times New Roman"/>
                <w:b w:val="false"/>
                <w:i w:val="false"/>
                <w:color w:val="000000"/>
                <w:sz w:val="18"/>
              </w:rPr>
              <w:t>: 283 (25)</w:t>
            </w:r>
          </w:p>
        </w:tc>
      </w:tr>
      <w:tr>
        <w:trPr/>
        <w:tc>
          <w:tcPr>
            <w:tcW w:w="3240" w:type="dxa"/>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M_2022</w:t>
            </w:r>
          </w:p>
        </w:tc>
        <w:tc>
          <w:tcPr>
            <w:tcW w:w="3240"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Ppd-D1</w:t>
            </w:r>
          </w:p>
        </w:tc>
        <w:tc>
          <w:tcPr>
            <w:tcW w:w="3240"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Ppd-D1a</w:t>
            </w:r>
            <w:r>
              <w:rPr>
                <w:rFonts w:eastAsia="Times New Roman" w:ascii="Times New Roman" w:hAnsi="Times New Roman"/>
                <w:b w:val="false"/>
                <w:i w:val="false"/>
                <w:color w:val="000000"/>
                <w:sz w:val="18"/>
              </w:rPr>
              <w:t>: 418 (18)</w:t>
            </w:r>
          </w:p>
        </w:tc>
        <w:tc>
          <w:tcPr>
            <w:tcW w:w="3239"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Ppd-D1b</w:t>
            </w:r>
            <w:r>
              <w:rPr>
                <w:rFonts w:eastAsia="Times New Roman" w:ascii="Times New Roman" w:hAnsi="Times New Roman"/>
                <w:b w:val="false"/>
                <w:i w:val="false"/>
                <w:color w:val="000000"/>
                <w:sz w:val="18"/>
              </w:rPr>
              <w:t>: 622 (30)</w:t>
            </w:r>
          </w:p>
        </w:tc>
      </w:tr>
      <w:tr>
        <w:trPr/>
        <w:tc>
          <w:tcPr>
            <w:tcW w:w="3240" w:type="dxa"/>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M_2022</w:t>
            </w:r>
          </w:p>
        </w:tc>
        <w:tc>
          <w:tcPr>
            <w:tcW w:w="3240"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Rht-B1</w:t>
            </w:r>
          </w:p>
        </w:tc>
        <w:tc>
          <w:tcPr>
            <w:tcW w:w="3240"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Rht-B1a</w:t>
            </w:r>
            <w:r>
              <w:rPr>
                <w:rFonts w:eastAsia="Times New Roman" w:ascii="Times New Roman" w:hAnsi="Times New Roman"/>
                <w:b w:val="false"/>
                <w:i w:val="false"/>
                <w:color w:val="000000"/>
                <w:sz w:val="18"/>
              </w:rPr>
              <w:t>: 627 (23)</w:t>
            </w:r>
          </w:p>
        </w:tc>
        <w:tc>
          <w:tcPr>
            <w:tcW w:w="3239" w:type="dxa"/>
            <w:tcBorders/>
            <w:vAlign w:val="center"/>
          </w:tcPr>
          <w:p>
            <w:pPr>
              <w:pStyle w:val="Normal"/>
              <w:spacing w:lineRule="auto" w:line="240" w:before="0" w:after="0"/>
              <w:jc w:val="center"/>
              <w:rPr/>
            </w:pPr>
            <w:r>
              <w:rPr>
                <w:rFonts w:eastAsia="Times New Roman" w:ascii="Times New Roman" w:hAnsi="Times New Roman"/>
                <w:b w:val="false"/>
                <w:i/>
                <w:color w:val="000000"/>
                <w:sz w:val="18"/>
              </w:rPr>
              <w:t>Rht-B1p</w:t>
            </w:r>
            <w:r>
              <w:rPr>
                <w:rFonts w:eastAsia="Times New Roman" w:ascii="Times New Roman" w:hAnsi="Times New Roman"/>
                <w:b w:val="false"/>
                <w:i w:val="false"/>
                <w:color w:val="000000"/>
                <w:sz w:val="18"/>
              </w:rPr>
              <w:t>: 413 (21)</w:t>
            </w:r>
          </w:p>
        </w:tc>
      </w:tr>
      <w:tr>
        <w:trPr/>
        <w:tc>
          <w:tcPr>
            <w:tcW w:w="3240" w:type="dxa"/>
            <w:tcBorders>
              <w:bottom w:val="single" w:sz="12" w:space="0" w:color="000000"/>
            </w:tcBorders>
            <w:vAlign w:val="center"/>
          </w:tcPr>
          <w:p>
            <w:pPr>
              <w:pStyle w:val="Normal"/>
              <w:spacing w:lineRule="auto" w:line="240" w:before="0" w:after="0"/>
              <w:jc w:val="left"/>
              <w:rPr/>
            </w:pPr>
            <w:r>
              <w:rPr>
                <w:rFonts w:eastAsia="Times New Roman" w:ascii="Times New Roman" w:hAnsi="Times New Roman"/>
                <w:b w:val="false"/>
                <w:i w:val="false"/>
                <w:color w:val="000000"/>
                <w:sz w:val="18"/>
              </w:rPr>
              <w:t>M_2022</w:t>
            </w:r>
          </w:p>
        </w:tc>
        <w:tc>
          <w:tcPr>
            <w:tcW w:w="3240"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b w:val="false"/>
                <w:i/>
                <w:color w:val="000000"/>
                <w:sz w:val="18"/>
              </w:rPr>
              <w:t>Vrn-B1</w:t>
            </w:r>
          </w:p>
        </w:tc>
        <w:tc>
          <w:tcPr>
            <w:tcW w:w="3240"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b w:val="false"/>
                <w:i/>
                <w:color w:val="000000"/>
                <w:sz w:val="18"/>
              </w:rPr>
              <w:t>vrn-B1</w:t>
            </w:r>
            <w:r>
              <w:rPr>
                <w:rFonts w:eastAsia="Times New Roman" w:ascii="Times New Roman" w:hAnsi="Times New Roman"/>
                <w:b w:val="false"/>
                <w:i w:val="false"/>
                <w:color w:val="000000"/>
                <w:sz w:val="18"/>
              </w:rPr>
              <w:t>: 516 (24)</w:t>
            </w:r>
          </w:p>
        </w:tc>
        <w:tc>
          <w:tcPr>
            <w:tcW w:w="3239"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b w:val="false"/>
                <w:i/>
                <w:color w:val="000000"/>
                <w:sz w:val="18"/>
              </w:rPr>
              <w:t>Vrn-B1a</w:t>
            </w:r>
            <w:r>
              <w:rPr>
                <w:rFonts w:eastAsia="Times New Roman" w:ascii="Times New Roman" w:hAnsi="Times New Roman"/>
                <w:b w:val="false"/>
                <w:i w:val="false"/>
                <w:color w:val="000000"/>
                <w:sz w:val="18"/>
              </w:rPr>
              <w:t>: 524 (22)</w:t>
            </w:r>
          </w:p>
        </w:tc>
      </w:tr>
    </w:tbl>
    <w:p>
      <w:pPr>
        <w:sectPr>
          <w:type w:val="nextPage"/>
          <w:pgSz w:orient="landscape" w:w="15840" w:h="12240"/>
          <w:pgMar w:left="792" w:right="792" w:gutter="0" w:header="0" w:top="792" w:footer="0" w:bottom="792"/>
          <w:pgNumType w:fmt="decimal"/>
          <w:formProt w:val="false"/>
          <w:textDirection w:val="lrTb"/>
          <w:docGrid w:type="default" w:linePitch="360" w:charSpace="0"/>
        </w:sectPr>
      </w:pPr>
    </w:p>
    <w:p>
      <w:pPr>
        <w:pStyle w:val="Heading1"/>
        <w:rPr/>
      </w:pPr>
      <w:r>
        <w:rPr>
          <w:rFonts w:eastAsia="Arial" w:ascii="Arial" w:hAnsi="Arial"/>
          <w:b/>
          <w:color w:val="000000"/>
          <w:sz w:val="26"/>
        </w:rPr>
        <w:t>Table S7. Significant two-locus interactions</w:t>
      </w:r>
    </w:p>
    <w:p>
      <w:pPr>
        <w:pStyle w:val="Normal"/>
        <w:spacing w:lineRule="auto" w:line="252" w:before="0" w:after="80"/>
        <w:rPr/>
      </w:pPr>
      <w:r>
        <w:rPr>
          <w:rFonts w:eastAsia="Arial"/>
          <w:i w:val="false"/>
          <w:color w:val="000000"/>
          <w:sz w:val="19"/>
        </w:rPr>
        <w:t>Two-locus interactions significant after Benjamini–Hochberg FDR correction (q &lt; 0.05) for individual trait–environment combinations.</w:t>
      </w:r>
    </w:p>
    <w:tbl>
      <w:tblPr>
        <w:tblW w:w="9936" w:type="dxa"/>
        <w:jc w:val="left"/>
        <w:tblInd w:w="132" w:type="dxa"/>
        <w:tblLayout w:type="fixed"/>
        <w:tblCellMar>
          <w:top w:w="80" w:type="dxa"/>
          <w:left w:w="120" w:type="dxa"/>
          <w:bottom w:w="80" w:type="dxa"/>
          <w:right w:w="120" w:type="dxa"/>
        </w:tblCellMar>
        <w:tblLook w:val="04a0" w:noHBand="0" w:noVBand="1" w:firstColumn="1" w:lastRow="0" w:lastColumn="0" w:firstRow="1"/>
      </w:tblPr>
      <w:tblGrid>
        <w:gridCol w:w="2709"/>
        <w:gridCol w:w="1807"/>
        <w:gridCol w:w="5420"/>
      </w:tblGrid>
      <w:tr>
        <w:trPr>
          <w:tblHeader w:val="true"/>
        </w:trPr>
        <w:tc>
          <w:tcPr>
            <w:tcW w:w="2709"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8"/>
              </w:rPr>
              <w:t>Gene pair</w:t>
            </w:r>
          </w:p>
        </w:tc>
        <w:tc>
          <w:tcPr>
            <w:tcW w:w="1807"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8"/>
              </w:rPr>
              <w:t>Environment</w:t>
            </w:r>
          </w:p>
        </w:tc>
        <w:tc>
          <w:tcPr>
            <w:tcW w:w="5420"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8"/>
              </w:rPr>
              <w:t>Traits with significant interaction</w:t>
            </w:r>
          </w:p>
        </w:tc>
      </w:tr>
      <w:tr>
        <w:trPr/>
        <w:tc>
          <w:tcPr>
            <w:tcW w:w="2709" w:type="dxa"/>
            <w:tcBorders/>
            <w:vAlign w:val="center"/>
          </w:tcPr>
          <w:p>
            <w:pPr>
              <w:pStyle w:val="Normal"/>
              <w:spacing w:lineRule="auto" w:line="240" w:before="0" w:after="0"/>
              <w:rPr/>
            </w:pPr>
            <w:r>
              <w:rPr>
                <w:rFonts w:eastAsia="Times New Roman" w:ascii="Times New Roman" w:hAnsi="Times New Roman"/>
                <w:i/>
                <w:color w:val="000000"/>
                <w:sz w:val="18"/>
              </w:rPr>
              <w:t>Ppd-D1</w:t>
            </w:r>
            <w:r>
              <w:rPr>
                <w:rFonts w:eastAsia="Times New Roman" w:ascii="Times New Roman" w:hAnsi="Times New Roman"/>
                <w:color w:val="000000"/>
                <w:sz w:val="18"/>
              </w:rPr>
              <w:t xml:space="preserve"> × </w:t>
            </w:r>
            <w:r>
              <w:rPr>
                <w:rFonts w:eastAsia="Times New Roman" w:ascii="Times New Roman" w:hAnsi="Times New Roman"/>
                <w:i/>
                <w:color w:val="000000"/>
                <w:sz w:val="18"/>
              </w:rPr>
              <w:t>Vrn-B1</w:t>
            </w:r>
          </w:p>
        </w:tc>
        <w:tc>
          <w:tcPr>
            <w:tcW w:w="1807" w:type="dxa"/>
            <w:tcBorders/>
            <w:vAlign w:val="center"/>
          </w:tcPr>
          <w:p>
            <w:pPr>
              <w:pStyle w:val="Normal"/>
              <w:spacing w:lineRule="auto" w:line="240" w:before="0" w:after="0"/>
              <w:jc w:val="center"/>
              <w:rPr/>
            </w:pPr>
            <w:r>
              <w:rPr>
                <w:rFonts w:eastAsia="Times New Roman" w:ascii="Times New Roman" w:hAnsi="Times New Roman"/>
                <w:color w:val="000000"/>
                <w:sz w:val="18"/>
              </w:rPr>
              <w:t>K_2019</w:t>
            </w:r>
          </w:p>
        </w:tc>
        <w:tc>
          <w:tcPr>
            <w:tcW w:w="5420" w:type="dxa"/>
            <w:tcBorders/>
            <w:vAlign w:val="center"/>
          </w:tcPr>
          <w:p>
            <w:pPr>
              <w:pStyle w:val="Normal"/>
              <w:spacing w:lineRule="auto" w:line="240" w:before="0" w:after="0"/>
              <w:jc w:val="center"/>
              <w:rPr/>
            </w:pPr>
            <w:r>
              <w:rPr>
                <w:rFonts w:eastAsia="Times New Roman" w:ascii="Times New Roman" w:hAnsi="Times New Roman"/>
                <w:color w:val="000000"/>
                <w:sz w:val="18"/>
              </w:rPr>
              <w:t>cTGW, GWS, HI, VMMS, SMMS</w:t>
            </w:r>
          </w:p>
        </w:tc>
      </w:tr>
      <w:tr>
        <w:trPr/>
        <w:tc>
          <w:tcPr>
            <w:tcW w:w="2709" w:type="dxa"/>
            <w:tcBorders/>
            <w:vAlign w:val="center"/>
          </w:tcPr>
          <w:p>
            <w:pPr>
              <w:pStyle w:val="Normal"/>
              <w:spacing w:lineRule="auto" w:line="240" w:before="0" w:after="0"/>
              <w:rPr/>
            </w:pPr>
            <w:r>
              <w:rPr>
                <w:rFonts w:eastAsia="Times New Roman" w:ascii="Times New Roman" w:hAnsi="Times New Roman"/>
                <w:i/>
                <w:color w:val="000000"/>
                <w:sz w:val="18"/>
              </w:rPr>
              <w:t>Ppd-D1</w:t>
            </w:r>
            <w:r>
              <w:rPr>
                <w:rFonts w:eastAsia="Times New Roman" w:ascii="Times New Roman" w:hAnsi="Times New Roman"/>
                <w:color w:val="000000"/>
                <w:sz w:val="18"/>
              </w:rPr>
              <w:t xml:space="preserve"> × </w:t>
            </w:r>
            <w:r>
              <w:rPr>
                <w:rFonts w:eastAsia="Times New Roman" w:ascii="Times New Roman" w:hAnsi="Times New Roman"/>
                <w:i/>
                <w:color w:val="000000"/>
                <w:sz w:val="18"/>
              </w:rPr>
              <w:t>Vrn-B1</w:t>
            </w:r>
          </w:p>
        </w:tc>
        <w:tc>
          <w:tcPr>
            <w:tcW w:w="1807" w:type="dxa"/>
            <w:tcBorders/>
            <w:vAlign w:val="center"/>
          </w:tcPr>
          <w:p>
            <w:pPr>
              <w:pStyle w:val="Normal"/>
              <w:spacing w:lineRule="auto" w:line="240" w:before="0" w:after="0"/>
              <w:jc w:val="center"/>
              <w:rPr/>
            </w:pPr>
            <w:r>
              <w:rPr>
                <w:rFonts w:eastAsia="Times New Roman" w:ascii="Times New Roman" w:hAnsi="Times New Roman"/>
                <w:color w:val="000000"/>
                <w:sz w:val="18"/>
              </w:rPr>
              <w:t>M_2019</w:t>
            </w:r>
          </w:p>
        </w:tc>
        <w:tc>
          <w:tcPr>
            <w:tcW w:w="5420" w:type="dxa"/>
            <w:tcBorders/>
            <w:vAlign w:val="center"/>
          </w:tcPr>
          <w:p>
            <w:pPr>
              <w:pStyle w:val="Normal"/>
              <w:spacing w:lineRule="auto" w:line="240" w:before="0" w:after="0"/>
              <w:jc w:val="center"/>
              <w:rPr/>
            </w:pPr>
            <w:r>
              <w:rPr>
                <w:rFonts w:eastAsia="Times New Roman" w:ascii="Times New Roman" w:hAnsi="Times New Roman"/>
                <w:color w:val="000000"/>
                <w:sz w:val="18"/>
              </w:rPr>
              <w:t>DH, DF</w:t>
            </w:r>
          </w:p>
        </w:tc>
      </w:tr>
      <w:tr>
        <w:trPr/>
        <w:tc>
          <w:tcPr>
            <w:tcW w:w="2709" w:type="dxa"/>
            <w:tcBorders/>
            <w:vAlign w:val="center"/>
          </w:tcPr>
          <w:p>
            <w:pPr>
              <w:pStyle w:val="Normal"/>
              <w:spacing w:lineRule="auto" w:line="240" w:before="0" w:after="0"/>
              <w:rPr/>
            </w:pPr>
            <w:r>
              <w:rPr>
                <w:rFonts w:eastAsia="Times New Roman" w:ascii="Times New Roman" w:hAnsi="Times New Roman"/>
                <w:i/>
                <w:color w:val="000000"/>
                <w:sz w:val="18"/>
              </w:rPr>
              <w:t>Ppd-D1</w:t>
            </w:r>
            <w:r>
              <w:rPr>
                <w:rFonts w:eastAsia="Times New Roman" w:ascii="Times New Roman" w:hAnsi="Times New Roman"/>
                <w:color w:val="000000"/>
                <w:sz w:val="18"/>
              </w:rPr>
              <w:t xml:space="preserve"> × </w:t>
            </w:r>
            <w:r>
              <w:rPr>
                <w:rFonts w:eastAsia="Times New Roman" w:ascii="Times New Roman" w:hAnsi="Times New Roman"/>
                <w:i/>
                <w:color w:val="000000"/>
                <w:sz w:val="18"/>
              </w:rPr>
              <w:t>Vrn-B1</w:t>
            </w:r>
          </w:p>
        </w:tc>
        <w:tc>
          <w:tcPr>
            <w:tcW w:w="1807" w:type="dxa"/>
            <w:tcBorders/>
            <w:vAlign w:val="center"/>
          </w:tcPr>
          <w:p>
            <w:pPr>
              <w:pStyle w:val="Normal"/>
              <w:spacing w:lineRule="auto" w:line="240" w:before="0" w:after="0"/>
              <w:jc w:val="center"/>
              <w:rPr/>
            </w:pPr>
            <w:r>
              <w:rPr>
                <w:rFonts w:eastAsia="Times New Roman" w:ascii="Times New Roman" w:hAnsi="Times New Roman"/>
                <w:color w:val="000000"/>
                <w:sz w:val="18"/>
              </w:rPr>
              <w:t>M_2022</w:t>
            </w:r>
          </w:p>
        </w:tc>
        <w:tc>
          <w:tcPr>
            <w:tcW w:w="5420" w:type="dxa"/>
            <w:tcBorders/>
            <w:vAlign w:val="center"/>
          </w:tcPr>
          <w:p>
            <w:pPr>
              <w:pStyle w:val="Normal"/>
              <w:spacing w:lineRule="auto" w:line="240" w:before="0" w:after="0"/>
              <w:jc w:val="center"/>
              <w:rPr/>
            </w:pPr>
            <w:r>
              <w:rPr>
                <w:rFonts w:eastAsia="Times New Roman" w:ascii="Times New Roman" w:hAnsi="Times New Roman"/>
                <w:color w:val="000000"/>
                <w:sz w:val="18"/>
              </w:rPr>
              <w:t>cTGW, SL, SD, DH, DF</w:t>
            </w:r>
          </w:p>
        </w:tc>
      </w:tr>
      <w:tr>
        <w:trPr/>
        <w:tc>
          <w:tcPr>
            <w:tcW w:w="2709" w:type="dxa"/>
            <w:tcBorders/>
            <w:vAlign w:val="center"/>
          </w:tcPr>
          <w:p>
            <w:pPr>
              <w:pStyle w:val="Normal"/>
              <w:spacing w:lineRule="auto" w:line="240" w:before="0" w:after="0"/>
              <w:rPr/>
            </w:pPr>
            <w:r>
              <w:rPr>
                <w:rFonts w:eastAsia="Times New Roman" w:ascii="Times New Roman" w:hAnsi="Times New Roman"/>
                <w:i/>
                <w:color w:val="000000"/>
                <w:sz w:val="18"/>
              </w:rPr>
              <w:t>Rht-B1</w:t>
            </w:r>
            <w:r>
              <w:rPr>
                <w:rFonts w:eastAsia="Times New Roman" w:ascii="Times New Roman" w:hAnsi="Times New Roman"/>
                <w:color w:val="000000"/>
                <w:sz w:val="18"/>
              </w:rPr>
              <w:t xml:space="preserve"> × </w:t>
            </w:r>
            <w:r>
              <w:rPr>
                <w:rFonts w:eastAsia="Times New Roman" w:ascii="Times New Roman" w:hAnsi="Times New Roman"/>
                <w:i/>
                <w:color w:val="000000"/>
                <w:sz w:val="18"/>
              </w:rPr>
              <w:t>Ppd-D1</w:t>
            </w:r>
          </w:p>
        </w:tc>
        <w:tc>
          <w:tcPr>
            <w:tcW w:w="1807" w:type="dxa"/>
            <w:tcBorders/>
            <w:vAlign w:val="center"/>
          </w:tcPr>
          <w:p>
            <w:pPr>
              <w:pStyle w:val="Normal"/>
              <w:spacing w:lineRule="auto" w:line="240" w:before="0" w:after="0"/>
              <w:jc w:val="center"/>
              <w:rPr/>
            </w:pPr>
            <w:r>
              <w:rPr>
                <w:rFonts w:eastAsia="Times New Roman" w:ascii="Times New Roman" w:hAnsi="Times New Roman"/>
                <w:color w:val="000000"/>
                <w:sz w:val="18"/>
              </w:rPr>
              <w:t>M_2019</w:t>
            </w:r>
          </w:p>
        </w:tc>
        <w:tc>
          <w:tcPr>
            <w:tcW w:w="5420" w:type="dxa"/>
            <w:tcBorders/>
            <w:vAlign w:val="center"/>
          </w:tcPr>
          <w:p>
            <w:pPr>
              <w:pStyle w:val="Normal"/>
              <w:spacing w:lineRule="auto" w:line="240" w:before="0" w:after="0"/>
              <w:jc w:val="center"/>
              <w:rPr/>
            </w:pPr>
            <w:r>
              <w:rPr>
                <w:rFonts w:eastAsia="Times New Roman" w:ascii="Times New Roman" w:hAnsi="Times New Roman"/>
                <w:color w:val="000000"/>
                <w:sz w:val="18"/>
              </w:rPr>
              <w:t>PH, SD, HI, DH, DF</w:t>
            </w:r>
          </w:p>
        </w:tc>
      </w:tr>
      <w:tr>
        <w:trPr/>
        <w:tc>
          <w:tcPr>
            <w:tcW w:w="2709" w:type="dxa"/>
            <w:tcBorders/>
            <w:vAlign w:val="center"/>
          </w:tcPr>
          <w:p>
            <w:pPr>
              <w:pStyle w:val="Normal"/>
              <w:spacing w:lineRule="auto" w:line="240" w:before="0" w:after="0"/>
              <w:rPr/>
            </w:pPr>
            <w:r>
              <w:rPr>
                <w:rFonts w:eastAsia="Times New Roman" w:ascii="Times New Roman" w:hAnsi="Times New Roman"/>
                <w:i/>
                <w:color w:val="000000"/>
                <w:sz w:val="18"/>
              </w:rPr>
              <w:t>Rht-B1</w:t>
            </w:r>
            <w:r>
              <w:rPr>
                <w:rFonts w:eastAsia="Times New Roman" w:ascii="Times New Roman" w:hAnsi="Times New Roman"/>
                <w:color w:val="000000"/>
                <w:sz w:val="18"/>
              </w:rPr>
              <w:t xml:space="preserve"> × </w:t>
            </w:r>
            <w:r>
              <w:rPr>
                <w:rFonts w:eastAsia="Times New Roman" w:ascii="Times New Roman" w:hAnsi="Times New Roman"/>
                <w:i/>
                <w:color w:val="000000"/>
                <w:sz w:val="18"/>
              </w:rPr>
              <w:t>Ppd-D1</w:t>
            </w:r>
          </w:p>
        </w:tc>
        <w:tc>
          <w:tcPr>
            <w:tcW w:w="1807" w:type="dxa"/>
            <w:tcBorders/>
            <w:vAlign w:val="center"/>
          </w:tcPr>
          <w:p>
            <w:pPr>
              <w:pStyle w:val="Normal"/>
              <w:spacing w:lineRule="auto" w:line="240" w:before="0" w:after="0"/>
              <w:jc w:val="center"/>
              <w:rPr/>
            </w:pPr>
            <w:r>
              <w:rPr>
                <w:rFonts w:eastAsia="Times New Roman" w:ascii="Times New Roman" w:hAnsi="Times New Roman"/>
                <w:color w:val="000000"/>
                <w:sz w:val="18"/>
              </w:rPr>
              <w:t>M_2022</w:t>
            </w:r>
          </w:p>
        </w:tc>
        <w:tc>
          <w:tcPr>
            <w:tcW w:w="5420" w:type="dxa"/>
            <w:tcBorders/>
            <w:vAlign w:val="center"/>
          </w:tcPr>
          <w:p>
            <w:pPr>
              <w:pStyle w:val="Normal"/>
              <w:spacing w:lineRule="auto" w:line="240" w:before="0" w:after="0"/>
              <w:jc w:val="center"/>
              <w:rPr/>
            </w:pPr>
            <w:r>
              <w:rPr>
                <w:rFonts w:eastAsia="Times New Roman" w:ascii="Times New Roman" w:hAnsi="Times New Roman"/>
                <w:color w:val="000000"/>
                <w:sz w:val="18"/>
              </w:rPr>
              <w:t>DH, DF</w:t>
            </w:r>
          </w:p>
        </w:tc>
      </w:tr>
      <w:tr>
        <w:trPr/>
        <w:tc>
          <w:tcPr>
            <w:tcW w:w="2709" w:type="dxa"/>
            <w:tcBorders/>
            <w:vAlign w:val="center"/>
          </w:tcPr>
          <w:p>
            <w:pPr>
              <w:pStyle w:val="Normal"/>
              <w:spacing w:lineRule="auto" w:line="240" w:before="0" w:after="0"/>
              <w:rPr/>
            </w:pPr>
            <w:r>
              <w:rPr>
                <w:rFonts w:eastAsia="Times New Roman" w:ascii="Times New Roman" w:hAnsi="Times New Roman"/>
                <w:i/>
                <w:color w:val="000000"/>
                <w:sz w:val="18"/>
              </w:rPr>
              <w:t>Rht-B1</w:t>
            </w:r>
            <w:r>
              <w:rPr>
                <w:rFonts w:eastAsia="Times New Roman" w:ascii="Times New Roman" w:hAnsi="Times New Roman"/>
                <w:color w:val="000000"/>
                <w:sz w:val="18"/>
              </w:rPr>
              <w:t xml:space="preserve"> × </w:t>
            </w:r>
            <w:r>
              <w:rPr>
                <w:rFonts w:eastAsia="Times New Roman" w:ascii="Times New Roman" w:hAnsi="Times New Roman"/>
                <w:i/>
                <w:color w:val="000000"/>
                <w:sz w:val="18"/>
              </w:rPr>
              <w:t>Vrn-B1</w:t>
            </w:r>
          </w:p>
        </w:tc>
        <w:tc>
          <w:tcPr>
            <w:tcW w:w="1807" w:type="dxa"/>
            <w:tcBorders/>
            <w:vAlign w:val="center"/>
          </w:tcPr>
          <w:p>
            <w:pPr>
              <w:pStyle w:val="Normal"/>
              <w:spacing w:lineRule="auto" w:line="240" w:before="0" w:after="0"/>
              <w:jc w:val="center"/>
              <w:rPr/>
            </w:pPr>
            <w:r>
              <w:rPr>
                <w:rFonts w:eastAsia="Times New Roman" w:ascii="Times New Roman" w:hAnsi="Times New Roman"/>
                <w:color w:val="000000"/>
                <w:sz w:val="18"/>
              </w:rPr>
              <w:t>K_2019</w:t>
            </w:r>
          </w:p>
        </w:tc>
        <w:tc>
          <w:tcPr>
            <w:tcW w:w="5420" w:type="dxa"/>
            <w:tcBorders/>
            <w:vAlign w:val="center"/>
          </w:tcPr>
          <w:p>
            <w:pPr>
              <w:pStyle w:val="Normal"/>
              <w:spacing w:lineRule="auto" w:line="240" w:before="0" w:after="0"/>
              <w:jc w:val="center"/>
              <w:rPr/>
            </w:pPr>
            <w:r>
              <w:rPr>
                <w:rFonts w:eastAsia="Times New Roman" w:ascii="Times New Roman" w:hAnsi="Times New Roman"/>
                <w:color w:val="000000"/>
                <w:sz w:val="18"/>
              </w:rPr>
              <w:t>PH</w:t>
            </w:r>
          </w:p>
        </w:tc>
      </w:tr>
      <w:tr>
        <w:trPr/>
        <w:tc>
          <w:tcPr>
            <w:tcW w:w="2709" w:type="dxa"/>
            <w:tcBorders/>
            <w:vAlign w:val="center"/>
          </w:tcPr>
          <w:p>
            <w:pPr>
              <w:pStyle w:val="Normal"/>
              <w:spacing w:lineRule="auto" w:line="240" w:before="0" w:after="0"/>
              <w:rPr/>
            </w:pPr>
            <w:r>
              <w:rPr>
                <w:rFonts w:eastAsia="Times New Roman" w:ascii="Times New Roman" w:hAnsi="Times New Roman"/>
                <w:i/>
                <w:color w:val="000000"/>
                <w:sz w:val="18"/>
              </w:rPr>
              <w:t>Rht-B1</w:t>
            </w:r>
            <w:r>
              <w:rPr>
                <w:rFonts w:eastAsia="Times New Roman" w:ascii="Times New Roman" w:hAnsi="Times New Roman"/>
                <w:color w:val="000000"/>
                <w:sz w:val="18"/>
              </w:rPr>
              <w:t xml:space="preserve"> × </w:t>
            </w:r>
            <w:r>
              <w:rPr>
                <w:rFonts w:eastAsia="Times New Roman" w:ascii="Times New Roman" w:hAnsi="Times New Roman"/>
                <w:i/>
                <w:color w:val="000000"/>
                <w:sz w:val="18"/>
              </w:rPr>
              <w:t>Vrn-B1</w:t>
            </w:r>
          </w:p>
        </w:tc>
        <w:tc>
          <w:tcPr>
            <w:tcW w:w="1807" w:type="dxa"/>
            <w:tcBorders/>
            <w:vAlign w:val="center"/>
          </w:tcPr>
          <w:p>
            <w:pPr>
              <w:pStyle w:val="Normal"/>
              <w:spacing w:lineRule="auto" w:line="240" w:before="0" w:after="0"/>
              <w:jc w:val="center"/>
              <w:rPr/>
            </w:pPr>
            <w:r>
              <w:rPr>
                <w:rFonts w:eastAsia="Times New Roman" w:ascii="Times New Roman" w:hAnsi="Times New Roman"/>
                <w:color w:val="000000"/>
                <w:sz w:val="18"/>
              </w:rPr>
              <w:t>M_2019</w:t>
            </w:r>
          </w:p>
        </w:tc>
        <w:tc>
          <w:tcPr>
            <w:tcW w:w="5420" w:type="dxa"/>
            <w:tcBorders/>
            <w:vAlign w:val="center"/>
          </w:tcPr>
          <w:p>
            <w:pPr>
              <w:pStyle w:val="Normal"/>
              <w:spacing w:lineRule="auto" w:line="240" w:before="0" w:after="0"/>
              <w:jc w:val="center"/>
              <w:rPr/>
            </w:pPr>
            <w:r>
              <w:rPr>
                <w:rFonts w:eastAsia="Times New Roman" w:ascii="Times New Roman" w:hAnsi="Times New Roman"/>
                <w:color w:val="000000"/>
                <w:sz w:val="18"/>
              </w:rPr>
              <w:t>SL, SN</w:t>
            </w:r>
          </w:p>
        </w:tc>
      </w:tr>
      <w:tr>
        <w:trPr/>
        <w:tc>
          <w:tcPr>
            <w:tcW w:w="2709" w:type="dxa"/>
            <w:tcBorders>
              <w:bottom w:val="single" w:sz="12" w:space="0" w:color="000000"/>
            </w:tcBorders>
            <w:vAlign w:val="center"/>
          </w:tcPr>
          <w:p>
            <w:pPr>
              <w:pStyle w:val="Normal"/>
              <w:spacing w:lineRule="auto" w:line="240" w:before="0" w:after="0"/>
              <w:rPr/>
            </w:pPr>
            <w:r>
              <w:rPr>
                <w:rFonts w:eastAsia="Times New Roman" w:ascii="Times New Roman" w:hAnsi="Times New Roman"/>
                <w:i/>
                <w:color w:val="000000"/>
                <w:sz w:val="18"/>
              </w:rPr>
              <w:t>Rht-B1</w:t>
            </w:r>
            <w:r>
              <w:rPr>
                <w:rFonts w:eastAsia="Times New Roman" w:ascii="Times New Roman" w:hAnsi="Times New Roman"/>
                <w:color w:val="000000"/>
                <w:sz w:val="18"/>
              </w:rPr>
              <w:t xml:space="preserve"> × </w:t>
            </w:r>
            <w:r>
              <w:rPr>
                <w:rFonts w:eastAsia="Times New Roman" w:ascii="Times New Roman" w:hAnsi="Times New Roman"/>
                <w:i/>
                <w:color w:val="000000"/>
                <w:sz w:val="18"/>
              </w:rPr>
              <w:t>Vrn-B1</w:t>
            </w:r>
          </w:p>
        </w:tc>
        <w:tc>
          <w:tcPr>
            <w:tcW w:w="1807"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color w:val="000000"/>
                <w:sz w:val="18"/>
              </w:rPr>
              <w:t>M_2022</w:t>
            </w:r>
          </w:p>
        </w:tc>
        <w:tc>
          <w:tcPr>
            <w:tcW w:w="5420"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color w:val="000000"/>
                <w:sz w:val="18"/>
              </w:rPr>
              <w:t>cTGW, DH</w:t>
            </w:r>
          </w:p>
        </w:tc>
      </w:tr>
    </w:tbl>
    <w:p>
      <w:pPr>
        <w:sectPr>
          <w:type w:val="nextPage"/>
          <w:pgSz w:w="12240" w:h="15840"/>
          <w:pgMar w:left="1008" w:right="1008" w:gutter="0" w:header="0" w:top="1008" w:footer="0" w:bottom="1008"/>
          <w:pgNumType w:fmt="decimal"/>
          <w:formProt w:val="false"/>
          <w:textDirection w:val="lrTb"/>
          <w:docGrid w:type="default" w:linePitch="360" w:charSpace="0"/>
        </w:sectPr>
      </w:pPr>
    </w:p>
    <w:p>
      <w:pPr>
        <w:pStyle w:val="Heading1"/>
        <w:rPr/>
      </w:pPr>
      <w:r>
        <w:rPr>
          <w:rFonts w:eastAsia="Arial" w:ascii="Arial" w:hAnsi="Arial"/>
          <w:b/>
          <w:color w:val="000000"/>
          <w:sz w:val="26"/>
        </w:rPr>
        <w:t>Table S8. Mean family ICC by locus and trait</w:t>
      </w:r>
    </w:p>
    <w:p>
      <w:pPr>
        <w:pStyle w:val="Normal"/>
        <w:spacing w:lineRule="auto" w:line="252" w:before="0" w:after="80"/>
        <w:rPr/>
      </w:pPr>
      <w:r>
        <w:rPr>
          <w:rFonts w:eastAsia="Arial"/>
          <w:i w:val="false"/>
          <w:color w:val="000000"/>
          <w:sz w:val="19"/>
        </w:rPr>
        <w:t>Mean intraclass correlation coefficients (ICC) for the family random effect, averaged across environments. Bracketed intervals are the min–max (or 2.5–97.5% percentiles across environments when ≥3 environments). Values for DH, DF and SN retain the latent-scale ICC summary from the original analysis.</w:t>
      </w:r>
    </w:p>
    <w:tbl>
      <w:tblPr>
        <w:tblW w:w="12960" w:type="dxa"/>
        <w:jc w:val="left"/>
        <w:tblInd w:w="132" w:type="dxa"/>
        <w:tblLayout w:type="fixed"/>
        <w:tblCellMar>
          <w:top w:w="80" w:type="dxa"/>
          <w:left w:w="120" w:type="dxa"/>
          <w:bottom w:w="80" w:type="dxa"/>
          <w:right w:w="120" w:type="dxa"/>
        </w:tblCellMar>
        <w:tblLook w:val="04a0" w:noHBand="0" w:noVBand="1" w:firstColumn="1" w:lastRow="0" w:lastColumn="0" w:firstRow="1"/>
      </w:tblPr>
      <w:tblGrid>
        <w:gridCol w:w="3840"/>
        <w:gridCol w:w="3040"/>
        <w:gridCol w:w="3039"/>
        <w:gridCol w:w="3040"/>
      </w:tblGrid>
      <w:tr>
        <w:trPr>
          <w:tblHeader w:val="true"/>
        </w:trPr>
        <w:tc>
          <w:tcPr>
            <w:tcW w:w="3840"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8"/>
              </w:rPr>
              <w:t>Trait</w:t>
            </w:r>
          </w:p>
        </w:tc>
        <w:tc>
          <w:tcPr>
            <w:tcW w:w="3040"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i/>
                <w:color w:val="000000"/>
                <w:sz w:val="18"/>
              </w:rPr>
              <w:t>Ppd-D1</w:t>
            </w:r>
            <w:r>
              <w:rPr>
                <w:rFonts w:eastAsia="Times New Roman" w:ascii="Times New Roman" w:hAnsi="Times New Roman"/>
                <w:b/>
                <w:color w:val="000000"/>
                <w:sz w:val="18"/>
              </w:rPr>
              <w:t xml:space="preserve"> (mean ICC [range])</w:t>
            </w:r>
          </w:p>
        </w:tc>
        <w:tc>
          <w:tcPr>
            <w:tcW w:w="3039"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i/>
                <w:color w:val="000000"/>
                <w:sz w:val="18"/>
              </w:rPr>
              <w:t>Rht-B1</w:t>
            </w:r>
            <w:r>
              <w:rPr>
                <w:rFonts w:eastAsia="Times New Roman" w:ascii="Times New Roman" w:hAnsi="Times New Roman"/>
                <w:b/>
                <w:color w:val="000000"/>
                <w:sz w:val="18"/>
              </w:rPr>
              <w:t xml:space="preserve"> (mean ICC [range])</w:t>
            </w:r>
          </w:p>
        </w:tc>
        <w:tc>
          <w:tcPr>
            <w:tcW w:w="3040"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i/>
                <w:color w:val="000000"/>
                <w:sz w:val="18"/>
              </w:rPr>
              <w:t>Vrn-B1</w:t>
            </w:r>
            <w:r>
              <w:rPr>
                <w:rFonts w:eastAsia="Times New Roman" w:ascii="Times New Roman" w:hAnsi="Times New Roman"/>
                <w:b/>
                <w:color w:val="000000"/>
                <w:sz w:val="18"/>
              </w:rPr>
              <w:t xml:space="preserve"> (mean ICC [range])</w:t>
            </w:r>
          </w:p>
        </w:tc>
      </w:tr>
      <w:tr>
        <w:trPr/>
        <w:tc>
          <w:tcPr>
            <w:tcW w:w="3840" w:type="dxa"/>
            <w:tcBorders/>
            <w:vAlign w:val="center"/>
          </w:tcPr>
          <w:p>
            <w:pPr>
              <w:pStyle w:val="Normal"/>
              <w:spacing w:lineRule="auto" w:line="240" w:before="0" w:after="0"/>
              <w:rPr/>
            </w:pPr>
            <w:r>
              <w:rPr>
                <w:rFonts w:eastAsia="Times New Roman" w:ascii="Times New Roman" w:hAnsi="Times New Roman"/>
                <w:color w:val="000000"/>
                <w:sz w:val="18"/>
              </w:rPr>
              <w:t>Plant height (PH)</w:t>
            </w:r>
          </w:p>
        </w:tc>
        <w:tc>
          <w:tcPr>
            <w:tcW w:w="3040" w:type="dxa"/>
            <w:tcBorders/>
            <w:vAlign w:val="center"/>
          </w:tcPr>
          <w:p>
            <w:pPr>
              <w:pStyle w:val="Normal"/>
              <w:spacing w:lineRule="auto" w:line="240" w:before="0" w:after="0"/>
              <w:jc w:val="center"/>
              <w:rPr/>
            </w:pPr>
            <w:r>
              <w:rPr>
                <w:rFonts w:eastAsia="Times New Roman" w:ascii="Times New Roman" w:hAnsi="Times New Roman"/>
                <w:color w:val="000000"/>
                <w:sz w:val="18"/>
              </w:rPr>
              <w:t>0.859 [0.644–0.952]</w:t>
            </w:r>
          </w:p>
        </w:tc>
        <w:tc>
          <w:tcPr>
            <w:tcW w:w="3039" w:type="dxa"/>
            <w:tcBorders/>
            <w:vAlign w:val="center"/>
          </w:tcPr>
          <w:p>
            <w:pPr>
              <w:pStyle w:val="Normal"/>
              <w:spacing w:lineRule="auto" w:line="240" w:before="0" w:after="0"/>
              <w:jc w:val="center"/>
              <w:rPr/>
            </w:pPr>
            <w:r>
              <w:rPr>
                <w:rFonts w:eastAsia="Times New Roman" w:ascii="Times New Roman" w:hAnsi="Times New Roman"/>
                <w:color w:val="000000"/>
                <w:sz w:val="18"/>
              </w:rPr>
              <w:t>0.354 [0.180–0.513]</w:t>
            </w:r>
          </w:p>
        </w:tc>
        <w:tc>
          <w:tcPr>
            <w:tcW w:w="3040" w:type="dxa"/>
            <w:tcBorders/>
            <w:vAlign w:val="center"/>
          </w:tcPr>
          <w:p>
            <w:pPr>
              <w:pStyle w:val="Normal"/>
              <w:spacing w:lineRule="auto" w:line="240" w:before="0" w:after="0"/>
              <w:jc w:val="center"/>
              <w:rPr/>
            </w:pPr>
            <w:r>
              <w:rPr>
                <w:rFonts w:eastAsia="Times New Roman" w:ascii="Times New Roman" w:hAnsi="Times New Roman"/>
                <w:color w:val="000000"/>
                <w:sz w:val="18"/>
              </w:rPr>
              <w:t>0.859 [0.645–0.948]</w:t>
            </w:r>
          </w:p>
        </w:tc>
      </w:tr>
      <w:tr>
        <w:trPr/>
        <w:tc>
          <w:tcPr>
            <w:tcW w:w="3840" w:type="dxa"/>
            <w:tcBorders/>
            <w:vAlign w:val="center"/>
          </w:tcPr>
          <w:p>
            <w:pPr>
              <w:pStyle w:val="Normal"/>
              <w:spacing w:lineRule="auto" w:line="240" w:before="0" w:after="0"/>
              <w:rPr/>
            </w:pPr>
            <w:r>
              <w:rPr>
                <w:rFonts w:eastAsia="Times New Roman" w:ascii="Times New Roman" w:hAnsi="Times New Roman"/>
                <w:color w:val="000000"/>
                <w:sz w:val="18"/>
              </w:rPr>
              <w:t>Thousand-grain weight (cTGW)</w:t>
            </w:r>
          </w:p>
        </w:tc>
        <w:tc>
          <w:tcPr>
            <w:tcW w:w="3040" w:type="dxa"/>
            <w:tcBorders/>
            <w:vAlign w:val="center"/>
          </w:tcPr>
          <w:p>
            <w:pPr>
              <w:pStyle w:val="Normal"/>
              <w:spacing w:lineRule="auto" w:line="240" w:before="0" w:after="0"/>
              <w:jc w:val="center"/>
              <w:rPr/>
            </w:pPr>
            <w:r>
              <w:rPr>
                <w:rFonts w:eastAsia="Times New Roman" w:ascii="Times New Roman" w:hAnsi="Times New Roman"/>
                <w:color w:val="000000"/>
                <w:sz w:val="18"/>
              </w:rPr>
              <w:t>0.443 [0.282–0.712]</w:t>
            </w:r>
          </w:p>
        </w:tc>
        <w:tc>
          <w:tcPr>
            <w:tcW w:w="3039" w:type="dxa"/>
            <w:tcBorders/>
            <w:vAlign w:val="center"/>
          </w:tcPr>
          <w:p>
            <w:pPr>
              <w:pStyle w:val="Normal"/>
              <w:spacing w:lineRule="auto" w:line="240" w:before="0" w:after="0"/>
              <w:jc w:val="center"/>
              <w:rPr/>
            </w:pPr>
            <w:r>
              <w:rPr>
                <w:rFonts w:eastAsia="Times New Roman" w:ascii="Times New Roman" w:hAnsi="Times New Roman"/>
                <w:color w:val="000000"/>
                <w:sz w:val="18"/>
              </w:rPr>
              <w:t>0.299 [0.205–0.401]</w:t>
            </w:r>
          </w:p>
        </w:tc>
        <w:tc>
          <w:tcPr>
            <w:tcW w:w="3040" w:type="dxa"/>
            <w:tcBorders/>
            <w:vAlign w:val="center"/>
          </w:tcPr>
          <w:p>
            <w:pPr>
              <w:pStyle w:val="Normal"/>
              <w:spacing w:lineRule="auto" w:line="240" w:before="0" w:after="0"/>
              <w:jc w:val="center"/>
              <w:rPr/>
            </w:pPr>
            <w:r>
              <w:rPr>
                <w:rFonts w:eastAsia="Times New Roman" w:ascii="Times New Roman" w:hAnsi="Times New Roman"/>
                <w:color w:val="000000"/>
                <w:sz w:val="18"/>
              </w:rPr>
              <w:t>0.439 [0.267–0.691]</w:t>
            </w:r>
          </w:p>
        </w:tc>
      </w:tr>
      <w:tr>
        <w:trPr/>
        <w:tc>
          <w:tcPr>
            <w:tcW w:w="3840" w:type="dxa"/>
            <w:tcBorders/>
            <w:vAlign w:val="center"/>
          </w:tcPr>
          <w:p>
            <w:pPr>
              <w:pStyle w:val="Normal"/>
              <w:spacing w:lineRule="auto" w:line="240" w:before="0" w:after="0"/>
              <w:rPr/>
            </w:pPr>
            <w:r>
              <w:rPr>
                <w:rFonts w:eastAsia="Times New Roman" w:ascii="Times New Roman" w:hAnsi="Times New Roman"/>
                <w:color w:val="000000"/>
                <w:sz w:val="18"/>
              </w:rPr>
              <w:t>Grain weight per spike (GWS)</w:t>
            </w:r>
          </w:p>
        </w:tc>
        <w:tc>
          <w:tcPr>
            <w:tcW w:w="3040" w:type="dxa"/>
            <w:tcBorders/>
            <w:vAlign w:val="center"/>
          </w:tcPr>
          <w:p>
            <w:pPr>
              <w:pStyle w:val="Normal"/>
              <w:spacing w:lineRule="auto" w:line="240" w:before="0" w:after="0"/>
              <w:jc w:val="center"/>
              <w:rPr/>
            </w:pPr>
            <w:r>
              <w:rPr>
                <w:rFonts w:eastAsia="Times New Roman" w:ascii="Times New Roman" w:hAnsi="Times New Roman"/>
                <w:color w:val="000000"/>
                <w:sz w:val="18"/>
              </w:rPr>
              <w:t>0.252 [0.124–0.507]</w:t>
            </w:r>
          </w:p>
        </w:tc>
        <w:tc>
          <w:tcPr>
            <w:tcW w:w="3039" w:type="dxa"/>
            <w:tcBorders/>
            <w:vAlign w:val="center"/>
          </w:tcPr>
          <w:p>
            <w:pPr>
              <w:pStyle w:val="Normal"/>
              <w:spacing w:lineRule="auto" w:line="240" w:before="0" w:after="0"/>
              <w:jc w:val="center"/>
              <w:rPr/>
            </w:pPr>
            <w:r>
              <w:rPr>
                <w:rFonts w:eastAsia="Times New Roman" w:ascii="Times New Roman" w:hAnsi="Times New Roman"/>
                <w:color w:val="000000"/>
                <w:sz w:val="18"/>
              </w:rPr>
              <w:t>0.173 [0.098–0.244]</w:t>
            </w:r>
          </w:p>
        </w:tc>
        <w:tc>
          <w:tcPr>
            <w:tcW w:w="3040" w:type="dxa"/>
            <w:tcBorders/>
            <w:vAlign w:val="center"/>
          </w:tcPr>
          <w:p>
            <w:pPr>
              <w:pStyle w:val="Normal"/>
              <w:spacing w:lineRule="auto" w:line="240" w:before="0" w:after="0"/>
              <w:jc w:val="center"/>
              <w:rPr/>
            </w:pPr>
            <w:r>
              <w:rPr>
                <w:rFonts w:eastAsia="Times New Roman" w:ascii="Times New Roman" w:hAnsi="Times New Roman"/>
                <w:color w:val="000000"/>
                <w:sz w:val="18"/>
              </w:rPr>
              <w:t>0.252 [0.131–0.474]</w:t>
            </w:r>
          </w:p>
        </w:tc>
      </w:tr>
      <w:tr>
        <w:trPr/>
        <w:tc>
          <w:tcPr>
            <w:tcW w:w="3840" w:type="dxa"/>
            <w:tcBorders/>
            <w:vAlign w:val="center"/>
          </w:tcPr>
          <w:p>
            <w:pPr>
              <w:pStyle w:val="Normal"/>
              <w:spacing w:lineRule="auto" w:line="240" w:before="0" w:after="0"/>
              <w:rPr/>
            </w:pPr>
            <w:r>
              <w:rPr>
                <w:rFonts w:eastAsia="Times New Roman" w:ascii="Times New Roman" w:hAnsi="Times New Roman"/>
                <w:color w:val="000000"/>
                <w:sz w:val="18"/>
              </w:rPr>
              <w:t>Grain number per spike (GNS)</w:t>
            </w:r>
          </w:p>
        </w:tc>
        <w:tc>
          <w:tcPr>
            <w:tcW w:w="3040" w:type="dxa"/>
            <w:tcBorders/>
            <w:vAlign w:val="center"/>
          </w:tcPr>
          <w:p>
            <w:pPr>
              <w:pStyle w:val="Normal"/>
              <w:spacing w:lineRule="auto" w:line="240" w:before="0" w:after="0"/>
              <w:jc w:val="center"/>
              <w:rPr/>
            </w:pPr>
            <w:r>
              <w:rPr>
                <w:rFonts w:eastAsia="Times New Roman" w:ascii="Times New Roman" w:hAnsi="Times New Roman"/>
                <w:color w:val="000000"/>
                <w:sz w:val="18"/>
              </w:rPr>
              <w:t>0.154 [0.083–0.225]</w:t>
            </w:r>
          </w:p>
        </w:tc>
        <w:tc>
          <w:tcPr>
            <w:tcW w:w="3039" w:type="dxa"/>
            <w:tcBorders/>
            <w:vAlign w:val="center"/>
          </w:tcPr>
          <w:p>
            <w:pPr>
              <w:pStyle w:val="Normal"/>
              <w:spacing w:lineRule="auto" w:line="240" w:before="0" w:after="0"/>
              <w:jc w:val="center"/>
              <w:rPr/>
            </w:pPr>
            <w:r>
              <w:rPr>
                <w:rFonts w:eastAsia="Times New Roman" w:ascii="Times New Roman" w:hAnsi="Times New Roman"/>
                <w:color w:val="000000"/>
                <w:sz w:val="18"/>
              </w:rPr>
              <w:t>0.169 [0.131–0.238]</w:t>
            </w:r>
          </w:p>
        </w:tc>
        <w:tc>
          <w:tcPr>
            <w:tcW w:w="3040" w:type="dxa"/>
            <w:tcBorders/>
            <w:vAlign w:val="center"/>
          </w:tcPr>
          <w:p>
            <w:pPr>
              <w:pStyle w:val="Normal"/>
              <w:spacing w:lineRule="auto" w:line="240" w:before="0" w:after="0"/>
              <w:jc w:val="center"/>
              <w:rPr/>
            </w:pPr>
            <w:r>
              <w:rPr>
                <w:rFonts w:eastAsia="Times New Roman" w:ascii="Times New Roman" w:hAnsi="Times New Roman"/>
                <w:color w:val="000000"/>
                <w:sz w:val="18"/>
              </w:rPr>
              <w:t>0.168 [0.125–0.258]</w:t>
            </w:r>
          </w:p>
        </w:tc>
      </w:tr>
      <w:tr>
        <w:trPr/>
        <w:tc>
          <w:tcPr>
            <w:tcW w:w="3840" w:type="dxa"/>
            <w:tcBorders/>
            <w:vAlign w:val="center"/>
          </w:tcPr>
          <w:p>
            <w:pPr>
              <w:pStyle w:val="Normal"/>
              <w:spacing w:lineRule="auto" w:line="240" w:before="0" w:after="0"/>
              <w:rPr/>
            </w:pPr>
            <w:r>
              <w:rPr>
                <w:rFonts w:eastAsia="Times New Roman" w:ascii="Times New Roman" w:hAnsi="Times New Roman"/>
                <w:color w:val="000000"/>
                <w:sz w:val="18"/>
              </w:rPr>
              <w:t>Spike length (SL)</w:t>
            </w:r>
          </w:p>
        </w:tc>
        <w:tc>
          <w:tcPr>
            <w:tcW w:w="3040" w:type="dxa"/>
            <w:tcBorders/>
            <w:vAlign w:val="center"/>
          </w:tcPr>
          <w:p>
            <w:pPr>
              <w:pStyle w:val="Normal"/>
              <w:spacing w:lineRule="auto" w:line="240" w:before="0" w:after="0"/>
              <w:jc w:val="center"/>
              <w:rPr/>
            </w:pPr>
            <w:r>
              <w:rPr>
                <w:rFonts w:eastAsia="Times New Roman" w:ascii="Times New Roman" w:hAnsi="Times New Roman"/>
                <w:color w:val="000000"/>
                <w:sz w:val="18"/>
              </w:rPr>
              <w:t>0.317 [0.208–0.364]</w:t>
            </w:r>
          </w:p>
        </w:tc>
        <w:tc>
          <w:tcPr>
            <w:tcW w:w="3039" w:type="dxa"/>
            <w:tcBorders/>
            <w:vAlign w:val="center"/>
          </w:tcPr>
          <w:p>
            <w:pPr>
              <w:pStyle w:val="Normal"/>
              <w:spacing w:lineRule="auto" w:line="240" w:before="0" w:after="0"/>
              <w:jc w:val="center"/>
              <w:rPr/>
            </w:pPr>
            <w:r>
              <w:rPr>
                <w:rFonts w:eastAsia="Times New Roman" w:ascii="Times New Roman" w:hAnsi="Times New Roman"/>
                <w:color w:val="000000"/>
                <w:sz w:val="18"/>
              </w:rPr>
              <w:t>0.313 [0.201–0.368]</w:t>
            </w:r>
          </w:p>
        </w:tc>
        <w:tc>
          <w:tcPr>
            <w:tcW w:w="3040" w:type="dxa"/>
            <w:tcBorders/>
            <w:vAlign w:val="center"/>
          </w:tcPr>
          <w:p>
            <w:pPr>
              <w:pStyle w:val="Normal"/>
              <w:spacing w:lineRule="auto" w:line="240" w:before="0" w:after="0"/>
              <w:jc w:val="center"/>
              <w:rPr/>
            </w:pPr>
            <w:r>
              <w:rPr>
                <w:rFonts w:eastAsia="Times New Roman" w:ascii="Times New Roman" w:hAnsi="Times New Roman"/>
                <w:color w:val="000000"/>
                <w:sz w:val="18"/>
              </w:rPr>
              <w:t>0.313 [0.209–0.364]</w:t>
            </w:r>
          </w:p>
        </w:tc>
      </w:tr>
      <w:tr>
        <w:trPr/>
        <w:tc>
          <w:tcPr>
            <w:tcW w:w="3840" w:type="dxa"/>
            <w:tcBorders/>
            <w:vAlign w:val="center"/>
          </w:tcPr>
          <w:p>
            <w:pPr>
              <w:pStyle w:val="Normal"/>
              <w:spacing w:lineRule="auto" w:line="240" w:before="0" w:after="0"/>
              <w:rPr/>
            </w:pPr>
            <w:r>
              <w:rPr>
                <w:rFonts w:eastAsia="Times New Roman" w:ascii="Times New Roman" w:hAnsi="Times New Roman"/>
                <w:color w:val="000000"/>
                <w:sz w:val="18"/>
              </w:rPr>
              <w:t>Spike density (SD)</w:t>
            </w:r>
          </w:p>
        </w:tc>
        <w:tc>
          <w:tcPr>
            <w:tcW w:w="3040" w:type="dxa"/>
            <w:tcBorders/>
            <w:vAlign w:val="center"/>
          </w:tcPr>
          <w:p>
            <w:pPr>
              <w:pStyle w:val="Normal"/>
              <w:spacing w:lineRule="auto" w:line="240" w:before="0" w:after="0"/>
              <w:jc w:val="center"/>
              <w:rPr/>
            </w:pPr>
            <w:r>
              <w:rPr>
                <w:rFonts w:eastAsia="Times New Roman" w:ascii="Times New Roman" w:hAnsi="Times New Roman"/>
                <w:color w:val="000000"/>
                <w:sz w:val="18"/>
              </w:rPr>
              <w:t>0.364 [0.208–0.457]</w:t>
            </w:r>
          </w:p>
        </w:tc>
        <w:tc>
          <w:tcPr>
            <w:tcW w:w="3039" w:type="dxa"/>
            <w:tcBorders/>
            <w:vAlign w:val="center"/>
          </w:tcPr>
          <w:p>
            <w:pPr>
              <w:pStyle w:val="Normal"/>
              <w:spacing w:lineRule="auto" w:line="240" w:before="0" w:after="0"/>
              <w:jc w:val="center"/>
              <w:rPr/>
            </w:pPr>
            <w:r>
              <w:rPr>
                <w:rFonts w:eastAsia="Times New Roman" w:ascii="Times New Roman" w:hAnsi="Times New Roman"/>
                <w:color w:val="000000"/>
                <w:sz w:val="18"/>
              </w:rPr>
              <w:t>0.382 [0.220–0.461]</w:t>
            </w:r>
          </w:p>
        </w:tc>
        <w:tc>
          <w:tcPr>
            <w:tcW w:w="3040" w:type="dxa"/>
            <w:tcBorders/>
            <w:vAlign w:val="center"/>
          </w:tcPr>
          <w:p>
            <w:pPr>
              <w:pStyle w:val="Normal"/>
              <w:spacing w:lineRule="auto" w:line="240" w:before="0" w:after="0"/>
              <w:jc w:val="center"/>
              <w:rPr/>
            </w:pPr>
            <w:r>
              <w:rPr>
                <w:rFonts w:eastAsia="Times New Roman" w:ascii="Times New Roman" w:hAnsi="Times New Roman"/>
                <w:color w:val="000000"/>
                <w:sz w:val="18"/>
              </w:rPr>
              <w:t>0.388 [0.221–0.477]</w:t>
            </w:r>
          </w:p>
        </w:tc>
      </w:tr>
      <w:tr>
        <w:trPr/>
        <w:tc>
          <w:tcPr>
            <w:tcW w:w="3840" w:type="dxa"/>
            <w:tcBorders/>
            <w:vAlign w:val="center"/>
          </w:tcPr>
          <w:p>
            <w:pPr>
              <w:pStyle w:val="Normal"/>
              <w:spacing w:lineRule="auto" w:line="240" w:before="0" w:after="0"/>
              <w:rPr/>
            </w:pPr>
            <w:r>
              <w:rPr>
                <w:rFonts w:eastAsia="Times New Roman" w:ascii="Times New Roman" w:hAnsi="Times New Roman"/>
                <w:color w:val="000000"/>
                <w:sz w:val="18"/>
              </w:rPr>
              <w:t>Harvest index (HI)</w:t>
            </w:r>
          </w:p>
        </w:tc>
        <w:tc>
          <w:tcPr>
            <w:tcW w:w="3040" w:type="dxa"/>
            <w:tcBorders/>
            <w:vAlign w:val="center"/>
          </w:tcPr>
          <w:p>
            <w:pPr>
              <w:pStyle w:val="Normal"/>
              <w:spacing w:lineRule="auto" w:line="240" w:before="0" w:after="0"/>
              <w:jc w:val="center"/>
              <w:rPr/>
            </w:pPr>
            <w:r>
              <w:rPr>
                <w:rFonts w:eastAsia="Times New Roman" w:ascii="Times New Roman" w:hAnsi="Times New Roman"/>
                <w:color w:val="000000"/>
                <w:sz w:val="18"/>
              </w:rPr>
              <w:t>0.324 [0.134–0.543]</w:t>
            </w:r>
          </w:p>
        </w:tc>
        <w:tc>
          <w:tcPr>
            <w:tcW w:w="3039" w:type="dxa"/>
            <w:tcBorders/>
            <w:vAlign w:val="center"/>
          </w:tcPr>
          <w:p>
            <w:pPr>
              <w:pStyle w:val="Normal"/>
              <w:spacing w:lineRule="auto" w:line="240" w:before="0" w:after="0"/>
              <w:jc w:val="center"/>
              <w:rPr/>
            </w:pPr>
            <w:r>
              <w:rPr>
                <w:rFonts w:eastAsia="Times New Roman" w:ascii="Times New Roman" w:hAnsi="Times New Roman"/>
                <w:color w:val="000000"/>
                <w:sz w:val="18"/>
              </w:rPr>
              <w:t>0.197 [0.149–0.226]</w:t>
            </w:r>
          </w:p>
        </w:tc>
        <w:tc>
          <w:tcPr>
            <w:tcW w:w="3040" w:type="dxa"/>
            <w:tcBorders/>
            <w:vAlign w:val="center"/>
          </w:tcPr>
          <w:p>
            <w:pPr>
              <w:pStyle w:val="Normal"/>
              <w:spacing w:lineRule="auto" w:line="240" w:before="0" w:after="0"/>
              <w:jc w:val="center"/>
              <w:rPr/>
            </w:pPr>
            <w:r>
              <w:rPr>
                <w:rFonts w:eastAsia="Times New Roman" w:ascii="Times New Roman" w:hAnsi="Times New Roman"/>
                <w:color w:val="000000"/>
                <w:sz w:val="18"/>
              </w:rPr>
              <w:t>0.353 [0.230–0.551]</w:t>
            </w:r>
          </w:p>
        </w:tc>
      </w:tr>
      <w:tr>
        <w:trPr/>
        <w:tc>
          <w:tcPr>
            <w:tcW w:w="3840" w:type="dxa"/>
            <w:tcBorders/>
            <w:vAlign w:val="center"/>
          </w:tcPr>
          <w:p>
            <w:pPr>
              <w:pStyle w:val="Normal"/>
              <w:spacing w:lineRule="auto" w:line="240" w:before="0" w:after="0"/>
              <w:rPr/>
            </w:pPr>
            <w:r>
              <w:rPr>
                <w:rFonts w:eastAsia="Times New Roman" w:ascii="Times New Roman" w:hAnsi="Times New Roman"/>
                <w:color w:val="000000"/>
                <w:sz w:val="18"/>
              </w:rPr>
              <w:t>Vegetative mass of main spike (VMMS)</w:t>
            </w:r>
          </w:p>
        </w:tc>
        <w:tc>
          <w:tcPr>
            <w:tcW w:w="3040" w:type="dxa"/>
            <w:tcBorders/>
            <w:vAlign w:val="center"/>
          </w:tcPr>
          <w:p>
            <w:pPr>
              <w:pStyle w:val="Normal"/>
              <w:spacing w:lineRule="auto" w:line="240" w:before="0" w:after="0"/>
              <w:jc w:val="center"/>
              <w:rPr/>
            </w:pPr>
            <w:r>
              <w:rPr>
                <w:rFonts w:eastAsia="Times New Roman" w:ascii="Times New Roman" w:hAnsi="Times New Roman"/>
                <w:color w:val="000000"/>
                <w:sz w:val="18"/>
              </w:rPr>
              <w:t>0.266 [0.106–0.675]</w:t>
            </w:r>
          </w:p>
        </w:tc>
        <w:tc>
          <w:tcPr>
            <w:tcW w:w="3039" w:type="dxa"/>
            <w:tcBorders/>
            <w:vAlign w:val="center"/>
          </w:tcPr>
          <w:p>
            <w:pPr>
              <w:pStyle w:val="Normal"/>
              <w:spacing w:lineRule="auto" w:line="240" w:before="0" w:after="0"/>
              <w:jc w:val="center"/>
              <w:rPr/>
            </w:pPr>
            <w:r>
              <w:rPr>
                <w:rFonts w:eastAsia="Times New Roman" w:ascii="Times New Roman" w:hAnsi="Times New Roman"/>
                <w:color w:val="000000"/>
                <w:sz w:val="18"/>
              </w:rPr>
              <w:t>0.174 [0.084–0.259]</w:t>
            </w:r>
          </w:p>
        </w:tc>
        <w:tc>
          <w:tcPr>
            <w:tcW w:w="3040" w:type="dxa"/>
            <w:tcBorders/>
            <w:vAlign w:val="center"/>
          </w:tcPr>
          <w:p>
            <w:pPr>
              <w:pStyle w:val="Normal"/>
              <w:spacing w:lineRule="auto" w:line="240" w:before="0" w:after="0"/>
              <w:jc w:val="center"/>
              <w:rPr/>
            </w:pPr>
            <w:r>
              <w:rPr>
                <w:rFonts w:eastAsia="Times New Roman" w:ascii="Times New Roman" w:hAnsi="Times New Roman"/>
                <w:color w:val="000000"/>
                <w:sz w:val="18"/>
              </w:rPr>
              <w:t>0.263 [0.116–0.629]</w:t>
            </w:r>
          </w:p>
        </w:tc>
      </w:tr>
      <w:tr>
        <w:trPr/>
        <w:tc>
          <w:tcPr>
            <w:tcW w:w="3840" w:type="dxa"/>
            <w:tcBorders/>
            <w:vAlign w:val="center"/>
          </w:tcPr>
          <w:p>
            <w:pPr>
              <w:pStyle w:val="Normal"/>
              <w:spacing w:lineRule="auto" w:line="240" w:before="0" w:after="0"/>
              <w:rPr/>
            </w:pPr>
            <w:r>
              <w:rPr>
                <w:rFonts w:eastAsia="Times New Roman" w:ascii="Times New Roman" w:hAnsi="Times New Roman"/>
                <w:color w:val="000000"/>
                <w:sz w:val="18"/>
              </w:rPr>
              <w:t>Straw mass of main spike (SMMS)</w:t>
            </w:r>
          </w:p>
        </w:tc>
        <w:tc>
          <w:tcPr>
            <w:tcW w:w="3040" w:type="dxa"/>
            <w:tcBorders/>
            <w:vAlign w:val="center"/>
          </w:tcPr>
          <w:p>
            <w:pPr>
              <w:pStyle w:val="Normal"/>
              <w:spacing w:lineRule="auto" w:line="240" w:before="0" w:after="0"/>
              <w:jc w:val="center"/>
              <w:rPr/>
            </w:pPr>
            <w:r>
              <w:rPr>
                <w:rFonts w:eastAsia="Times New Roman" w:ascii="Times New Roman" w:hAnsi="Times New Roman"/>
                <w:color w:val="000000"/>
                <w:sz w:val="18"/>
              </w:rPr>
              <w:t>0.486 [0.385–0.592]</w:t>
            </w:r>
          </w:p>
        </w:tc>
        <w:tc>
          <w:tcPr>
            <w:tcW w:w="3039" w:type="dxa"/>
            <w:tcBorders/>
            <w:vAlign w:val="center"/>
          </w:tcPr>
          <w:p>
            <w:pPr>
              <w:pStyle w:val="Normal"/>
              <w:spacing w:lineRule="auto" w:line="240" w:before="0" w:after="0"/>
              <w:jc w:val="center"/>
              <w:rPr/>
            </w:pPr>
            <w:r>
              <w:rPr>
                <w:rFonts w:eastAsia="Times New Roman" w:ascii="Times New Roman" w:hAnsi="Times New Roman"/>
                <w:color w:val="000000"/>
                <w:sz w:val="18"/>
              </w:rPr>
              <w:t>0.214 [0.110–0.287]</w:t>
            </w:r>
          </w:p>
        </w:tc>
        <w:tc>
          <w:tcPr>
            <w:tcW w:w="3040" w:type="dxa"/>
            <w:tcBorders/>
            <w:vAlign w:val="center"/>
          </w:tcPr>
          <w:p>
            <w:pPr>
              <w:pStyle w:val="Normal"/>
              <w:spacing w:lineRule="auto" w:line="240" w:before="0" w:after="0"/>
              <w:jc w:val="center"/>
              <w:rPr/>
            </w:pPr>
            <w:r>
              <w:rPr>
                <w:rFonts w:eastAsia="Times New Roman" w:ascii="Times New Roman" w:hAnsi="Times New Roman"/>
                <w:color w:val="000000"/>
                <w:sz w:val="18"/>
              </w:rPr>
              <w:t>0.484 [0.387–0.616]</w:t>
            </w:r>
          </w:p>
        </w:tc>
      </w:tr>
      <w:tr>
        <w:trPr/>
        <w:tc>
          <w:tcPr>
            <w:tcW w:w="3840" w:type="dxa"/>
            <w:tcBorders/>
            <w:vAlign w:val="center"/>
          </w:tcPr>
          <w:p>
            <w:pPr>
              <w:pStyle w:val="Normal"/>
              <w:spacing w:lineRule="auto" w:line="240" w:before="0" w:after="0"/>
              <w:rPr/>
            </w:pPr>
            <w:r>
              <w:rPr>
                <w:rFonts w:eastAsia="Times New Roman" w:ascii="Times New Roman" w:hAnsi="Times New Roman"/>
                <w:color w:val="000000"/>
                <w:sz w:val="18"/>
              </w:rPr>
              <w:t>Spikelet number (SN)</w:t>
            </w:r>
          </w:p>
        </w:tc>
        <w:tc>
          <w:tcPr>
            <w:tcW w:w="3040" w:type="dxa"/>
            <w:tcBorders/>
            <w:vAlign w:val="center"/>
          </w:tcPr>
          <w:p>
            <w:pPr>
              <w:pStyle w:val="Normal"/>
              <w:spacing w:lineRule="auto" w:line="240" w:before="0" w:after="0"/>
              <w:jc w:val="center"/>
              <w:rPr/>
            </w:pPr>
            <w:r>
              <w:rPr>
                <w:rFonts w:eastAsia="Times New Roman" w:ascii="Times New Roman" w:hAnsi="Times New Roman"/>
                <w:color w:val="000000"/>
                <w:sz w:val="18"/>
              </w:rPr>
              <w:t>0.249 [0.166–0.320]</w:t>
            </w:r>
          </w:p>
        </w:tc>
        <w:tc>
          <w:tcPr>
            <w:tcW w:w="3039" w:type="dxa"/>
            <w:tcBorders/>
            <w:vAlign w:val="center"/>
          </w:tcPr>
          <w:p>
            <w:pPr>
              <w:pStyle w:val="Normal"/>
              <w:spacing w:lineRule="auto" w:line="240" w:before="0" w:after="0"/>
              <w:jc w:val="center"/>
              <w:rPr/>
            </w:pPr>
            <w:r>
              <w:rPr>
                <w:rFonts w:eastAsia="Times New Roman" w:ascii="Times New Roman" w:hAnsi="Times New Roman"/>
                <w:color w:val="000000"/>
                <w:sz w:val="18"/>
              </w:rPr>
              <w:t>0.288 [0.211–0.357]</w:t>
            </w:r>
          </w:p>
        </w:tc>
        <w:tc>
          <w:tcPr>
            <w:tcW w:w="3040" w:type="dxa"/>
            <w:tcBorders/>
            <w:vAlign w:val="center"/>
          </w:tcPr>
          <w:p>
            <w:pPr>
              <w:pStyle w:val="Normal"/>
              <w:spacing w:lineRule="auto" w:line="240" w:before="0" w:after="0"/>
              <w:jc w:val="center"/>
              <w:rPr/>
            </w:pPr>
            <w:r>
              <w:rPr>
                <w:rFonts w:eastAsia="Times New Roman" w:ascii="Times New Roman" w:hAnsi="Times New Roman"/>
                <w:color w:val="000000"/>
                <w:sz w:val="18"/>
              </w:rPr>
              <w:t>0.297 [0.223–0.368]</w:t>
            </w:r>
          </w:p>
        </w:tc>
      </w:tr>
      <w:tr>
        <w:trPr/>
        <w:tc>
          <w:tcPr>
            <w:tcW w:w="3840" w:type="dxa"/>
            <w:tcBorders/>
            <w:vAlign w:val="center"/>
          </w:tcPr>
          <w:p>
            <w:pPr>
              <w:pStyle w:val="Normal"/>
              <w:spacing w:lineRule="auto" w:line="240" w:before="0" w:after="0"/>
              <w:rPr/>
            </w:pPr>
            <w:r>
              <w:rPr>
                <w:rFonts w:eastAsia="Times New Roman" w:ascii="Times New Roman" w:hAnsi="Times New Roman"/>
                <w:color w:val="000000"/>
                <w:sz w:val="18"/>
              </w:rPr>
              <w:t>Days to heading (DH) (3 env.)</w:t>
            </w:r>
          </w:p>
        </w:tc>
        <w:tc>
          <w:tcPr>
            <w:tcW w:w="3040" w:type="dxa"/>
            <w:tcBorders/>
            <w:vAlign w:val="center"/>
          </w:tcPr>
          <w:p>
            <w:pPr>
              <w:pStyle w:val="Normal"/>
              <w:spacing w:lineRule="auto" w:line="240" w:before="0" w:after="0"/>
              <w:jc w:val="center"/>
              <w:rPr/>
            </w:pPr>
            <w:r>
              <w:rPr>
                <w:rFonts w:eastAsia="Times New Roman" w:ascii="Times New Roman" w:hAnsi="Times New Roman"/>
                <w:color w:val="000000"/>
                <w:sz w:val="18"/>
              </w:rPr>
              <w:t>0.885 [0.826–0.948]</w:t>
            </w:r>
          </w:p>
        </w:tc>
        <w:tc>
          <w:tcPr>
            <w:tcW w:w="3039" w:type="dxa"/>
            <w:tcBorders/>
            <w:vAlign w:val="center"/>
          </w:tcPr>
          <w:p>
            <w:pPr>
              <w:pStyle w:val="Normal"/>
              <w:spacing w:lineRule="auto" w:line="240" w:before="0" w:after="0"/>
              <w:jc w:val="center"/>
              <w:rPr/>
            </w:pPr>
            <w:r>
              <w:rPr>
                <w:rFonts w:eastAsia="Times New Roman" w:ascii="Times New Roman" w:hAnsi="Times New Roman"/>
                <w:color w:val="000000"/>
                <w:sz w:val="18"/>
              </w:rPr>
              <w:t>0.812 [0.699–0.916]</w:t>
            </w:r>
          </w:p>
        </w:tc>
        <w:tc>
          <w:tcPr>
            <w:tcW w:w="3040" w:type="dxa"/>
            <w:tcBorders/>
            <w:vAlign w:val="center"/>
          </w:tcPr>
          <w:p>
            <w:pPr>
              <w:pStyle w:val="Normal"/>
              <w:spacing w:lineRule="auto" w:line="240" w:before="0" w:after="0"/>
              <w:jc w:val="center"/>
              <w:rPr/>
            </w:pPr>
            <w:r>
              <w:rPr>
                <w:rFonts w:eastAsia="Times New Roman" w:ascii="Times New Roman" w:hAnsi="Times New Roman"/>
                <w:color w:val="000000"/>
                <w:sz w:val="18"/>
              </w:rPr>
              <w:t>0.911 [0.852–0.965]</w:t>
            </w:r>
          </w:p>
        </w:tc>
      </w:tr>
      <w:tr>
        <w:trPr/>
        <w:tc>
          <w:tcPr>
            <w:tcW w:w="3840" w:type="dxa"/>
            <w:tcBorders/>
            <w:vAlign w:val="center"/>
          </w:tcPr>
          <w:p>
            <w:pPr>
              <w:pStyle w:val="Normal"/>
              <w:spacing w:lineRule="auto" w:line="240" w:before="0" w:after="0"/>
              <w:rPr/>
            </w:pPr>
            <w:r>
              <w:rPr>
                <w:rFonts w:eastAsia="Times New Roman" w:ascii="Times New Roman" w:hAnsi="Times New Roman"/>
                <w:color w:val="000000"/>
                <w:sz w:val="18"/>
              </w:rPr>
              <w:t>Days to flowering (DF) (2 env.)</w:t>
            </w:r>
          </w:p>
        </w:tc>
        <w:tc>
          <w:tcPr>
            <w:tcW w:w="3040" w:type="dxa"/>
            <w:tcBorders/>
            <w:vAlign w:val="center"/>
          </w:tcPr>
          <w:p>
            <w:pPr>
              <w:pStyle w:val="Normal"/>
              <w:spacing w:lineRule="auto" w:line="240" w:before="0" w:after="0"/>
              <w:jc w:val="center"/>
              <w:rPr/>
            </w:pPr>
            <w:r>
              <w:rPr>
                <w:rFonts w:eastAsia="Times New Roman" w:ascii="Times New Roman" w:hAnsi="Times New Roman"/>
                <w:color w:val="000000"/>
                <w:sz w:val="18"/>
              </w:rPr>
              <w:t>0.805 [0.715–0.958]</w:t>
            </w:r>
          </w:p>
        </w:tc>
        <w:tc>
          <w:tcPr>
            <w:tcW w:w="3039" w:type="dxa"/>
            <w:tcBorders/>
            <w:vAlign w:val="center"/>
          </w:tcPr>
          <w:p>
            <w:pPr>
              <w:pStyle w:val="Normal"/>
              <w:spacing w:lineRule="auto" w:line="240" w:before="0" w:after="0"/>
              <w:jc w:val="center"/>
              <w:rPr/>
            </w:pPr>
            <w:r>
              <w:rPr>
                <w:rFonts w:eastAsia="Times New Roman" w:ascii="Times New Roman" w:hAnsi="Times New Roman"/>
                <w:color w:val="000000"/>
                <w:sz w:val="18"/>
              </w:rPr>
              <w:t>0.753 [0.596–0.892]</w:t>
            </w:r>
          </w:p>
        </w:tc>
        <w:tc>
          <w:tcPr>
            <w:tcW w:w="3040" w:type="dxa"/>
            <w:tcBorders/>
            <w:vAlign w:val="center"/>
          </w:tcPr>
          <w:p>
            <w:pPr>
              <w:pStyle w:val="Normal"/>
              <w:spacing w:lineRule="auto" w:line="240" w:before="0" w:after="0"/>
              <w:jc w:val="center"/>
              <w:rPr/>
            </w:pPr>
            <w:r>
              <w:rPr>
                <w:rFonts w:eastAsia="Times New Roman" w:ascii="Times New Roman" w:hAnsi="Times New Roman"/>
                <w:color w:val="000000"/>
                <w:sz w:val="18"/>
              </w:rPr>
              <w:t>0.910 [0.828–0.978]</w:t>
            </w:r>
          </w:p>
        </w:tc>
      </w:tr>
      <w:tr>
        <w:trPr/>
        <w:tc>
          <w:tcPr>
            <w:tcW w:w="3840" w:type="dxa"/>
            <w:tcBorders>
              <w:bottom w:val="single" w:sz="12" w:space="0" w:color="000000"/>
            </w:tcBorders>
            <w:vAlign w:val="center"/>
          </w:tcPr>
          <w:p>
            <w:pPr>
              <w:pStyle w:val="Normal"/>
              <w:spacing w:lineRule="auto" w:line="240" w:before="0" w:after="0"/>
              <w:rPr/>
            </w:pPr>
            <w:r>
              <w:rPr>
                <w:rFonts w:eastAsia="Times New Roman" w:ascii="Times New Roman" w:hAnsi="Times New Roman"/>
                <w:color w:val="000000"/>
                <w:sz w:val="18"/>
              </w:rPr>
              <w:t>Internode number (IN)</w:t>
            </w:r>
          </w:p>
        </w:tc>
        <w:tc>
          <w:tcPr>
            <w:tcW w:w="3040"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color w:val="000000"/>
                <w:sz w:val="18"/>
              </w:rPr>
              <w:t>0.263 [0.219–0.307]</w:t>
            </w:r>
          </w:p>
        </w:tc>
        <w:tc>
          <w:tcPr>
            <w:tcW w:w="3039"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color w:val="000000"/>
                <w:sz w:val="18"/>
              </w:rPr>
              <w:t>0.171 [0.137–0.205]</w:t>
            </w:r>
          </w:p>
        </w:tc>
        <w:tc>
          <w:tcPr>
            <w:tcW w:w="3040"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color w:val="000000"/>
                <w:sz w:val="18"/>
              </w:rPr>
              <w:t>0.268 [0.227–0.309]</w:t>
            </w:r>
          </w:p>
        </w:tc>
      </w:tr>
    </w:tbl>
    <w:p>
      <w:pPr>
        <w:sectPr>
          <w:type w:val="nextPage"/>
          <w:pgSz w:orient="landscape" w:w="15840" w:h="12240"/>
          <w:pgMar w:left="792" w:right="792" w:gutter="0" w:header="0" w:top="792" w:footer="0" w:bottom="792"/>
          <w:pgNumType w:fmt="decimal"/>
          <w:formProt w:val="false"/>
          <w:textDirection w:val="lrTb"/>
          <w:docGrid w:type="default" w:linePitch="360" w:charSpace="0"/>
        </w:sectPr>
      </w:pPr>
    </w:p>
    <w:p>
      <w:pPr>
        <w:pStyle w:val="Heading1"/>
        <w:rPr/>
      </w:pPr>
      <w:r>
        <w:rPr>
          <w:rFonts w:eastAsia="Arial" w:ascii="Arial" w:hAnsi="Arial"/>
          <w:b/>
          <w:color w:val="000000"/>
          <w:sz w:val="26"/>
        </w:rPr>
        <w:t>Table S9. GGE biplot coordinates for GWS</w:t>
      </w:r>
    </w:p>
    <w:p>
      <w:pPr>
        <w:pStyle w:val="Normal"/>
        <w:spacing w:lineRule="auto" w:line="252" w:before="0" w:after="80"/>
        <w:rPr/>
      </w:pPr>
      <w:r>
        <w:rPr>
          <w:rFonts w:eastAsia="Arial"/>
          <w:i w:val="false"/>
          <w:color w:val="000000"/>
          <w:sz w:val="19"/>
        </w:rPr>
        <w:t>GGE biplot coordinates (PC1 and PC2) for the four Rht-B1 × Ppd-D1 allele combinations and five location–year environments for grain weight per main spike (GWS). PC1 and PC2 explained 82.8% and 17.0% of the environment-centred variation, respectively.</w:t>
      </w:r>
    </w:p>
    <w:p>
      <w:pPr>
        <w:pStyle w:val="Normal"/>
        <w:spacing w:lineRule="auto" w:line="252" w:before="0" w:after="80"/>
        <w:rPr/>
      </w:pPr>
      <w:r>
        <w:rPr>
          <w:rFonts w:eastAsia="Arial"/>
          <w:i w:val="false"/>
          <w:color w:val="000000"/>
          <w:sz w:val="19"/>
        </w:rPr>
        <w:t>Allele-combination labels A–D match Figure 3. Phenotype descriptors: A — tall, photoperiod-insensitive; B — tall, photoperiod-sensitive; C — semi-dwarfing, photoperiod-insensitive; D — semi-dwarfing, photoperiod-sensitive.</w:t>
      </w:r>
    </w:p>
    <w:tbl>
      <w:tblPr>
        <w:tblW w:w="9936" w:type="dxa"/>
        <w:jc w:val="left"/>
        <w:tblInd w:w="132" w:type="dxa"/>
        <w:tblLayout w:type="fixed"/>
        <w:tblCellMar>
          <w:top w:w="80" w:type="dxa"/>
          <w:left w:w="120" w:type="dxa"/>
          <w:bottom w:w="80" w:type="dxa"/>
          <w:right w:w="120" w:type="dxa"/>
        </w:tblCellMar>
        <w:tblLook w:val="04a0" w:noHBand="0" w:noVBand="1" w:firstColumn="1" w:lastRow="0" w:lastColumn="0" w:firstRow="1"/>
      </w:tblPr>
      <w:tblGrid>
        <w:gridCol w:w="2397"/>
        <w:gridCol w:w="2057"/>
        <w:gridCol w:w="2056"/>
        <w:gridCol w:w="3425"/>
      </w:tblGrid>
      <w:tr>
        <w:trPr>
          <w:tblHeader w:val="true"/>
        </w:trPr>
        <w:tc>
          <w:tcPr>
            <w:tcW w:w="2397"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8"/>
              </w:rPr>
              <w:t>Allele combination</w:t>
            </w:r>
          </w:p>
        </w:tc>
        <w:tc>
          <w:tcPr>
            <w:tcW w:w="2057"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8"/>
              </w:rPr>
              <w:t>PC1</w:t>
            </w:r>
          </w:p>
        </w:tc>
        <w:tc>
          <w:tcPr>
            <w:tcW w:w="2056"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8"/>
              </w:rPr>
              <w:t>PC2</w:t>
            </w:r>
          </w:p>
        </w:tc>
        <w:tc>
          <w:tcPr>
            <w:tcW w:w="3425"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8"/>
              </w:rPr>
              <w:t>GWS in Moscow 2022 (g)</w:t>
            </w:r>
          </w:p>
        </w:tc>
      </w:tr>
      <w:tr>
        <w:trPr/>
        <w:tc>
          <w:tcPr>
            <w:tcW w:w="2397" w:type="dxa"/>
            <w:tcBorders/>
            <w:vAlign w:val="center"/>
          </w:tcPr>
          <w:p>
            <w:pPr>
              <w:pStyle w:val="Normal"/>
              <w:spacing w:lineRule="auto" w:line="240" w:before="0" w:after="0"/>
              <w:rPr/>
            </w:pPr>
            <w:r>
              <w:rPr>
                <w:rFonts w:eastAsia="Times New Roman" w:ascii="Times New Roman" w:hAnsi="Times New Roman"/>
                <w:color w:val="000000"/>
                <w:sz w:val="18"/>
              </w:rPr>
              <w:t xml:space="preserve">A — </w:t>
            </w:r>
            <w:r>
              <w:rPr>
                <w:rFonts w:eastAsia="Times New Roman" w:ascii="Times New Roman" w:hAnsi="Times New Roman"/>
                <w:i/>
                <w:color w:val="000000"/>
                <w:sz w:val="18"/>
              </w:rPr>
              <w:t>Rht-B1a</w:t>
            </w:r>
            <w:r>
              <w:rPr>
                <w:rFonts w:eastAsia="Times New Roman" w:ascii="Times New Roman" w:hAnsi="Times New Roman"/>
                <w:color w:val="000000"/>
                <w:sz w:val="18"/>
              </w:rPr>
              <w:t>/</w:t>
            </w:r>
            <w:r>
              <w:rPr>
                <w:rFonts w:eastAsia="Times New Roman" w:ascii="Times New Roman" w:hAnsi="Times New Roman"/>
                <w:i/>
                <w:color w:val="000000"/>
                <w:sz w:val="18"/>
              </w:rPr>
              <w:t>Ppd-D1a</w:t>
            </w:r>
          </w:p>
          <w:p>
            <w:pPr>
              <w:pStyle w:val="Normal"/>
              <w:spacing w:lineRule="auto" w:line="240" w:before="0" w:after="0"/>
              <w:rPr/>
            </w:pPr>
            <w:r>
              <w:rPr>
                <w:rFonts w:eastAsia="Times New Roman" w:ascii="Times New Roman" w:hAnsi="Times New Roman"/>
                <w:color w:val="000000"/>
                <w:sz w:val="18"/>
              </w:rPr>
              <w:t>tall, photoperiod-insensitive</w:t>
            </w:r>
          </w:p>
        </w:tc>
        <w:tc>
          <w:tcPr>
            <w:tcW w:w="2057" w:type="dxa"/>
            <w:tcBorders/>
            <w:vAlign w:val="center"/>
          </w:tcPr>
          <w:p>
            <w:pPr>
              <w:pStyle w:val="Normal"/>
              <w:spacing w:lineRule="auto" w:line="240" w:before="0" w:after="0"/>
              <w:jc w:val="center"/>
              <w:rPr/>
            </w:pPr>
            <w:r>
              <w:rPr>
                <w:rFonts w:eastAsia="Times New Roman" w:ascii="Times New Roman" w:hAnsi="Times New Roman"/>
                <w:color w:val="000000"/>
                <w:sz w:val="18"/>
              </w:rPr>
              <w:t>0.174</w:t>
            </w:r>
          </w:p>
        </w:tc>
        <w:tc>
          <w:tcPr>
            <w:tcW w:w="2056" w:type="dxa"/>
            <w:tcBorders/>
            <w:vAlign w:val="center"/>
          </w:tcPr>
          <w:p>
            <w:pPr>
              <w:pStyle w:val="Normal"/>
              <w:spacing w:lineRule="auto" w:line="240" w:before="0" w:after="0"/>
              <w:jc w:val="center"/>
              <w:rPr/>
            </w:pPr>
            <w:r>
              <w:rPr>
                <w:rFonts w:eastAsia="Times New Roman" w:ascii="Times New Roman" w:hAnsi="Times New Roman"/>
                <w:color w:val="000000"/>
                <w:sz w:val="18"/>
              </w:rPr>
              <w:t>0.087</w:t>
            </w:r>
          </w:p>
        </w:tc>
        <w:tc>
          <w:tcPr>
            <w:tcW w:w="3425" w:type="dxa"/>
            <w:tcBorders/>
            <w:vAlign w:val="center"/>
          </w:tcPr>
          <w:p>
            <w:pPr>
              <w:pStyle w:val="Normal"/>
              <w:spacing w:lineRule="auto" w:line="240" w:before="0" w:after="0"/>
              <w:jc w:val="center"/>
              <w:rPr/>
            </w:pPr>
            <w:r>
              <w:rPr>
                <w:rFonts w:eastAsia="Times New Roman" w:ascii="Times New Roman" w:hAnsi="Times New Roman"/>
                <w:color w:val="000000"/>
                <w:sz w:val="18"/>
              </w:rPr>
              <w:t>1.40</w:t>
            </w:r>
          </w:p>
        </w:tc>
      </w:tr>
      <w:tr>
        <w:trPr/>
        <w:tc>
          <w:tcPr>
            <w:tcW w:w="2397" w:type="dxa"/>
            <w:tcBorders/>
            <w:vAlign w:val="center"/>
          </w:tcPr>
          <w:p>
            <w:pPr>
              <w:pStyle w:val="Normal"/>
              <w:spacing w:lineRule="auto" w:line="240" w:before="0" w:after="0"/>
              <w:rPr/>
            </w:pPr>
            <w:r>
              <w:rPr>
                <w:rFonts w:eastAsia="Times New Roman" w:ascii="Times New Roman" w:hAnsi="Times New Roman"/>
                <w:color w:val="000000"/>
                <w:sz w:val="18"/>
              </w:rPr>
              <w:t xml:space="preserve">B — </w:t>
            </w:r>
            <w:r>
              <w:rPr>
                <w:rFonts w:eastAsia="Times New Roman" w:ascii="Times New Roman" w:hAnsi="Times New Roman"/>
                <w:i/>
                <w:color w:val="000000"/>
                <w:sz w:val="18"/>
              </w:rPr>
              <w:t>Rht-B1a</w:t>
            </w:r>
            <w:r>
              <w:rPr>
                <w:rFonts w:eastAsia="Times New Roman" w:ascii="Times New Roman" w:hAnsi="Times New Roman"/>
                <w:color w:val="000000"/>
                <w:sz w:val="18"/>
              </w:rPr>
              <w:t>/</w:t>
            </w:r>
            <w:r>
              <w:rPr>
                <w:rFonts w:eastAsia="Times New Roman" w:ascii="Times New Roman" w:hAnsi="Times New Roman"/>
                <w:i/>
                <w:color w:val="000000"/>
                <w:sz w:val="18"/>
              </w:rPr>
              <w:t>Ppd-D1b</w:t>
            </w:r>
          </w:p>
          <w:p>
            <w:pPr>
              <w:pStyle w:val="Normal"/>
              <w:spacing w:lineRule="auto" w:line="240" w:before="0" w:after="0"/>
              <w:rPr/>
            </w:pPr>
            <w:r>
              <w:rPr>
                <w:rFonts w:eastAsia="Times New Roman" w:ascii="Times New Roman" w:hAnsi="Times New Roman"/>
                <w:color w:val="000000"/>
                <w:sz w:val="18"/>
              </w:rPr>
              <w:t>tall, photoperiod-sensitive</w:t>
            </w:r>
          </w:p>
        </w:tc>
        <w:tc>
          <w:tcPr>
            <w:tcW w:w="2057" w:type="dxa"/>
            <w:tcBorders/>
            <w:vAlign w:val="center"/>
          </w:tcPr>
          <w:p>
            <w:pPr>
              <w:pStyle w:val="Normal"/>
              <w:spacing w:lineRule="auto" w:line="240" w:before="0" w:after="0"/>
              <w:jc w:val="center"/>
              <w:rPr/>
            </w:pPr>
            <w:r>
              <w:rPr>
                <w:rFonts w:eastAsia="Times New Roman" w:ascii="Times New Roman" w:hAnsi="Times New Roman"/>
                <w:color w:val="000000"/>
                <w:sz w:val="18"/>
              </w:rPr>
              <w:t>0.175</w:t>
            </w:r>
          </w:p>
        </w:tc>
        <w:tc>
          <w:tcPr>
            <w:tcW w:w="2056" w:type="dxa"/>
            <w:tcBorders/>
            <w:vAlign w:val="center"/>
          </w:tcPr>
          <w:p>
            <w:pPr>
              <w:pStyle w:val="Normal"/>
              <w:spacing w:lineRule="auto" w:line="240" w:before="0" w:after="0"/>
              <w:jc w:val="center"/>
              <w:rPr/>
            </w:pPr>
            <w:r>
              <w:rPr>
                <w:rFonts w:eastAsia="Times New Roman" w:ascii="Times New Roman" w:hAnsi="Times New Roman"/>
                <w:color w:val="000000"/>
                <w:sz w:val="18"/>
              </w:rPr>
              <w:t>-0.071</w:t>
            </w:r>
          </w:p>
        </w:tc>
        <w:tc>
          <w:tcPr>
            <w:tcW w:w="3425" w:type="dxa"/>
            <w:tcBorders/>
            <w:vAlign w:val="center"/>
          </w:tcPr>
          <w:p>
            <w:pPr>
              <w:pStyle w:val="Normal"/>
              <w:spacing w:lineRule="auto" w:line="240" w:before="0" w:after="0"/>
              <w:jc w:val="center"/>
              <w:rPr/>
            </w:pPr>
            <w:r>
              <w:rPr>
                <w:rFonts w:eastAsia="Times New Roman" w:ascii="Times New Roman" w:hAnsi="Times New Roman"/>
                <w:color w:val="000000"/>
                <w:sz w:val="18"/>
              </w:rPr>
              <w:t>1.51</w:t>
            </w:r>
          </w:p>
        </w:tc>
      </w:tr>
      <w:tr>
        <w:trPr/>
        <w:tc>
          <w:tcPr>
            <w:tcW w:w="2397" w:type="dxa"/>
            <w:tcBorders/>
            <w:vAlign w:val="center"/>
          </w:tcPr>
          <w:p>
            <w:pPr>
              <w:pStyle w:val="Normal"/>
              <w:spacing w:lineRule="auto" w:line="240" w:before="0" w:after="0"/>
              <w:rPr/>
            </w:pPr>
            <w:r>
              <w:rPr>
                <w:rFonts w:eastAsia="Times New Roman" w:ascii="Times New Roman" w:hAnsi="Times New Roman"/>
                <w:color w:val="000000"/>
                <w:sz w:val="18"/>
              </w:rPr>
              <w:t xml:space="preserve">C — </w:t>
            </w:r>
            <w:r>
              <w:rPr>
                <w:rFonts w:eastAsia="Times New Roman" w:ascii="Times New Roman" w:hAnsi="Times New Roman"/>
                <w:i/>
                <w:color w:val="000000"/>
                <w:sz w:val="18"/>
              </w:rPr>
              <w:t>Rht-B1p</w:t>
            </w:r>
            <w:r>
              <w:rPr>
                <w:rFonts w:eastAsia="Times New Roman" w:ascii="Times New Roman" w:hAnsi="Times New Roman"/>
                <w:color w:val="000000"/>
                <w:sz w:val="18"/>
              </w:rPr>
              <w:t>/</w:t>
            </w:r>
            <w:r>
              <w:rPr>
                <w:rFonts w:eastAsia="Times New Roman" w:ascii="Times New Roman" w:hAnsi="Times New Roman"/>
                <w:i/>
                <w:color w:val="000000"/>
                <w:sz w:val="18"/>
              </w:rPr>
              <w:t>Ppd-D1a</w:t>
            </w:r>
          </w:p>
          <w:p>
            <w:pPr>
              <w:pStyle w:val="Normal"/>
              <w:spacing w:lineRule="auto" w:line="240" w:before="0" w:after="0"/>
              <w:rPr/>
            </w:pPr>
            <w:r>
              <w:rPr>
                <w:rFonts w:eastAsia="Times New Roman" w:ascii="Times New Roman" w:hAnsi="Times New Roman"/>
                <w:color w:val="000000"/>
                <w:sz w:val="18"/>
              </w:rPr>
              <w:t>semi-dwarfing, photoperiod-insensitive</w:t>
            </w:r>
          </w:p>
        </w:tc>
        <w:tc>
          <w:tcPr>
            <w:tcW w:w="2057" w:type="dxa"/>
            <w:tcBorders/>
            <w:vAlign w:val="center"/>
          </w:tcPr>
          <w:p>
            <w:pPr>
              <w:pStyle w:val="Normal"/>
              <w:spacing w:lineRule="auto" w:line="240" w:before="0" w:after="0"/>
              <w:jc w:val="center"/>
              <w:rPr/>
            </w:pPr>
            <w:r>
              <w:rPr>
                <w:rFonts w:eastAsia="Times New Roman" w:ascii="Times New Roman" w:hAnsi="Times New Roman"/>
                <w:color w:val="000000"/>
                <w:sz w:val="18"/>
              </w:rPr>
              <w:t>-0.210</w:t>
            </w:r>
          </w:p>
        </w:tc>
        <w:tc>
          <w:tcPr>
            <w:tcW w:w="2056" w:type="dxa"/>
            <w:tcBorders/>
            <w:vAlign w:val="center"/>
          </w:tcPr>
          <w:p>
            <w:pPr>
              <w:pStyle w:val="Normal"/>
              <w:spacing w:lineRule="auto" w:line="240" w:before="0" w:after="0"/>
              <w:jc w:val="center"/>
              <w:rPr/>
            </w:pPr>
            <w:r>
              <w:rPr>
                <w:rFonts w:eastAsia="Times New Roman" w:ascii="Times New Roman" w:hAnsi="Times New Roman"/>
                <w:color w:val="000000"/>
                <w:sz w:val="18"/>
              </w:rPr>
              <w:t>0.072</w:t>
            </w:r>
          </w:p>
        </w:tc>
        <w:tc>
          <w:tcPr>
            <w:tcW w:w="3425" w:type="dxa"/>
            <w:tcBorders/>
            <w:vAlign w:val="center"/>
          </w:tcPr>
          <w:p>
            <w:pPr>
              <w:pStyle w:val="Normal"/>
              <w:spacing w:lineRule="auto" w:line="240" w:before="0" w:after="0"/>
              <w:jc w:val="center"/>
              <w:rPr/>
            </w:pPr>
            <w:r>
              <w:rPr>
                <w:rFonts w:eastAsia="Times New Roman" w:ascii="Times New Roman" w:hAnsi="Times New Roman"/>
                <w:color w:val="000000"/>
                <w:sz w:val="18"/>
              </w:rPr>
              <w:t>1.36</w:t>
            </w:r>
          </w:p>
        </w:tc>
      </w:tr>
      <w:tr>
        <w:trPr/>
        <w:tc>
          <w:tcPr>
            <w:tcW w:w="2397" w:type="dxa"/>
            <w:tcBorders>
              <w:bottom w:val="single" w:sz="12" w:space="0" w:color="000000"/>
            </w:tcBorders>
            <w:vAlign w:val="center"/>
          </w:tcPr>
          <w:p>
            <w:pPr>
              <w:pStyle w:val="Normal"/>
              <w:spacing w:lineRule="auto" w:line="240" w:before="0" w:after="0"/>
              <w:rPr/>
            </w:pPr>
            <w:r>
              <w:rPr>
                <w:rFonts w:eastAsia="Times New Roman" w:ascii="Times New Roman" w:hAnsi="Times New Roman"/>
                <w:color w:val="000000"/>
                <w:sz w:val="18"/>
              </w:rPr>
              <w:t xml:space="preserve">D — </w:t>
            </w:r>
            <w:r>
              <w:rPr>
                <w:rFonts w:eastAsia="Times New Roman" w:ascii="Times New Roman" w:hAnsi="Times New Roman"/>
                <w:i/>
                <w:color w:val="000000"/>
                <w:sz w:val="18"/>
              </w:rPr>
              <w:t>Rht-B1p</w:t>
            </w:r>
            <w:r>
              <w:rPr>
                <w:rFonts w:eastAsia="Times New Roman" w:ascii="Times New Roman" w:hAnsi="Times New Roman"/>
                <w:color w:val="000000"/>
                <w:sz w:val="18"/>
              </w:rPr>
              <w:t>/</w:t>
            </w:r>
            <w:r>
              <w:rPr>
                <w:rFonts w:eastAsia="Times New Roman" w:ascii="Times New Roman" w:hAnsi="Times New Roman"/>
                <w:i/>
                <w:color w:val="000000"/>
                <w:sz w:val="18"/>
              </w:rPr>
              <w:t>Ppd-D1b</w:t>
            </w:r>
          </w:p>
          <w:p>
            <w:pPr>
              <w:pStyle w:val="Normal"/>
              <w:spacing w:lineRule="auto" w:line="240" w:before="0" w:after="0"/>
              <w:rPr/>
            </w:pPr>
            <w:r>
              <w:rPr>
                <w:rFonts w:eastAsia="Times New Roman" w:ascii="Times New Roman" w:hAnsi="Times New Roman"/>
                <w:color w:val="000000"/>
                <w:sz w:val="18"/>
              </w:rPr>
              <w:t>semi-dwarfing, photoperiod-sensitive</w:t>
            </w:r>
          </w:p>
        </w:tc>
        <w:tc>
          <w:tcPr>
            <w:tcW w:w="2057"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color w:val="000000"/>
                <w:sz w:val="18"/>
              </w:rPr>
              <w:t>-0.140</w:t>
            </w:r>
          </w:p>
        </w:tc>
        <w:tc>
          <w:tcPr>
            <w:tcW w:w="2056"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color w:val="000000"/>
                <w:sz w:val="18"/>
              </w:rPr>
              <w:t>-0.088</w:t>
            </w:r>
          </w:p>
        </w:tc>
        <w:tc>
          <w:tcPr>
            <w:tcW w:w="3425"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color w:val="000000"/>
                <w:sz w:val="18"/>
              </w:rPr>
              <w:t>1.49</w:t>
            </w:r>
          </w:p>
        </w:tc>
      </w:tr>
    </w:tbl>
    <w:p>
      <w:pPr>
        <w:pStyle w:val="Heading2"/>
        <w:rPr/>
      </w:pPr>
      <w:r>
        <w:rPr>
          <w:rFonts w:eastAsia="Arial" w:ascii="Arial" w:hAnsi="Arial"/>
          <w:b/>
          <w:color w:val="000000"/>
          <w:sz w:val="20"/>
        </w:rPr>
        <w:t>Environment coordinates</w:t>
      </w:r>
    </w:p>
    <w:tbl>
      <w:tblPr>
        <w:tblW w:w="9936" w:type="dxa"/>
        <w:jc w:val="left"/>
        <w:tblInd w:w="132" w:type="dxa"/>
        <w:tblLayout w:type="fixed"/>
        <w:tblCellMar>
          <w:top w:w="80" w:type="dxa"/>
          <w:left w:w="120" w:type="dxa"/>
          <w:bottom w:w="80" w:type="dxa"/>
          <w:right w:w="120" w:type="dxa"/>
        </w:tblCellMar>
        <w:tblLook w:val="04a0" w:noHBand="0" w:noVBand="1" w:firstColumn="1" w:lastRow="0" w:lastColumn="0" w:firstRow="1"/>
      </w:tblPr>
      <w:tblGrid>
        <w:gridCol w:w="3312"/>
        <w:gridCol w:w="3312"/>
        <w:gridCol w:w="3312"/>
      </w:tblGrid>
      <w:tr>
        <w:trPr>
          <w:tblHeader w:val="true"/>
        </w:trPr>
        <w:tc>
          <w:tcPr>
            <w:tcW w:w="3312"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8"/>
              </w:rPr>
              <w:t>Environment</w:t>
            </w:r>
          </w:p>
        </w:tc>
        <w:tc>
          <w:tcPr>
            <w:tcW w:w="3312"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8"/>
              </w:rPr>
              <w:t>PC1</w:t>
            </w:r>
          </w:p>
        </w:tc>
        <w:tc>
          <w:tcPr>
            <w:tcW w:w="3312"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8"/>
              </w:rPr>
              <w:t>PC2</w:t>
            </w:r>
          </w:p>
        </w:tc>
      </w:tr>
      <w:tr>
        <w:trPr/>
        <w:tc>
          <w:tcPr>
            <w:tcW w:w="3312" w:type="dxa"/>
            <w:tcBorders/>
            <w:vAlign w:val="center"/>
          </w:tcPr>
          <w:p>
            <w:pPr>
              <w:pStyle w:val="Normal"/>
              <w:spacing w:lineRule="auto" w:line="240" w:before="0" w:after="0"/>
              <w:jc w:val="center"/>
              <w:rPr/>
            </w:pPr>
            <w:r>
              <w:rPr>
                <w:rFonts w:eastAsia="Times New Roman" w:ascii="Times New Roman" w:hAnsi="Times New Roman"/>
                <w:color w:val="000000"/>
                <w:sz w:val="18"/>
              </w:rPr>
              <w:t>K_2018</w:t>
            </w:r>
          </w:p>
        </w:tc>
        <w:tc>
          <w:tcPr>
            <w:tcW w:w="3312" w:type="dxa"/>
            <w:tcBorders/>
            <w:vAlign w:val="center"/>
          </w:tcPr>
          <w:p>
            <w:pPr>
              <w:pStyle w:val="Normal"/>
              <w:spacing w:lineRule="auto" w:line="240" w:before="0" w:after="0"/>
              <w:jc w:val="center"/>
              <w:rPr/>
            </w:pPr>
            <w:r>
              <w:rPr>
                <w:rFonts w:eastAsia="Times New Roman" w:ascii="Times New Roman" w:hAnsi="Times New Roman"/>
                <w:color w:val="000000"/>
                <w:sz w:val="18"/>
              </w:rPr>
              <w:t>0.255</w:t>
            </w:r>
          </w:p>
        </w:tc>
        <w:tc>
          <w:tcPr>
            <w:tcW w:w="3312" w:type="dxa"/>
            <w:tcBorders/>
            <w:vAlign w:val="center"/>
          </w:tcPr>
          <w:p>
            <w:pPr>
              <w:pStyle w:val="Normal"/>
              <w:spacing w:lineRule="auto" w:line="240" w:before="0" w:after="0"/>
              <w:jc w:val="center"/>
              <w:rPr/>
            </w:pPr>
            <w:r>
              <w:rPr>
                <w:rFonts w:eastAsia="Times New Roman" w:ascii="Times New Roman" w:hAnsi="Times New Roman"/>
                <w:color w:val="000000"/>
                <w:sz w:val="18"/>
              </w:rPr>
              <w:t>0.347</w:t>
            </w:r>
          </w:p>
        </w:tc>
      </w:tr>
      <w:tr>
        <w:trPr/>
        <w:tc>
          <w:tcPr>
            <w:tcW w:w="3312" w:type="dxa"/>
            <w:tcBorders/>
            <w:vAlign w:val="center"/>
          </w:tcPr>
          <w:p>
            <w:pPr>
              <w:pStyle w:val="Normal"/>
              <w:spacing w:lineRule="auto" w:line="240" w:before="0" w:after="0"/>
              <w:jc w:val="center"/>
              <w:rPr/>
            </w:pPr>
            <w:r>
              <w:rPr>
                <w:rFonts w:eastAsia="Times New Roman" w:ascii="Times New Roman" w:hAnsi="Times New Roman"/>
                <w:color w:val="000000"/>
                <w:sz w:val="18"/>
              </w:rPr>
              <w:t>K_2019</w:t>
            </w:r>
          </w:p>
        </w:tc>
        <w:tc>
          <w:tcPr>
            <w:tcW w:w="3312" w:type="dxa"/>
            <w:tcBorders/>
            <w:vAlign w:val="center"/>
          </w:tcPr>
          <w:p>
            <w:pPr>
              <w:pStyle w:val="Normal"/>
              <w:spacing w:lineRule="auto" w:line="240" w:before="0" w:after="0"/>
              <w:jc w:val="center"/>
              <w:rPr/>
            </w:pPr>
            <w:r>
              <w:rPr>
                <w:rFonts w:eastAsia="Times New Roman" w:ascii="Times New Roman" w:hAnsi="Times New Roman"/>
                <w:color w:val="000000"/>
                <w:sz w:val="18"/>
              </w:rPr>
              <w:t>0.790</w:t>
            </w:r>
          </w:p>
        </w:tc>
        <w:tc>
          <w:tcPr>
            <w:tcW w:w="3312" w:type="dxa"/>
            <w:tcBorders/>
            <w:vAlign w:val="center"/>
          </w:tcPr>
          <w:p>
            <w:pPr>
              <w:pStyle w:val="Normal"/>
              <w:spacing w:lineRule="auto" w:line="240" w:before="0" w:after="0"/>
              <w:jc w:val="center"/>
              <w:rPr/>
            </w:pPr>
            <w:r>
              <w:rPr>
                <w:rFonts w:eastAsia="Times New Roman" w:ascii="Times New Roman" w:hAnsi="Times New Roman"/>
                <w:color w:val="000000"/>
                <w:sz w:val="18"/>
              </w:rPr>
              <w:t>0.119</w:t>
            </w:r>
          </w:p>
        </w:tc>
      </w:tr>
      <w:tr>
        <w:trPr/>
        <w:tc>
          <w:tcPr>
            <w:tcW w:w="3312" w:type="dxa"/>
            <w:tcBorders/>
            <w:vAlign w:val="center"/>
          </w:tcPr>
          <w:p>
            <w:pPr>
              <w:pStyle w:val="Normal"/>
              <w:spacing w:lineRule="auto" w:line="240" w:before="0" w:after="0"/>
              <w:jc w:val="center"/>
              <w:rPr/>
            </w:pPr>
            <w:r>
              <w:rPr>
                <w:rFonts w:eastAsia="Times New Roman" w:ascii="Times New Roman" w:hAnsi="Times New Roman"/>
                <w:color w:val="000000"/>
                <w:sz w:val="18"/>
              </w:rPr>
              <w:t>M_2018</w:t>
            </w:r>
          </w:p>
        </w:tc>
        <w:tc>
          <w:tcPr>
            <w:tcW w:w="3312" w:type="dxa"/>
            <w:tcBorders/>
            <w:vAlign w:val="center"/>
          </w:tcPr>
          <w:p>
            <w:pPr>
              <w:pStyle w:val="Normal"/>
              <w:spacing w:lineRule="auto" w:line="240" w:before="0" w:after="0"/>
              <w:jc w:val="center"/>
              <w:rPr/>
            </w:pPr>
            <w:r>
              <w:rPr>
                <w:rFonts w:eastAsia="Times New Roman" w:ascii="Times New Roman" w:hAnsi="Times New Roman"/>
                <w:color w:val="000000"/>
                <w:sz w:val="18"/>
              </w:rPr>
              <w:t>0.495</w:t>
            </w:r>
          </w:p>
        </w:tc>
        <w:tc>
          <w:tcPr>
            <w:tcW w:w="3312" w:type="dxa"/>
            <w:tcBorders/>
            <w:vAlign w:val="center"/>
          </w:tcPr>
          <w:p>
            <w:pPr>
              <w:pStyle w:val="Normal"/>
              <w:spacing w:lineRule="auto" w:line="240" w:before="0" w:after="0"/>
              <w:jc w:val="center"/>
              <w:rPr/>
            </w:pPr>
            <w:r>
              <w:rPr>
                <w:rFonts w:eastAsia="Times New Roman" w:ascii="Times New Roman" w:hAnsi="Times New Roman"/>
                <w:color w:val="000000"/>
                <w:sz w:val="18"/>
              </w:rPr>
              <w:t>0.069</w:t>
            </w:r>
          </w:p>
        </w:tc>
      </w:tr>
      <w:tr>
        <w:trPr/>
        <w:tc>
          <w:tcPr>
            <w:tcW w:w="3312" w:type="dxa"/>
            <w:tcBorders/>
            <w:vAlign w:val="center"/>
          </w:tcPr>
          <w:p>
            <w:pPr>
              <w:pStyle w:val="Normal"/>
              <w:spacing w:lineRule="auto" w:line="240" w:before="0" w:after="0"/>
              <w:jc w:val="center"/>
              <w:rPr/>
            </w:pPr>
            <w:r>
              <w:rPr>
                <w:rFonts w:eastAsia="Times New Roman" w:ascii="Times New Roman" w:hAnsi="Times New Roman"/>
                <w:color w:val="000000"/>
                <w:sz w:val="18"/>
              </w:rPr>
              <w:t>M_2019</w:t>
            </w:r>
          </w:p>
        </w:tc>
        <w:tc>
          <w:tcPr>
            <w:tcW w:w="3312" w:type="dxa"/>
            <w:tcBorders/>
            <w:vAlign w:val="center"/>
          </w:tcPr>
          <w:p>
            <w:pPr>
              <w:pStyle w:val="Normal"/>
              <w:spacing w:lineRule="auto" w:line="240" w:before="0" w:after="0"/>
              <w:jc w:val="center"/>
              <w:rPr/>
            </w:pPr>
            <w:r>
              <w:rPr>
                <w:rFonts w:eastAsia="Times New Roman" w:ascii="Times New Roman" w:hAnsi="Times New Roman"/>
                <w:color w:val="000000"/>
                <w:sz w:val="18"/>
              </w:rPr>
              <w:t>0.223</w:t>
            </w:r>
          </w:p>
        </w:tc>
        <w:tc>
          <w:tcPr>
            <w:tcW w:w="3312" w:type="dxa"/>
            <w:tcBorders/>
            <w:vAlign w:val="center"/>
          </w:tcPr>
          <w:p>
            <w:pPr>
              <w:pStyle w:val="Normal"/>
              <w:spacing w:lineRule="auto" w:line="240" w:before="0" w:after="0"/>
              <w:jc w:val="center"/>
              <w:rPr/>
            </w:pPr>
            <w:r>
              <w:rPr>
                <w:rFonts w:eastAsia="Times New Roman" w:ascii="Times New Roman" w:hAnsi="Times New Roman"/>
                <w:color w:val="000000"/>
                <w:sz w:val="18"/>
              </w:rPr>
              <w:t>-0.570</w:t>
            </w:r>
          </w:p>
        </w:tc>
      </w:tr>
      <w:tr>
        <w:trPr/>
        <w:tc>
          <w:tcPr>
            <w:tcW w:w="3312"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color w:val="000000"/>
                <w:sz w:val="18"/>
              </w:rPr>
              <w:t>M_2022</w:t>
            </w:r>
          </w:p>
        </w:tc>
        <w:tc>
          <w:tcPr>
            <w:tcW w:w="3312"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color w:val="000000"/>
                <w:sz w:val="18"/>
              </w:rPr>
              <w:t>0.122</w:t>
            </w:r>
          </w:p>
        </w:tc>
        <w:tc>
          <w:tcPr>
            <w:tcW w:w="3312"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color w:val="000000"/>
                <w:sz w:val="18"/>
              </w:rPr>
              <w:t>-0.732</w:t>
            </w:r>
          </w:p>
        </w:tc>
      </w:tr>
    </w:tbl>
    <w:p>
      <w:pPr>
        <w:pStyle w:val="Heading2"/>
        <w:rPr/>
      </w:pPr>
      <w:r>
        <w:rPr>
          <w:rFonts w:eastAsia="Arial" w:ascii="Arial" w:hAnsi="Arial"/>
          <w:b/>
          <w:color w:val="000000"/>
          <w:sz w:val="20"/>
        </w:rPr>
        <w:t>Projection onto the Moscow 2022 environment vector (scalar product)</w:t>
      </w:r>
    </w:p>
    <w:tbl>
      <w:tblPr>
        <w:tblW w:w="9936" w:type="dxa"/>
        <w:jc w:val="left"/>
        <w:tblInd w:w="132" w:type="dxa"/>
        <w:tblLayout w:type="fixed"/>
        <w:tblCellMar>
          <w:top w:w="80" w:type="dxa"/>
          <w:left w:w="120" w:type="dxa"/>
          <w:bottom w:w="80" w:type="dxa"/>
          <w:right w:w="120" w:type="dxa"/>
        </w:tblCellMar>
        <w:tblLook w:val="04a0" w:noHBand="0" w:noVBand="1" w:firstColumn="1" w:lastRow="0" w:lastColumn="0" w:firstRow="1"/>
      </w:tblPr>
      <w:tblGrid>
        <w:gridCol w:w="4968"/>
        <w:gridCol w:w="4967"/>
      </w:tblGrid>
      <w:tr>
        <w:trPr>
          <w:tblHeader w:val="true"/>
        </w:trPr>
        <w:tc>
          <w:tcPr>
            <w:tcW w:w="4968"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8"/>
              </w:rPr>
              <w:t>Allele combination</w:t>
            </w:r>
          </w:p>
        </w:tc>
        <w:tc>
          <w:tcPr>
            <w:tcW w:w="4967"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8"/>
              </w:rPr>
              <w:t>Projection</w:t>
            </w:r>
          </w:p>
        </w:tc>
      </w:tr>
      <w:tr>
        <w:trPr/>
        <w:tc>
          <w:tcPr>
            <w:tcW w:w="4968" w:type="dxa"/>
            <w:tcBorders/>
            <w:vAlign w:val="center"/>
          </w:tcPr>
          <w:p>
            <w:pPr>
              <w:pStyle w:val="Normal"/>
              <w:spacing w:lineRule="auto" w:line="240" w:before="0" w:after="0"/>
              <w:rPr/>
            </w:pPr>
            <w:r>
              <w:rPr>
                <w:rFonts w:eastAsia="Times New Roman" w:ascii="Times New Roman" w:hAnsi="Times New Roman"/>
                <w:color w:val="000000"/>
                <w:sz w:val="18"/>
              </w:rPr>
              <w:t xml:space="preserve">A — </w:t>
            </w:r>
            <w:r>
              <w:rPr>
                <w:rFonts w:eastAsia="Times New Roman" w:ascii="Times New Roman" w:hAnsi="Times New Roman"/>
                <w:i/>
                <w:color w:val="000000"/>
                <w:sz w:val="18"/>
              </w:rPr>
              <w:t>Rht-B1a</w:t>
            </w:r>
            <w:r>
              <w:rPr>
                <w:rFonts w:eastAsia="Times New Roman" w:ascii="Times New Roman" w:hAnsi="Times New Roman"/>
                <w:color w:val="000000"/>
                <w:sz w:val="18"/>
              </w:rPr>
              <w:t>/</w:t>
            </w:r>
            <w:r>
              <w:rPr>
                <w:rFonts w:eastAsia="Times New Roman" w:ascii="Times New Roman" w:hAnsi="Times New Roman"/>
                <w:i/>
                <w:color w:val="000000"/>
                <w:sz w:val="18"/>
              </w:rPr>
              <w:t>Ppd-D1a</w:t>
            </w:r>
          </w:p>
        </w:tc>
        <w:tc>
          <w:tcPr>
            <w:tcW w:w="4967" w:type="dxa"/>
            <w:tcBorders/>
            <w:vAlign w:val="center"/>
          </w:tcPr>
          <w:p>
            <w:pPr>
              <w:pStyle w:val="Normal"/>
              <w:spacing w:lineRule="auto" w:line="240" w:before="0" w:after="0"/>
              <w:jc w:val="center"/>
              <w:rPr/>
            </w:pPr>
            <w:r>
              <w:rPr>
                <w:rFonts w:eastAsia="Times New Roman" w:ascii="Times New Roman" w:hAnsi="Times New Roman"/>
                <w:color w:val="000000"/>
                <w:sz w:val="18"/>
              </w:rPr>
              <w:t>-0.042</w:t>
            </w:r>
          </w:p>
        </w:tc>
      </w:tr>
      <w:tr>
        <w:trPr/>
        <w:tc>
          <w:tcPr>
            <w:tcW w:w="4968" w:type="dxa"/>
            <w:tcBorders/>
            <w:vAlign w:val="center"/>
          </w:tcPr>
          <w:p>
            <w:pPr>
              <w:pStyle w:val="Normal"/>
              <w:spacing w:lineRule="auto" w:line="240" w:before="0" w:after="0"/>
              <w:rPr/>
            </w:pPr>
            <w:r>
              <w:rPr>
                <w:rFonts w:eastAsia="Times New Roman" w:ascii="Times New Roman" w:hAnsi="Times New Roman"/>
                <w:color w:val="000000"/>
                <w:sz w:val="18"/>
              </w:rPr>
              <w:t xml:space="preserve">B — </w:t>
            </w:r>
            <w:r>
              <w:rPr>
                <w:rFonts w:eastAsia="Times New Roman" w:ascii="Times New Roman" w:hAnsi="Times New Roman"/>
                <w:i/>
                <w:color w:val="000000"/>
                <w:sz w:val="18"/>
              </w:rPr>
              <w:t>Rht-B1a</w:t>
            </w:r>
            <w:r>
              <w:rPr>
                <w:rFonts w:eastAsia="Times New Roman" w:ascii="Times New Roman" w:hAnsi="Times New Roman"/>
                <w:color w:val="000000"/>
                <w:sz w:val="18"/>
              </w:rPr>
              <w:t>/</w:t>
            </w:r>
            <w:r>
              <w:rPr>
                <w:rFonts w:eastAsia="Times New Roman" w:ascii="Times New Roman" w:hAnsi="Times New Roman"/>
                <w:i/>
                <w:color w:val="000000"/>
                <w:sz w:val="18"/>
              </w:rPr>
              <w:t>Ppd-D1b</w:t>
            </w:r>
          </w:p>
        </w:tc>
        <w:tc>
          <w:tcPr>
            <w:tcW w:w="4967" w:type="dxa"/>
            <w:tcBorders/>
            <w:vAlign w:val="center"/>
          </w:tcPr>
          <w:p>
            <w:pPr>
              <w:pStyle w:val="Normal"/>
              <w:spacing w:lineRule="auto" w:line="240" w:before="0" w:after="0"/>
              <w:jc w:val="center"/>
              <w:rPr/>
            </w:pPr>
            <w:r>
              <w:rPr>
                <w:rFonts w:eastAsia="Times New Roman" w:ascii="Times New Roman" w:hAnsi="Times New Roman"/>
                <w:color w:val="000000"/>
                <w:sz w:val="18"/>
              </w:rPr>
              <w:t>0.073</w:t>
            </w:r>
          </w:p>
        </w:tc>
      </w:tr>
      <w:tr>
        <w:trPr/>
        <w:tc>
          <w:tcPr>
            <w:tcW w:w="4968" w:type="dxa"/>
            <w:tcBorders/>
            <w:vAlign w:val="center"/>
          </w:tcPr>
          <w:p>
            <w:pPr>
              <w:pStyle w:val="Normal"/>
              <w:spacing w:lineRule="auto" w:line="240" w:before="0" w:after="0"/>
              <w:rPr/>
            </w:pPr>
            <w:r>
              <w:rPr>
                <w:rFonts w:eastAsia="Times New Roman" w:ascii="Times New Roman" w:hAnsi="Times New Roman"/>
                <w:color w:val="000000"/>
                <w:sz w:val="18"/>
              </w:rPr>
              <w:t xml:space="preserve">C — </w:t>
            </w:r>
            <w:r>
              <w:rPr>
                <w:rFonts w:eastAsia="Times New Roman" w:ascii="Times New Roman" w:hAnsi="Times New Roman"/>
                <w:i/>
                <w:color w:val="000000"/>
                <w:sz w:val="18"/>
              </w:rPr>
              <w:t>Rht-B1p</w:t>
            </w:r>
            <w:r>
              <w:rPr>
                <w:rFonts w:eastAsia="Times New Roman" w:ascii="Times New Roman" w:hAnsi="Times New Roman"/>
                <w:color w:val="000000"/>
                <w:sz w:val="18"/>
              </w:rPr>
              <w:t>/</w:t>
            </w:r>
            <w:r>
              <w:rPr>
                <w:rFonts w:eastAsia="Times New Roman" w:ascii="Times New Roman" w:hAnsi="Times New Roman"/>
                <w:i/>
                <w:color w:val="000000"/>
                <w:sz w:val="18"/>
              </w:rPr>
              <w:t>Ppd-D1a</w:t>
            </w:r>
          </w:p>
        </w:tc>
        <w:tc>
          <w:tcPr>
            <w:tcW w:w="4967" w:type="dxa"/>
            <w:tcBorders/>
            <w:vAlign w:val="center"/>
          </w:tcPr>
          <w:p>
            <w:pPr>
              <w:pStyle w:val="Normal"/>
              <w:spacing w:lineRule="auto" w:line="240" w:before="0" w:after="0"/>
              <w:jc w:val="center"/>
              <w:rPr/>
            </w:pPr>
            <w:r>
              <w:rPr>
                <w:rFonts w:eastAsia="Times New Roman" w:ascii="Times New Roman" w:hAnsi="Times New Roman"/>
                <w:color w:val="000000"/>
                <w:sz w:val="18"/>
              </w:rPr>
              <w:t>-0.078</w:t>
            </w:r>
          </w:p>
        </w:tc>
      </w:tr>
      <w:tr>
        <w:trPr/>
        <w:tc>
          <w:tcPr>
            <w:tcW w:w="4968" w:type="dxa"/>
            <w:tcBorders>
              <w:bottom w:val="single" w:sz="12" w:space="0" w:color="000000"/>
            </w:tcBorders>
            <w:vAlign w:val="center"/>
          </w:tcPr>
          <w:p>
            <w:pPr>
              <w:pStyle w:val="Normal"/>
              <w:spacing w:lineRule="auto" w:line="240" w:before="0" w:after="0"/>
              <w:rPr/>
            </w:pPr>
            <w:r>
              <w:rPr>
                <w:rFonts w:eastAsia="Times New Roman" w:ascii="Times New Roman" w:hAnsi="Times New Roman"/>
                <w:color w:val="000000"/>
                <w:sz w:val="18"/>
              </w:rPr>
              <w:t xml:space="preserve">D — </w:t>
            </w:r>
            <w:r>
              <w:rPr>
                <w:rFonts w:eastAsia="Times New Roman" w:ascii="Times New Roman" w:hAnsi="Times New Roman"/>
                <w:i/>
                <w:color w:val="000000"/>
                <w:sz w:val="18"/>
              </w:rPr>
              <w:t>Rht-B1p</w:t>
            </w:r>
            <w:r>
              <w:rPr>
                <w:rFonts w:eastAsia="Times New Roman" w:ascii="Times New Roman" w:hAnsi="Times New Roman"/>
                <w:color w:val="000000"/>
                <w:sz w:val="18"/>
              </w:rPr>
              <w:t>/</w:t>
            </w:r>
            <w:r>
              <w:rPr>
                <w:rFonts w:eastAsia="Times New Roman" w:ascii="Times New Roman" w:hAnsi="Times New Roman"/>
                <w:i/>
                <w:color w:val="000000"/>
                <w:sz w:val="18"/>
              </w:rPr>
              <w:t>Ppd-D1b</w:t>
            </w:r>
          </w:p>
        </w:tc>
        <w:tc>
          <w:tcPr>
            <w:tcW w:w="4967"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color w:val="000000"/>
                <w:sz w:val="18"/>
              </w:rPr>
              <w:t>0.048</w:t>
            </w:r>
          </w:p>
        </w:tc>
      </w:tr>
    </w:tbl>
    <w:p>
      <w:pPr>
        <w:sectPr>
          <w:type w:val="nextPage"/>
          <w:pgSz w:w="12240" w:h="15840"/>
          <w:pgMar w:left="1008" w:right="1008" w:gutter="0" w:header="0" w:top="1008" w:footer="0" w:bottom="1008"/>
          <w:pgNumType w:fmt="decimal"/>
          <w:formProt w:val="false"/>
          <w:textDirection w:val="lrTb"/>
          <w:docGrid w:type="default" w:linePitch="360" w:charSpace="0"/>
        </w:sectPr>
      </w:pPr>
    </w:p>
    <w:p>
      <w:pPr>
        <w:pStyle w:val="Heading1"/>
        <w:rPr/>
      </w:pPr>
      <w:r>
        <w:rPr>
          <w:rFonts w:eastAsia="Arial" w:ascii="Arial" w:hAnsi="Arial"/>
          <w:b/>
          <w:color w:val="000000"/>
          <w:sz w:val="26"/>
        </w:rPr>
        <w:t>Table S10. Stability (CV) of GWS across environments</w:t>
      </w:r>
    </w:p>
    <w:p>
      <w:pPr>
        <w:pStyle w:val="Normal"/>
        <w:spacing w:lineRule="auto" w:line="252" w:before="0" w:after="80"/>
        <w:rPr/>
      </w:pPr>
      <w:r>
        <w:rPr>
          <w:rFonts w:eastAsia="Arial"/>
          <w:i w:val="false"/>
          <w:color w:val="000000"/>
          <w:sz w:val="19"/>
        </w:rPr>
        <w:t>Mean, population standard deviation and coefficient of variation (CV) of environment-mean GWS for the four Rht-B1 × Ppd-D1 allele combinations across five environments.</w:t>
      </w:r>
    </w:p>
    <w:tbl>
      <w:tblPr>
        <w:tblW w:w="9936" w:type="dxa"/>
        <w:jc w:val="left"/>
        <w:tblInd w:w="132" w:type="dxa"/>
        <w:tblLayout w:type="fixed"/>
        <w:tblCellMar>
          <w:top w:w="80" w:type="dxa"/>
          <w:left w:w="120" w:type="dxa"/>
          <w:bottom w:w="80" w:type="dxa"/>
          <w:right w:w="120" w:type="dxa"/>
        </w:tblCellMar>
        <w:tblLook w:val="04a0" w:noHBand="0" w:noVBand="1" w:firstColumn="1" w:lastRow="0" w:lastColumn="0" w:firstRow="1"/>
      </w:tblPr>
      <w:tblGrid>
        <w:gridCol w:w="2484"/>
        <w:gridCol w:w="2484"/>
        <w:gridCol w:w="2484"/>
        <w:gridCol w:w="2483"/>
      </w:tblGrid>
      <w:tr>
        <w:trPr>
          <w:tblHeader w:val="true"/>
        </w:trPr>
        <w:tc>
          <w:tcPr>
            <w:tcW w:w="2484"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8"/>
              </w:rPr>
              <w:t>Allele combination</w:t>
            </w:r>
          </w:p>
        </w:tc>
        <w:tc>
          <w:tcPr>
            <w:tcW w:w="2484"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8"/>
              </w:rPr>
              <w:t>Mean GWS (g)</w:t>
            </w:r>
          </w:p>
        </w:tc>
        <w:tc>
          <w:tcPr>
            <w:tcW w:w="2484"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8"/>
              </w:rPr>
              <w:t>SD (g)</w:t>
            </w:r>
          </w:p>
        </w:tc>
        <w:tc>
          <w:tcPr>
            <w:tcW w:w="2483" w:type="dxa"/>
            <w:tcBorders>
              <w:top w:val="single" w:sz="12" w:space="0" w:color="000000"/>
              <w:bottom w:val="single" w:sz="6" w:space="0" w:color="000000"/>
            </w:tcBorders>
            <w:vAlign w:val="center"/>
          </w:tcPr>
          <w:p>
            <w:pPr>
              <w:pStyle w:val="Normal"/>
              <w:spacing w:lineRule="auto" w:line="240" w:before="0" w:after="0"/>
              <w:jc w:val="center"/>
              <w:rPr/>
            </w:pPr>
            <w:r>
              <w:rPr>
                <w:rFonts w:eastAsia="Times New Roman" w:ascii="Times New Roman" w:hAnsi="Times New Roman"/>
                <w:b/>
                <w:color w:val="000000"/>
                <w:sz w:val="18"/>
              </w:rPr>
              <w:t>CV (%)</w:t>
            </w:r>
          </w:p>
        </w:tc>
      </w:tr>
      <w:tr>
        <w:trPr/>
        <w:tc>
          <w:tcPr>
            <w:tcW w:w="2484" w:type="dxa"/>
            <w:tcBorders/>
            <w:vAlign w:val="center"/>
          </w:tcPr>
          <w:p>
            <w:pPr>
              <w:pStyle w:val="Normal"/>
              <w:spacing w:lineRule="auto" w:line="240" w:before="0" w:after="0"/>
              <w:rPr/>
            </w:pPr>
            <w:r>
              <w:rPr>
                <w:rFonts w:eastAsia="Times New Roman" w:ascii="Times New Roman" w:hAnsi="Times New Roman"/>
                <w:color w:val="000000"/>
                <w:sz w:val="18"/>
              </w:rPr>
              <w:t xml:space="preserve">A — </w:t>
            </w:r>
            <w:r>
              <w:rPr>
                <w:rFonts w:eastAsia="Times New Roman" w:ascii="Times New Roman" w:hAnsi="Times New Roman"/>
                <w:i/>
                <w:color w:val="000000"/>
                <w:sz w:val="18"/>
              </w:rPr>
              <w:t>Rht-B1a</w:t>
            </w:r>
            <w:r>
              <w:rPr>
                <w:rFonts w:eastAsia="Times New Roman" w:ascii="Times New Roman" w:hAnsi="Times New Roman"/>
                <w:color w:val="000000"/>
                <w:sz w:val="18"/>
              </w:rPr>
              <w:t>/</w:t>
            </w:r>
            <w:r>
              <w:rPr>
                <w:rFonts w:eastAsia="Times New Roman" w:ascii="Times New Roman" w:hAnsi="Times New Roman"/>
                <w:i/>
                <w:color w:val="000000"/>
                <w:sz w:val="18"/>
              </w:rPr>
              <w:t>Ppd-D1a</w:t>
            </w:r>
          </w:p>
          <w:p>
            <w:pPr>
              <w:pStyle w:val="Normal"/>
              <w:spacing w:lineRule="auto" w:line="240" w:before="0" w:after="0"/>
              <w:rPr/>
            </w:pPr>
            <w:r>
              <w:rPr>
                <w:rFonts w:eastAsia="Times New Roman" w:ascii="Times New Roman" w:hAnsi="Times New Roman"/>
                <w:color w:val="000000"/>
                <w:sz w:val="18"/>
              </w:rPr>
              <w:t>tall, photoperiod-insensitive</w:t>
            </w:r>
          </w:p>
        </w:tc>
        <w:tc>
          <w:tcPr>
            <w:tcW w:w="2484" w:type="dxa"/>
            <w:tcBorders/>
            <w:vAlign w:val="center"/>
          </w:tcPr>
          <w:p>
            <w:pPr>
              <w:pStyle w:val="Normal"/>
              <w:spacing w:lineRule="auto" w:line="240" w:before="0" w:after="0"/>
              <w:jc w:val="center"/>
              <w:rPr/>
            </w:pPr>
            <w:r>
              <w:rPr>
                <w:rFonts w:eastAsia="Times New Roman" w:ascii="Times New Roman" w:hAnsi="Times New Roman"/>
                <w:color w:val="000000"/>
                <w:sz w:val="18"/>
              </w:rPr>
              <w:t>1.332</w:t>
            </w:r>
          </w:p>
        </w:tc>
        <w:tc>
          <w:tcPr>
            <w:tcW w:w="2484" w:type="dxa"/>
            <w:tcBorders/>
            <w:vAlign w:val="center"/>
          </w:tcPr>
          <w:p>
            <w:pPr>
              <w:pStyle w:val="Normal"/>
              <w:spacing w:lineRule="auto" w:line="240" w:before="0" w:after="0"/>
              <w:jc w:val="center"/>
              <w:rPr/>
            </w:pPr>
            <w:r>
              <w:rPr>
                <w:rFonts w:eastAsia="Times New Roman" w:ascii="Times New Roman" w:hAnsi="Times New Roman"/>
                <w:color w:val="000000"/>
                <w:sz w:val="18"/>
              </w:rPr>
              <w:t>0.154</w:t>
            </w:r>
          </w:p>
        </w:tc>
        <w:tc>
          <w:tcPr>
            <w:tcW w:w="2483" w:type="dxa"/>
            <w:tcBorders/>
            <w:vAlign w:val="center"/>
          </w:tcPr>
          <w:p>
            <w:pPr>
              <w:pStyle w:val="Normal"/>
              <w:spacing w:lineRule="auto" w:line="240" w:before="0" w:after="0"/>
              <w:jc w:val="center"/>
              <w:rPr/>
            </w:pPr>
            <w:r>
              <w:rPr>
                <w:rFonts w:eastAsia="Times New Roman" w:ascii="Times New Roman" w:hAnsi="Times New Roman"/>
                <w:color w:val="000000"/>
                <w:sz w:val="18"/>
              </w:rPr>
              <w:t>11.6</w:t>
            </w:r>
          </w:p>
        </w:tc>
      </w:tr>
      <w:tr>
        <w:trPr/>
        <w:tc>
          <w:tcPr>
            <w:tcW w:w="2484" w:type="dxa"/>
            <w:tcBorders/>
            <w:vAlign w:val="center"/>
          </w:tcPr>
          <w:p>
            <w:pPr>
              <w:pStyle w:val="Normal"/>
              <w:spacing w:lineRule="auto" w:line="240" w:before="0" w:after="0"/>
              <w:rPr/>
            </w:pPr>
            <w:r>
              <w:rPr>
                <w:rFonts w:eastAsia="Times New Roman" w:ascii="Times New Roman" w:hAnsi="Times New Roman"/>
                <w:color w:val="000000"/>
                <w:sz w:val="18"/>
              </w:rPr>
              <w:t xml:space="preserve">B — </w:t>
            </w:r>
            <w:r>
              <w:rPr>
                <w:rFonts w:eastAsia="Times New Roman" w:ascii="Times New Roman" w:hAnsi="Times New Roman"/>
                <w:i/>
                <w:color w:val="000000"/>
                <w:sz w:val="18"/>
              </w:rPr>
              <w:t>Rht-B1a</w:t>
            </w:r>
            <w:r>
              <w:rPr>
                <w:rFonts w:eastAsia="Times New Roman" w:ascii="Times New Roman" w:hAnsi="Times New Roman"/>
                <w:color w:val="000000"/>
                <w:sz w:val="18"/>
              </w:rPr>
              <w:t>/</w:t>
            </w:r>
            <w:r>
              <w:rPr>
                <w:rFonts w:eastAsia="Times New Roman" w:ascii="Times New Roman" w:hAnsi="Times New Roman"/>
                <w:i/>
                <w:color w:val="000000"/>
                <w:sz w:val="18"/>
              </w:rPr>
              <w:t>Ppd-D1b</w:t>
            </w:r>
          </w:p>
          <w:p>
            <w:pPr>
              <w:pStyle w:val="Normal"/>
              <w:spacing w:lineRule="auto" w:line="240" w:before="0" w:after="0"/>
              <w:rPr/>
            </w:pPr>
            <w:r>
              <w:rPr>
                <w:rFonts w:eastAsia="Times New Roman" w:ascii="Times New Roman" w:hAnsi="Times New Roman"/>
                <w:color w:val="000000"/>
                <w:sz w:val="18"/>
              </w:rPr>
              <w:t>tall, photoperiod-sensitive</w:t>
            </w:r>
          </w:p>
        </w:tc>
        <w:tc>
          <w:tcPr>
            <w:tcW w:w="2484" w:type="dxa"/>
            <w:tcBorders/>
            <w:vAlign w:val="center"/>
          </w:tcPr>
          <w:p>
            <w:pPr>
              <w:pStyle w:val="Normal"/>
              <w:spacing w:lineRule="auto" w:line="240" w:before="0" w:after="0"/>
              <w:jc w:val="center"/>
              <w:rPr/>
            </w:pPr>
            <w:r>
              <w:rPr>
                <w:rFonts w:eastAsia="Times New Roman" w:ascii="Times New Roman" w:hAnsi="Times New Roman"/>
                <w:color w:val="000000"/>
                <w:sz w:val="18"/>
              </w:rPr>
              <w:t>1.355</w:t>
            </w:r>
          </w:p>
        </w:tc>
        <w:tc>
          <w:tcPr>
            <w:tcW w:w="2484" w:type="dxa"/>
            <w:tcBorders/>
            <w:vAlign w:val="center"/>
          </w:tcPr>
          <w:p>
            <w:pPr>
              <w:pStyle w:val="Normal"/>
              <w:spacing w:lineRule="auto" w:line="240" w:before="0" w:after="0"/>
              <w:jc w:val="center"/>
              <w:rPr/>
            </w:pPr>
            <w:r>
              <w:rPr>
                <w:rFonts w:eastAsia="Times New Roman" w:ascii="Times New Roman" w:hAnsi="Times New Roman"/>
                <w:color w:val="000000"/>
                <w:sz w:val="18"/>
              </w:rPr>
              <w:t>0.195</w:t>
            </w:r>
          </w:p>
        </w:tc>
        <w:tc>
          <w:tcPr>
            <w:tcW w:w="2483" w:type="dxa"/>
            <w:tcBorders/>
            <w:vAlign w:val="center"/>
          </w:tcPr>
          <w:p>
            <w:pPr>
              <w:pStyle w:val="Normal"/>
              <w:spacing w:lineRule="auto" w:line="240" w:before="0" w:after="0"/>
              <w:jc w:val="center"/>
              <w:rPr/>
            </w:pPr>
            <w:r>
              <w:rPr>
                <w:rFonts w:eastAsia="Times New Roman" w:ascii="Times New Roman" w:hAnsi="Times New Roman"/>
                <w:color w:val="000000"/>
                <w:sz w:val="18"/>
              </w:rPr>
              <w:t>14.4</w:t>
            </w:r>
          </w:p>
        </w:tc>
      </w:tr>
      <w:tr>
        <w:trPr/>
        <w:tc>
          <w:tcPr>
            <w:tcW w:w="2484" w:type="dxa"/>
            <w:tcBorders/>
            <w:vAlign w:val="center"/>
          </w:tcPr>
          <w:p>
            <w:pPr>
              <w:pStyle w:val="Normal"/>
              <w:spacing w:lineRule="auto" w:line="240" w:before="0" w:after="0"/>
              <w:rPr/>
            </w:pPr>
            <w:r>
              <w:rPr>
                <w:rFonts w:eastAsia="Times New Roman" w:ascii="Times New Roman" w:hAnsi="Times New Roman"/>
                <w:color w:val="000000"/>
                <w:sz w:val="18"/>
              </w:rPr>
              <w:t xml:space="preserve">C — </w:t>
            </w:r>
            <w:r>
              <w:rPr>
                <w:rFonts w:eastAsia="Times New Roman" w:ascii="Times New Roman" w:hAnsi="Times New Roman"/>
                <w:i/>
                <w:color w:val="000000"/>
                <w:sz w:val="18"/>
              </w:rPr>
              <w:t>Rht-B1p</w:t>
            </w:r>
            <w:r>
              <w:rPr>
                <w:rFonts w:eastAsia="Times New Roman" w:ascii="Times New Roman" w:hAnsi="Times New Roman"/>
                <w:color w:val="000000"/>
                <w:sz w:val="18"/>
              </w:rPr>
              <w:t>/</w:t>
            </w:r>
            <w:r>
              <w:rPr>
                <w:rFonts w:eastAsia="Times New Roman" w:ascii="Times New Roman" w:hAnsi="Times New Roman"/>
                <w:i/>
                <w:color w:val="000000"/>
                <w:sz w:val="18"/>
              </w:rPr>
              <w:t>Ppd-D1a</w:t>
            </w:r>
          </w:p>
          <w:p>
            <w:pPr>
              <w:pStyle w:val="Normal"/>
              <w:spacing w:lineRule="auto" w:line="240" w:before="0" w:after="0"/>
              <w:rPr/>
            </w:pPr>
            <w:r>
              <w:rPr>
                <w:rFonts w:eastAsia="Times New Roman" w:ascii="Times New Roman" w:hAnsi="Times New Roman"/>
                <w:color w:val="000000"/>
                <w:sz w:val="18"/>
              </w:rPr>
              <w:t>semi-dwarfing, photoperiod-insensitive</w:t>
            </w:r>
          </w:p>
        </w:tc>
        <w:tc>
          <w:tcPr>
            <w:tcW w:w="2484" w:type="dxa"/>
            <w:tcBorders/>
            <w:vAlign w:val="center"/>
          </w:tcPr>
          <w:p>
            <w:pPr>
              <w:pStyle w:val="Normal"/>
              <w:spacing w:lineRule="auto" w:line="240" w:before="0" w:after="0"/>
              <w:jc w:val="center"/>
              <w:rPr/>
            </w:pPr>
            <w:r>
              <w:rPr>
                <w:rFonts w:eastAsia="Times New Roman" w:ascii="Times New Roman" w:hAnsi="Times New Roman"/>
                <w:color w:val="000000"/>
                <w:sz w:val="18"/>
              </w:rPr>
              <w:t>1.188</w:t>
            </w:r>
          </w:p>
        </w:tc>
        <w:tc>
          <w:tcPr>
            <w:tcW w:w="2484" w:type="dxa"/>
            <w:tcBorders/>
            <w:vAlign w:val="center"/>
          </w:tcPr>
          <w:p>
            <w:pPr>
              <w:pStyle w:val="Normal"/>
              <w:spacing w:lineRule="auto" w:line="240" w:before="0" w:after="0"/>
              <w:jc w:val="center"/>
              <w:rPr/>
            </w:pPr>
            <w:r>
              <w:rPr>
                <w:rFonts w:eastAsia="Times New Roman" w:ascii="Times New Roman" w:hAnsi="Times New Roman"/>
                <w:color w:val="000000"/>
                <w:sz w:val="18"/>
              </w:rPr>
              <w:t>0.242</w:t>
            </w:r>
          </w:p>
        </w:tc>
        <w:tc>
          <w:tcPr>
            <w:tcW w:w="2483" w:type="dxa"/>
            <w:tcBorders/>
            <w:vAlign w:val="center"/>
          </w:tcPr>
          <w:p>
            <w:pPr>
              <w:pStyle w:val="Normal"/>
              <w:spacing w:lineRule="auto" w:line="240" w:before="0" w:after="0"/>
              <w:jc w:val="center"/>
              <w:rPr/>
            </w:pPr>
            <w:r>
              <w:rPr>
                <w:rFonts w:eastAsia="Times New Roman" w:ascii="Times New Roman" w:hAnsi="Times New Roman"/>
                <w:color w:val="000000"/>
                <w:sz w:val="18"/>
              </w:rPr>
              <w:t>20.4</w:t>
            </w:r>
          </w:p>
        </w:tc>
      </w:tr>
      <w:tr>
        <w:trPr/>
        <w:tc>
          <w:tcPr>
            <w:tcW w:w="2484" w:type="dxa"/>
            <w:tcBorders>
              <w:bottom w:val="single" w:sz="12" w:space="0" w:color="000000"/>
            </w:tcBorders>
            <w:vAlign w:val="center"/>
          </w:tcPr>
          <w:p>
            <w:pPr>
              <w:pStyle w:val="Normal"/>
              <w:spacing w:lineRule="auto" w:line="240" w:before="0" w:after="0"/>
              <w:rPr/>
            </w:pPr>
            <w:r>
              <w:rPr>
                <w:rFonts w:eastAsia="Times New Roman" w:ascii="Times New Roman" w:hAnsi="Times New Roman"/>
                <w:color w:val="000000"/>
                <w:sz w:val="18"/>
              </w:rPr>
              <w:t xml:space="preserve">D — </w:t>
            </w:r>
            <w:r>
              <w:rPr>
                <w:rFonts w:eastAsia="Times New Roman" w:ascii="Times New Roman" w:hAnsi="Times New Roman"/>
                <w:i/>
                <w:color w:val="000000"/>
                <w:sz w:val="18"/>
              </w:rPr>
              <w:t>Rht-B1p</w:t>
            </w:r>
            <w:r>
              <w:rPr>
                <w:rFonts w:eastAsia="Times New Roman" w:ascii="Times New Roman" w:hAnsi="Times New Roman"/>
                <w:color w:val="000000"/>
                <w:sz w:val="18"/>
              </w:rPr>
              <w:t>/</w:t>
            </w:r>
            <w:r>
              <w:rPr>
                <w:rFonts w:eastAsia="Times New Roman" w:ascii="Times New Roman" w:hAnsi="Times New Roman"/>
                <w:i/>
                <w:color w:val="000000"/>
                <w:sz w:val="18"/>
              </w:rPr>
              <w:t>Ppd-D1b</w:t>
            </w:r>
          </w:p>
          <w:p>
            <w:pPr>
              <w:pStyle w:val="Normal"/>
              <w:spacing w:lineRule="auto" w:line="240" w:before="0" w:after="0"/>
              <w:rPr/>
            </w:pPr>
            <w:r>
              <w:rPr>
                <w:rFonts w:eastAsia="Times New Roman" w:ascii="Times New Roman" w:hAnsi="Times New Roman"/>
                <w:color w:val="000000"/>
                <w:sz w:val="18"/>
              </w:rPr>
              <w:t>semi-dwarfing, photoperiod-sensitive</w:t>
            </w:r>
          </w:p>
        </w:tc>
        <w:tc>
          <w:tcPr>
            <w:tcW w:w="2484"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color w:val="000000"/>
                <w:sz w:val="18"/>
              </w:rPr>
              <w:t>1.240</w:t>
            </w:r>
          </w:p>
        </w:tc>
        <w:tc>
          <w:tcPr>
            <w:tcW w:w="2484"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color w:val="000000"/>
                <w:sz w:val="18"/>
              </w:rPr>
              <w:t>0.271</w:t>
            </w:r>
          </w:p>
        </w:tc>
        <w:tc>
          <w:tcPr>
            <w:tcW w:w="2483" w:type="dxa"/>
            <w:tcBorders>
              <w:bottom w:val="single" w:sz="12" w:space="0" w:color="000000"/>
            </w:tcBorders>
            <w:vAlign w:val="center"/>
          </w:tcPr>
          <w:p>
            <w:pPr>
              <w:pStyle w:val="Normal"/>
              <w:spacing w:lineRule="auto" w:line="240" w:before="0" w:after="0"/>
              <w:jc w:val="center"/>
              <w:rPr/>
            </w:pPr>
            <w:r>
              <w:rPr>
                <w:rFonts w:eastAsia="Times New Roman" w:ascii="Times New Roman" w:hAnsi="Times New Roman"/>
                <w:color w:val="000000"/>
                <w:sz w:val="18"/>
              </w:rPr>
              <w:t>21.8</w:t>
            </w:r>
          </w:p>
        </w:tc>
      </w:tr>
    </w:tbl>
    <w:p>
      <w:pPr>
        <w:sectPr>
          <w:type w:val="nextPage"/>
          <w:pgSz w:w="12240" w:h="15840"/>
          <w:pgMar w:left="1008" w:right="1008" w:gutter="0" w:header="0" w:top="1008" w:footer="0" w:bottom="1008"/>
          <w:pgNumType w:fmt="decimal"/>
          <w:formProt w:val="false"/>
          <w:textDirection w:val="lrTb"/>
          <w:docGrid w:type="default" w:linePitch="360" w:charSpace="0"/>
        </w:sectPr>
        <w:pStyle w:val="Normal"/>
        <w:spacing w:lineRule="auto" w:line="252" w:before="0" w:after="80"/>
        <w:rPr/>
      </w:pPr>
      <w:r>
        <w:rPr>
          <w:rFonts w:eastAsia="Arial"/>
          <w:i/>
          <w:color w:val="000000"/>
          <w:sz w:val="19"/>
        </w:rPr>
        <w:t>Note. For each allele combination, environment means were first computed, then the mean, population SD and CV were calculated across the five environments.</w:t>
      </w:r>
    </w:p>
    <w:p>
      <w:pPr>
        <w:pStyle w:val="Heading1"/>
        <w:rPr/>
      </w:pPr>
      <w:r>
        <w:rPr>
          <w:rFonts w:eastAsia="Arial" w:ascii="Arial" w:hAnsi="Arial"/>
          <w:b/>
          <w:color w:val="000000"/>
          <w:sz w:val="26"/>
        </w:rPr>
        <w:t>Figure S1. Environment-specific Spearman correlations among phenotypic traits</w:t>
      </w:r>
    </w:p>
    <w:p>
      <w:pPr>
        <w:pStyle w:val="Normal"/>
        <w:spacing w:lineRule="auto" w:line="252"/>
        <w:rPr/>
      </w:pPr>
      <w:r>
        <w:rPr/>
        <w:t>Spearman rank-correlation matrices for (a) Krasnodar 2018, (b) Moscow 2018, (c) Krasnodar 2019, (d) Moscow 2019, and (e) Moscow 2022. Blue indicates positive and red negative correlations. Trait abbreviations are defined in Table S1.</w:t>
      </w:r>
    </w:p>
    <w:p>
      <w:pPr>
        <w:pStyle w:val="Normal"/>
        <w:spacing w:before="0" w:after="80"/>
        <w:jc w:val="center"/>
        <w:rPr/>
      </w:pPr>
      <w:r>
        <w:rPr/>
        <w:drawing>
          <wp:inline distT="0" distB="0" distL="0" distR="0">
            <wp:extent cx="8915400" cy="447421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8915400" cy="4474210"/>
                    </a:xfrm>
                    <a:prstGeom prst="rect">
                      <a:avLst/>
                    </a:prstGeom>
                  </pic:spPr>
                </pic:pic>
              </a:graphicData>
            </a:graphic>
          </wp:inline>
        </w:drawing>
      </w:r>
    </w:p>
    <w:sectPr>
      <w:type w:val="nextPage"/>
      <w:pgSz w:orient="landscape" w:w="15840" w:h="12240"/>
      <w:pgMar w:left="792" w:right="792" w:gutter="0" w:header="0" w:top="792" w:footer="0" w:bottom="792"/>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Arial">
    <w:charset w:val="01"/>
    <w:family w:val="roman"/>
    <w:pitch w:val="variable"/>
  </w:font>
  <w:font w:name="Calibri">
    <w:charset w:val="01"/>
    <w:family w:val="roman"/>
    <w:pitch w:val="variable"/>
  </w:font>
  <w:font w:name="Courier">
    <w:altName w:val="Courier New"/>
    <w:charset w:val="01"/>
    <w:family w:val="roman"/>
    <w:pitch w:val="variable"/>
  </w:font>
  <w:font w:name="Liberation Sans">
    <w:altName w:val="Arial"/>
    <w:charset w:val="01"/>
    <w:family w:val="swiss"/>
    <w:pitch w:val="variable"/>
  </w:font>
  <w:font w:name="Times New Roman">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1080"/>
        </w:tabs>
        <w:ind w:left="108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3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keepNext w:val="false"/>
      <w:widowControl/>
      <w:bidi w:val="0"/>
      <w:spacing w:lineRule="auto" w:line="252" w:before="0" w:after="80"/>
      <w:jc w:val="left"/>
    </w:pPr>
    <w:rPr>
      <w:rFonts w:ascii="Arial" w:hAnsi="Arial" w:eastAsia="Arial" w:cs=""/>
      <w:b w:val="false"/>
      <w:i w:val="false"/>
      <w:color w:val="000000"/>
      <w:kern w:val="0"/>
      <w:sz w:val="19"/>
      <w:szCs w:val="22"/>
      <w:lang w:val="en-US" w:eastAsia="en-US" w:bidi="ar-SA"/>
    </w:rPr>
  </w:style>
  <w:style w:type="paragraph" w:styleId="Heading1">
    <w:name w:val="Heading 1"/>
    <w:basedOn w:val="Normal"/>
    <w:next w:val="Normal"/>
    <w:link w:val="Heading1Char"/>
    <w:uiPriority w:val="9"/>
    <w:qFormat/>
    <w:rsid w:val="00fc693f"/>
    <w:pPr>
      <w:keepNext w:val="true"/>
      <w:keepLines/>
      <w:spacing w:lineRule="auto" w:line="252" w:before="160" w:after="100"/>
      <w:outlineLvl w:val="0"/>
    </w:pPr>
    <w:rPr>
      <w:rFonts w:ascii="Calibri" w:hAnsi="Calibri" w:eastAsia="ＭＳ ゴシック" w:cs="" w:asciiTheme="majorHAnsi" w:cstheme="majorBidi" w:eastAsiaTheme="majorEastAsia" w:hAnsiTheme="majorHAnsi"/>
      <w:b/>
      <w:bCs/>
      <w:i w:val="false"/>
      <w:color w:val="000000"/>
      <w:sz w:val="26"/>
      <w:szCs w:val="28"/>
    </w:rPr>
  </w:style>
  <w:style w:type="paragraph" w:styleId="Heading2">
    <w:name w:val="Heading 2"/>
    <w:basedOn w:val="Normal"/>
    <w:next w:val="Normal"/>
    <w:link w:val="Heading2Char"/>
    <w:uiPriority w:val="9"/>
    <w:unhideWhenUsed/>
    <w:qFormat/>
    <w:rsid w:val="00fc693f"/>
    <w:pPr>
      <w:keepNext w:val="true"/>
      <w:keepLines/>
      <w:spacing w:lineRule="auto" w:line="252" w:before="120" w:after="60"/>
      <w:outlineLvl w:val="1"/>
    </w:pPr>
    <w:rPr>
      <w:rFonts w:ascii="Calibri" w:hAnsi="Calibri" w:eastAsia="ＭＳ ゴシック" w:cs="" w:asciiTheme="majorHAnsi" w:cstheme="majorBidi" w:eastAsiaTheme="majorEastAsia" w:hAnsiTheme="majorHAnsi"/>
      <w:b/>
      <w:bCs/>
      <w:i w:val="false"/>
      <w:color w:val="000000"/>
      <w:sz w:val="20"/>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ＭＳ ゴシック"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ＭＳ ゴシック"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uiPriority w:val="99"/>
    <w:qFormat/>
    <w:rsid w:val="00e618bf"/>
    <w:rPr/>
  </w:style>
  <w:style w:type="character" w:styleId="FooterChar" w:customStyle="1">
    <w:name w:val="Footer Char"/>
    <w:basedOn w:val="DefaultParagraphFont"/>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fc693f"/>
    <w:rPr>
      <w:rFonts w:ascii="Calibri" w:hAnsi="Calibri" w:eastAsia="ＭＳ ゴシック"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uiPriority w:val="9"/>
    <w:qFormat/>
    <w:rsid w:val="00fc693f"/>
    <w:rPr>
      <w:rFonts w:ascii="Calibri" w:hAnsi="Calibri" w:eastAsia="ＭＳ ゴシック"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uiPriority w:val="9"/>
    <w:qFormat/>
    <w:rsid w:val="00fc693f"/>
    <w:rPr>
      <w:rFonts w:ascii="Calibri" w:hAnsi="Calibri" w:eastAsia="ＭＳ ゴシック" w:cs="" w:asciiTheme="majorHAnsi" w:cstheme="majorBidi" w:eastAsiaTheme="majorEastAsia" w:hAnsiTheme="majorHAnsi"/>
      <w:b/>
      <w:bCs/>
      <w:color w:themeColor="accent1" w:val="4F81BD"/>
    </w:rPr>
  </w:style>
  <w:style w:type="character" w:styleId="TitleChar" w:customStyle="1">
    <w:name w:val="Title Char"/>
    <w:basedOn w:val="DefaultParagraphFont"/>
    <w:uiPriority w:val="10"/>
    <w:qFormat/>
    <w:rsid w:val="00fc693f"/>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uiPriority w:val="11"/>
    <w:qFormat/>
    <w:rsid w:val="00fc693f"/>
    <w:rPr>
      <w:rFonts w:ascii="Calibri" w:hAnsi="Calibri" w:eastAsia="ＭＳ ゴシック"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uiPriority w:val="9"/>
    <w:semiHidden/>
    <w:qFormat/>
    <w:rsid w:val="00fc693f"/>
    <w:rPr>
      <w:rFonts w:ascii="Calibri" w:hAnsi="Calibri" w:eastAsia="ＭＳ ゴシック" w:cs="" w:asciiTheme="majorHAnsi" w:cstheme="majorBidi" w:eastAsiaTheme="majorEastAsia" w:hAnsiTheme="majorHAnsi"/>
      <w:b/>
      <w:bCs/>
      <w:i/>
      <w:iCs/>
      <w:color w:themeColor="accent1" w:val="4F81BD"/>
    </w:rPr>
  </w:style>
  <w:style w:type="character" w:styleId="Heading5Char" w:customStyle="1">
    <w:name w:val="Heading 5 Char"/>
    <w:basedOn w:val="DefaultParagraphFont"/>
    <w:uiPriority w:val="9"/>
    <w:semiHidden/>
    <w:qFormat/>
    <w:rsid w:val="00fc693f"/>
    <w:rPr>
      <w:rFonts w:ascii="Calibri" w:hAnsi="Calibri" w:eastAsia="ＭＳ ゴシック" w:cs="" w:asciiTheme="majorHAnsi" w:cstheme="majorBidi" w:eastAsiaTheme="majorEastAsia" w:hAnsiTheme="majorHAnsi"/>
      <w:color w:themeColor="accent1" w:themeShade="7f" w:val="243F60"/>
    </w:rPr>
  </w:style>
  <w:style w:type="character" w:styleId="Heading6Char" w:customStyle="1">
    <w:name w:val="Heading 6 Char"/>
    <w:basedOn w:val="DefaultParagraphFont"/>
    <w:uiPriority w:val="9"/>
    <w:semiHidden/>
    <w:qFormat/>
    <w:rsid w:val="00fc693f"/>
    <w:rPr>
      <w:rFonts w:ascii="Calibri" w:hAnsi="Calibri" w:eastAsia="ＭＳ ゴシック"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uiPriority w:val="9"/>
    <w:semiHidden/>
    <w:qFormat/>
    <w:rsid w:val="00fc693f"/>
    <w:rPr>
      <w:rFonts w:ascii="Calibri" w:hAnsi="Calibri" w:eastAsia="ＭＳ ゴシック"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paragraph" w:styleId="Style5">
    <w:name w:val="Заголовок"/>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80"/>
      <w:ind w:hanging="360" w:lef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Style6">
    <w:name w:val="Указатель"/>
    <w:basedOn w:val="Normal"/>
    <w:qFormat/>
    <w:pPr>
      <w:suppressLineNumbers/>
    </w:pPr>
    <w:rPr>
      <w:rFonts w:cs="Noto Sans Devanagari"/>
    </w:rPr>
  </w:style>
  <w:style w:type="paragraph" w:styleId="HeaderandFooter">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bidi w:val="0"/>
      <w:spacing w:lineRule="auto" w:line="240" w:before="0" w:after="0"/>
      <w:jc w:val="lef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ＭＳ ゴシック"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80"/>
      <w:ind w:lef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80"/>
      <w:ind w:hanging="360" w:left="720"/>
      <w:contextualSpacing/>
    </w:pPr>
    <w:rPr/>
  </w:style>
  <w:style w:type="paragraph" w:styleId="List3">
    <w:name w:val="List 3"/>
    <w:basedOn w:val="Normal"/>
    <w:uiPriority w:val="99"/>
    <w:unhideWhenUsed/>
    <w:qFormat/>
    <w:rsid w:val="00326f90"/>
    <w:pPr>
      <w:spacing w:before="0" w:after="80"/>
      <w:ind w:hanging="360" w:left="1080"/>
      <w:contextualSpacing/>
    </w:pPr>
    <w:rPr/>
  </w:style>
  <w:style w:type="paragraph" w:styleId="ListBullet">
    <w:name w:val="List Bullet"/>
    <w:basedOn w:val="Normal"/>
    <w:uiPriority w:val="99"/>
    <w:unhideWhenUsed/>
    <w:rsid w:val="00326f90"/>
    <w:pPr>
      <w:numPr>
        <w:ilvl w:val="0"/>
        <w:numId w:val="1"/>
      </w:numPr>
      <w:spacing w:before="0" w:after="80"/>
      <w:contextualSpacing/>
    </w:pPr>
    <w:rPr/>
  </w:style>
  <w:style w:type="paragraph" w:styleId="ListBullet2">
    <w:name w:val="List Bullet 2"/>
    <w:basedOn w:val="Normal"/>
    <w:uiPriority w:val="99"/>
    <w:unhideWhenUsed/>
    <w:rsid w:val="00326f90"/>
    <w:pPr>
      <w:numPr>
        <w:ilvl w:val="0"/>
        <w:numId w:val="2"/>
      </w:numPr>
      <w:spacing w:before="0" w:after="80"/>
      <w:contextualSpacing/>
    </w:pPr>
    <w:rPr/>
  </w:style>
  <w:style w:type="paragraph" w:styleId="ListBullet3">
    <w:name w:val="List Bullet 3"/>
    <w:basedOn w:val="Normal"/>
    <w:uiPriority w:val="99"/>
    <w:unhideWhenUsed/>
    <w:rsid w:val="00326f90"/>
    <w:pPr>
      <w:numPr>
        <w:ilvl w:val="0"/>
        <w:numId w:val="3"/>
      </w:numPr>
      <w:spacing w:before="0" w:after="80"/>
      <w:contextualSpacing/>
    </w:pPr>
    <w:rPr/>
  </w:style>
  <w:style w:type="paragraph" w:styleId="ListNumber">
    <w:name w:val="List Number"/>
    <w:basedOn w:val="Normal"/>
    <w:uiPriority w:val="99"/>
    <w:unhideWhenUsed/>
    <w:rsid w:val="00326f90"/>
    <w:pPr>
      <w:numPr>
        <w:ilvl w:val="0"/>
        <w:numId w:val="4"/>
      </w:numPr>
      <w:spacing w:before="0" w:after="80"/>
      <w:contextualSpacing/>
    </w:pPr>
    <w:rPr/>
  </w:style>
  <w:style w:type="paragraph" w:styleId="ListNumber2">
    <w:name w:val="List Number 2"/>
    <w:basedOn w:val="Normal"/>
    <w:uiPriority w:val="99"/>
    <w:unhideWhenUsed/>
    <w:rsid w:val="0029639d"/>
    <w:pPr>
      <w:numPr>
        <w:ilvl w:val="0"/>
        <w:numId w:val="5"/>
      </w:numPr>
      <w:spacing w:before="0" w:after="80"/>
      <w:contextualSpacing/>
    </w:pPr>
    <w:rPr/>
  </w:style>
  <w:style w:type="paragraph" w:styleId="ListNumber3">
    <w:name w:val="List Number 3"/>
    <w:basedOn w:val="Normal"/>
    <w:uiPriority w:val="99"/>
    <w:unhideWhenUsed/>
    <w:rsid w:val="0029639d"/>
    <w:pPr>
      <w:numPr>
        <w:ilvl w:val="0"/>
        <w:numId w:val="6"/>
      </w:numPr>
      <w:spacing w:before="0" w:after="80"/>
      <w:contextualSpacing/>
    </w:pPr>
    <w:rPr/>
  </w:style>
  <w:style w:type="paragraph" w:styleId="ListContinue">
    <w:name w:val="List Continue"/>
    <w:basedOn w:val="Normal"/>
    <w:uiPriority w:val="99"/>
    <w:unhideWhenUsed/>
    <w:rsid w:val="0029639d"/>
    <w:pPr>
      <w:spacing w:before="0" w:after="120"/>
      <w:ind w:left="360"/>
      <w:contextualSpacing/>
    </w:pPr>
    <w:rPr/>
  </w:style>
  <w:style w:type="paragraph" w:styleId="ListContinue2">
    <w:name w:val="List Continue 2"/>
    <w:basedOn w:val="Normal"/>
    <w:uiPriority w:val="99"/>
    <w:unhideWhenUsed/>
    <w:rsid w:val="0029639d"/>
    <w:pPr>
      <w:spacing w:before="0" w:after="120"/>
      <w:ind w:left="720"/>
      <w:contextualSpacing/>
    </w:pPr>
    <w:rPr/>
  </w:style>
  <w:style w:type="paragraph" w:styleId="ListContinue3">
    <w:name w:val="List Continue 3"/>
    <w:basedOn w:val="Normal"/>
    <w:uiPriority w:val="99"/>
    <w:unhideWhenUsed/>
    <w:rsid w:val="0029639d"/>
    <w:pPr>
      <w:spacing w:before="0" w:after="120"/>
      <w:ind w:left="1080"/>
      <w:contextualSpacing/>
    </w:pPr>
    <w:rPr/>
  </w:style>
  <w:style w:type="paragraph" w:styleId="macro">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lef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themeColor="accent1" w:val="4F81BD"/>
    </w:rPr>
  </w:style>
  <w:style w:type="paragraph" w:styleId="IndexHeading">
    <w:name w:val="Index Heading"/>
    <w:basedOn w:val="Style5"/>
    <w:pPr/>
    <w:rPr/>
  </w:style>
  <w:style w:type="paragraph" w:styleId="TOCHeading">
    <w:name w:val="TOC Heading"/>
    <w:basedOn w:val="Heading1"/>
    <w:next w:val="Normal"/>
    <w:uiPriority w:val="39"/>
    <w:semiHidden/>
    <w:unhideWhenUsed/>
    <w:qFormat/>
    <w:rsid w:val="00fc693f"/>
    <w:pPr>
      <w:outlineLvl w:val="9"/>
    </w:pPr>
    <w:rPr/>
  </w:style>
  <w:style w:type="numbering" w:styleId="Style7" w:default="1">
    <w:name w:val="Без списка"/>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themeColor="text1"/>
      </w:rPr>
      <w:tblPr/>
      <w:tcPr>
        <w:shd w:val="clear" w:color="auto" w:fill="E6E6E6" w:themeFill="tex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themeColor="text1"/>
      </w:rPr>
      <w:tblPr/>
      <w:tcPr>
        <w:shd w:val="clear" w:color="auto" w:fill="EDF2F8" w:themeFill="accen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themeColor="text1"/>
      </w:rPr>
      <w:tblPr/>
      <w:tcPr>
        <w:shd w:val="clear" w:color="auto" w:fill="F8EDED" w:themeFill="accent2"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themeColor="text1"/>
      </w:rPr>
      <w:tblPr/>
      <w:tcPr>
        <w:shd w:val="clear" w:color="auto" w:fill="F5F8EE" w:themeFill="accent3"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themeColor="text1"/>
      </w:rPr>
      <w:tblPr/>
      <w:tcPr>
        <w:shd w:val="clear" w:color="auto" w:fill="F2EFF6" w:themeFill="accent4"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themeColor="text1"/>
      </w:rPr>
      <w:tblPr/>
      <w:tcPr>
        <w:shd w:val="clear" w:color="auto" w:fill="EDF6F9" w:themeFill="accent5"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themeColor="text1"/>
      </w:rPr>
      <w:tblPr/>
      <w:tcPr>
        <w:shd w:val="clear" w:color="auto" w:fill="FEF4EC" w:themeFill="accent6"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000000" w:themeFill="text1" w:themeFillShade="99"/>
      </w:tcPr>
    </w:tblStylePr>
    <w:tblStylePr w:type="firstCol">
      <w:rPr>
        <w:color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themeColor="text1"/>
      </w:rPr>
      <w:tblPr/>
    </w:tblStylePr>
    <w:tblStylePr w:type="nwCell">
      <w:rPr>
        <w:color w:themeColor="text1"/>
      </w:rPr>
      <w:tblPr/>
    </w:tblStylePr>
  </w:style>
  <w:style w:type="table" w:styleId="ColorfulShading-Accent1">
    <w:name w:val="Colorful Shading Accent 1"/>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C4C74" w:themeFill="accent1" w:themeFillShade="99"/>
      </w:tcPr>
    </w:tblStylePr>
    <w:tblStylePr w:type="firstCol">
      <w:rPr>
        <w:color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themeColor="text1"/>
      </w:rPr>
      <w:tblPr/>
    </w:tblStylePr>
    <w:tblStylePr w:type="nwCell">
      <w:rPr>
        <w:color w:themeColor="text1"/>
      </w:rPr>
      <w:tblPr/>
    </w:tblStylePr>
  </w:style>
  <w:style w:type="table" w:styleId="ColorfulShading-Accent2">
    <w:name w:val="Colorful Shading Accent 2"/>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772C2A" w:themeFill="accent2" w:themeFillShade="99"/>
      </w:tcPr>
    </w:tblStylePr>
    <w:tblStylePr w:type="firstCol">
      <w:rPr>
        <w:color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themeColor="text1"/>
      </w:rPr>
      <w:tblPr/>
    </w:tblStylePr>
    <w:tblStylePr w:type="nwCell">
      <w:rPr>
        <w:color w:themeColor="text1"/>
      </w:rPr>
      <w:tblPr/>
    </w:tblStylePr>
  </w:style>
  <w:style w:type="table" w:styleId="ColorfulShading-Accent3">
    <w:name w:val="Colorful Shading Accent 3"/>
    <w:basedOn w:val="TableNormal"/>
    <w:uiPriority w:val="71"/>
    <w:rsid w:val="00cb0664"/>
    <w:pPr>
      <w:spacing w:after="0" w:line="240" w:lineRule="auto"/>
    </w:pPr>
    <w:rPr>
      <w:color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5E7530" w:themeFill="accent3" w:themeFillShade="99"/>
      </w:tcPr>
    </w:tblStylePr>
    <w:tblStylePr w:type="firstCol">
      <w:rPr>
        <w:color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4C3B62" w:themeFill="accent4" w:themeFillShade="99"/>
      </w:tcPr>
    </w:tblStylePr>
    <w:tblStylePr w:type="firstCol">
      <w:rPr>
        <w:color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themeColor="text1"/>
      </w:rPr>
      <w:tblPr/>
    </w:tblStylePr>
    <w:tblStylePr w:type="nwCell">
      <w:rPr>
        <w:color w:themeColor="text1"/>
      </w:rPr>
      <w:tblPr/>
    </w:tblStylePr>
  </w:style>
  <w:style w:type="table" w:styleId="ColorfulShading-Accent5">
    <w:name w:val="Colorful Shading Accent 5"/>
    <w:basedOn w:val="TableNormal"/>
    <w:uiPriority w:val="71"/>
    <w:rsid w:val="00cb0664"/>
    <w:pPr>
      <w:spacing w:after="0" w:line="240" w:lineRule="auto"/>
    </w:pPr>
    <w:rPr>
      <w:color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76A7C" w:themeFill="accent5" w:themeFillShade="99"/>
      </w:tcPr>
    </w:tblStylePr>
    <w:tblStylePr w:type="firstCol">
      <w:rPr>
        <w:color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themeColor="text1"/>
      </w:rPr>
      <w:tblPr/>
    </w:tblStylePr>
    <w:tblStylePr w:type="nwCell">
      <w:rPr>
        <w:color w:themeColor="text1"/>
      </w:rPr>
      <w:tblPr/>
    </w:tblStylePr>
  </w:style>
  <w:style w:type="table" w:styleId="ColorfulShading-Accent6">
    <w:name w:val="Colorful Shading Accent 6"/>
    <w:basedOn w:val="TableNormal"/>
    <w:uiPriority w:val="71"/>
    <w:rsid w:val="00cb0664"/>
    <w:pPr>
      <w:spacing w:after="0" w:line="240" w:lineRule="auto"/>
    </w:pPr>
    <w:rPr>
      <w:color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B65608" w:themeFill="accent6" w:themeFillShade="99"/>
      </w:tcPr>
    </w:tblStylePr>
    <w:tblStylePr w:type="firstCol">
      <w:rPr>
        <w:color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themeColor="text1"/>
      </w:rPr>
      <w:tblPr/>
    </w:tblStylePr>
    <w:tblStylePr w:type="nwCell">
      <w:rPr>
        <w:color w:themeColor="text1"/>
      </w:rPr>
      <w:tblPr/>
    </w:tblStylePr>
  </w:style>
  <w:style w:type="table" w:styleId="ColorfulList">
    <w:name w:val="Colorful List"/>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themeColor="background1"/>
      </w:rPr>
      <w:tblPr/>
      <w:tcPr>
        <w:tcBorders>
          <w:bottom w:val="single" w:color="FFFFFF" w:themeColor="background1" w:sz="12" w:space="0"/>
        </w:tcBorders>
        <w:shd w:val="clear" w:color="auto" w:fill="664E82" w:themeFill="accent4" w:themeFillShade="cc"/>
      </w:tcPr>
    </w:tblStylePr>
    <w:tblStylePr w:type="lastRow">
      <w:rPr>
        <w:b/>
        <w:bCs/>
        <w:color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themeColor="background1"/>
      </w:rPr>
      <w:tblPr/>
      <w:tcPr>
        <w:tcBorders>
          <w:bottom w:val="single" w:color="FFFFFF" w:themeColor="background1" w:sz="12" w:space="0"/>
        </w:tcBorders>
        <w:shd w:val="clear" w:color="auto" w:fill="7E9C40" w:themeFill="accent3" w:themeFillShade="cc"/>
      </w:tcPr>
    </w:tblStylePr>
    <w:tblStylePr w:type="lastRow">
      <w:rPr>
        <w:b/>
        <w:bCs/>
        <w:color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themeColor="background1"/>
      </w:rPr>
      <w:tblPr/>
      <w:tcPr>
        <w:tcBorders>
          <w:bottom w:val="single" w:color="FFFFFF" w:themeColor="background1" w:sz="12" w:space="0"/>
        </w:tcBorders>
        <w:shd w:val="clear" w:color="auto" w:fill="F2730A" w:themeFill="accent6" w:themeFillShade="cc"/>
      </w:tcPr>
    </w:tblStylePr>
    <w:tblStylePr w:type="lastRow">
      <w:rPr>
        <w:b/>
        <w:bCs/>
        <w:color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themeColor="background1"/>
      </w:rPr>
      <w:tblPr/>
      <w:tcPr>
        <w:tcBorders>
          <w:bottom w:val="single" w:color="FFFFFF" w:themeColor="background1" w:sz="12" w:space="0"/>
        </w:tcBorders>
        <w:shd w:val="clear" w:color="auto" w:fill="348DA5" w:themeFill="accent5" w:themeFillShade="cc"/>
      </w:tcPr>
    </w:tblStylePr>
    <w:tblStylePr w:type="lastRow">
      <w:rPr>
        <w:b/>
        <w:bCs/>
        <w:color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themeColor="text1"/>
      </w:rPr>
      <w:tblPr/>
      <w:tcPr>
        <w:shd w:val="clear" w:color="auto" w:fill="999999" w:themeFill="text1" w:themeFillTint="66"/>
      </w:tcPr>
    </w:tblStylePr>
    <w:tblStylePr w:type="firstCol">
      <w:rPr>
        <w:color w:themeColor="background1"/>
      </w:rPr>
      <w:tblPr/>
      <w:tcPr>
        <w:shd w:val="clear" w:color="auto" w:fill="000000" w:themeFill="text1" w:themeFillShade="bf"/>
      </w:tcPr>
    </w:tblStylePr>
    <w:tblStylePr w:type="lastCol">
      <w:rPr>
        <w:color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themeColor="text1"/>
      </w:rPr>
      <w:tblPr/>
      <w:tcPr>
        <w:shd w:val="clear" w:color="auto" w:fill="B8CCE4" w:themeFill="accent1" w:themeFillTint="66"/>
      </w:tcPr>
    </w:tblStylePr>
    <w:tblStylePr w:type="firstCol">
      <w:rPr>
        <w:color w:themeColor="background1"/>
      </w:rPr>
      <w:tblPr/>
      <w:tcPr>
        <w:shd w:val="clear" w:color="auto" w:fill="365F91" w:themeFill="accent1" w:themeFillShade="bf"/>
      </w:tcPr>
    </w:tblStylePr>
    <w:tblStylePr w:type="lastCol">
      <w:rPr>
        <w:color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themeColor="text1"/>
      </w:rPr>
      <w:tblPr/>
      <w:tcPr>
        <w:shd w:val="clear" w:color="auto" w:fill="E5B8B7" w:themeFill="accent2" w:themeFillTint="66"/>
      </w:tcPr>
    </w:tblStylePr>
    <w:tblStylePr w:type="firstCol">
      <w:rPr>
        <w:color w:themeColor="background1"/>
      </w:rPr>
      <w:tblPr/>
      <w:tcPr>
        <w:shd w:val="clear" w:color="auto" w:fill="943634" w:themeFill="accent2" w:themeFillShade="bf"/>
      </w:tcPr>
    </w:tblStylePr>
    <w:tblStylePr w:type="lastCol">
      <w:rPr>
        <w:color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themeColor="text1"/>
      </w:rPr>
      <w:tblPr/>
      <w:tcPr>
        <w:shd w:val="clear" w:color="auto" w:fill="D6E3BC" w:themeFill="accent3" w:themeFillTint="66"/>
      </w:tcPr>
    </w:tblStylePr>
    <w:tblStylePr w:type="firstCol">
      <w:rPr>
        <w:color w:themeColor="background1"/>
      </w:rPr>
      <w:tblPr/>
      <w:tcPr>
        <w:shd w:val="clear" w:color="auto" w:fill="76923C" w:themeFill="accent3" w:themeFillShade="bf"/>
      </w:tcPr>
    </w:tblStylePr>
    <w:tblStylePr w:type="lastCol">
      <w:rPr>
        <w:color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themeColor="text1"/>
      </w:rPr>
      <w:tblPr/>
      <w:tcPr>
        <w:shd w:val="clear" w:color="auto" w:fill="CCC0D9" w:themeFill="accent4" w:themeFillTint="66"/>
      </w:tcPr>
    </w:tblStylePr>
    <w:tblStylePr w:type="firstCol">
      <w:rPr>
        <w:color w:themeColor="background1"/>
      </w:rPr>
      <w:tblPr/>
      <w:tcPr>
        <w:shd w:val="clear" w:color="auto" w:fill="5F497A" w:themeFill="accent4" w:themeFillShade="bf"/>
      </w:tcPr>
    </w:tblStylePr>
    <w:tblStylePr w:type="lastCol">
      <w:rPr>
        <w:color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themeColor="text1"/>
      </w:rPr>
      <w:tblPr/>
      <w:tcPr>
        <w:shd w:val="clear" w:color="auto" w:fill="B6DDE8" w:themeFill="accent5" w:themeFillTint="66"/>
      </w:tcPr>
    </w:tblStylePr>
    <w:tblStylePr w:type="firstCol">
      <w:rPr>
        <w:color w:themeColor="background1"/>
      </w:rPr>
      <w:tblPr/>
      <w:tcPr>
        <w:shd w:val="clear" w:color="auto" w:fill="31849B" w:themeFill="accent5" w:themeFillShade="bf"/>
      </w:tcPr>
    </w:tblStylePr>
    <w:tblStylePr w:type="lastCol">
      <w:rPr>
        <w:color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themeColor="text1"/>
      </w:rPr>
      <w:tblPr/>
      <w:tcPr>
        <w:shd w:val="clear" w:color="auto" w:fill="FBD4B4" w:themeFill="accent6" w:themeFillTint="66"/>
      </w:tcPr>
    </w:tblStylePr>
    <w:tblStylePr w:type="firstCol">
      <w:rPr>
        <w:color w:themeColor="background1"/>
      </w:rPr>
      <w:tblPr/>
      <w:tcPr>
        <w:shd w:val="clear" w:color="auto" w:fill="E36C0A" w:themeFill="accent6" w:themeFillShade="bf"/>
      </w:tcPr>
    </w:tblStylePr>
    <w:tblStylePr w:type="lastCol">
      <w:rPr>
        <w:color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Application>LibreOffice/24.2.7.2$Linux_X86_64 LibreOffice_project/420$Build-2</Application>
  <AppVersion>15.0000</AppVersion>
  <Pages>17</Pages>
  <Words>2838</Words>
  <Characters>15489</Characters>
  <CharactersWithSpaces>16554</CharactersWithSpaces>
  <Paragraphs>1743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ru-RU</dc:language>
  <cp:lastModifiedBy/>
  <dcterms:modified xsi:type="dcterms:W3CDTF">2026-08-07T13:37:26Z</dcterms:modified>
  <cp:revision>2</cp:revision>
  <dc:subject/>
  <dc:title>Additional file 1: Supplementary information</dc:title>
</cp:coreProperties>
</file>

<file path=docProps/custom.xml><?xml version="1.0" encoding="utf-8"?>
<Properties xmlns="http://schemas.openxmlformats.org/officeDocument/2006/custom-properties" xmlns:vt="http://schemas.openxmlformats.org/officeDocument/2006/docPropsVTypes"/>
</file>