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CD836" w14:textId="77777777" w:rsidR="00A92525" w:rsidRPr="001F6F74" w:rsidRDefault="00000000">
      <w:pPr>
        <w:spacing w:line="360" w:lineRule="auto"/>
        <w:jc w:val="center"/>
        <w:rPr>
          <w:rFonts w:ascii="Times New Roman" w:eastAsia="等线" w:hAnsi="Times New Roman" w:cs="Times New Roman"/>
          <w:b/>
          <w:bCs/>
          <w:sz w:val="24"/>
          <w:szCs w:val="24"/>
        </w:rPr>
      </w:pPr>
      <w:r w:rsidRPr="001F6F74">
        <w:rPr>
          <w:rFonts w:ascii="Times New Roman" w:eastAsia="Times New Roman" w:hAnsi="Times New Roman"/>
          <w:b/>
          <w:bCs/>
          <w:sz w:val="28"/>
          <w:szCs w:val="28"/>
        </w:rPr>
        <w:t xml:space="preserve">Mixed </w:t>
      </w:r>
      <w:r w:rsidRPr="001F6F74">
        <w:rPr>
          <w:rFonts w:ascii="Times New Roman" w:eastAsia="Times New Roman" w:hAnsi="Times New Roman"/>
          <w:b/>
          <w:bCs/>
          <w:i/>
          <w:iCs/>
          <w:sz w:val="28"/>
          <w:szCs w:val="28"/>
        </w:rPr>
        <w:t xml:space="preserve">Volvariella </w:t>
      </w:r>
      <w:proofErr w:type="spellStart"/>
      <w:r w:rsidRPr="001F6F74">
        <w:rPr>
          <w:rFonts w:ascii="Times New Roman" w:eastAsia="Times New Roman" w:hAnsi="Times New Roman"/>
          <w:b/>
          <w:bCs/>
          <w:i/>
          <w:iCs/>
          <w:sz w:val="28"/>
          <w:szCs w:val="28"/>
        </w:rPr>
        <w:t>volvacea</w:t>
      </w:r>
      <w:proofErr w:type="spellEnd"/>
      <w:r w:rsidRPr="001F6F74">
        <w:rPr>
          <w:rFonts w:ascii="Times New Roman" w:eastAsia="Times New Roman" w:hAnsi="Times New Roman"/>
          <w:b/>
          <w:bCs/>
          <w:sz w:val="28"/>
          <w:szCs w:val="28"/>
        </w:rPr>
        <w:t xml:space="preserve"> and </w:t>
      </w:r>
      <w:r w:rsidRPr="001F6F74">
        <w:rPr>
          <w:rFonts w:ascii="Times New Roman" w:eastAsia="Times New Roman" w:hAnsi="Times New Roman"/>
          <w:b/>
          <w:bCs/>
          <w:i/>
          <w:iCs/>
          <w:sz w:val="28"/>
          <w:szCs w:val="28"/>
        </w:rPr>
        <w:t>Lentinus edodes</w:t>
      </w:r>
      <w:r w:rsidRPr="001F6F74">
        <w:rPr>
          <w:rFonts w:ascii="Times New Roman" w:eastAsia="Times New Roman" w:hAnsi="Times New Roman"/>
          <w:b/>
          <w:bCs/>
          <w:sz w:val="28"/>
          <w:szCs w:val="28"/>
        </w:rPr>
        <w:t xml:space="preserve"> extracts improve umami, aroma balance, and antioxidant capacity of soy sauce as a gastronomic condiment</w:t>
      </w:r>
    </w:p>
    <w:p w14:paraId="445B9230" w14:textId="05EF9A3D" w:rsidR="00A92525" w:rsidRPr="001F6F74" w:rsidRDefault="00000000">
      <w:pPr>
        <w:spacing w:line="480" w:lineRule="auto"/>
        <w:rPr>
          <w:rFonts w:ascii="Times New Roman" w:hAnsi="Times New Roman" w:cs="Times New Roman"/>
          <w:b/>
          <w:sz w:val="24"/>
          <w:szCs w:val="24"/>
        </w:rPr>
      </w:pPr>
      <w:r w:rsidRPr="001F6F74">
        <w:rPr>
          <w:rFonts w:ascii="Times New Roman" w:hAnsi="Times New Roman" w:cs="Times New Roman"/>
          <w:b/>
          <w:sz w:val="24"/>
          <w:szCs w:val="24"/>
        </w:rPr>
        <w:t>Materials and methods</w:t>
      </w:r>
    </w:p>
    <w:p w14:paraId="08041ECC" w14:textId="1E2D84AA" w:rsidR="00A92525" w:rsidRPr="001F6F74" w:rsidRDefault="00DB43FC">
      <w:pPr>
        <w:spacing w:line="480" w:lineRule="auto"/>
        <w:rPr>
          <w:rFonts w:ascii="Times New Roman" w:hAnsi="Times New Roman" w:cs="Times New Roman"/>
          <w:b/>
          <w:sz w:val="24"/>
          <w:szCs w:val="24"/>
        </w:rPr>
      </w:pPr>
      <w:r>
        <w:rPr>
          <w:rFonts w:ascii="Times New Roman" w:hAnsi="Times New Roman" w:cs="Times New Roman" w:hint="eastAsia"/>
          <w:b/>
          <w:sz w:val="24"/>
          <w:szCs w:val="24"/>
        </w:rPr>
        <w:t>M</w:t>
      </w:r>
      <w:r w:rsidRPr="001F6F74">
        <w:rPr>
          <w:rFonts w:ascii="Times New Roman" w:hAnsi="Times New Roman" w:cs="Times New Roman"/>
          <w:b/>
          <w:sz w:val="24"/>
          <w:szCs w:val="24"/>
        </w:rPr>
        <w:t>aterial</w:t>
      </w:r>
      <w:r>
        <w:rPr>
          <w:rFonts w:ascii="Times New Roman" w:hAnsi="Times New Roman" w:cs="Times New Roman" w:hint="eastAsia"/>
          <w:b/>
          <w:sz w:val="24"/>
          <w:szCs w:val="24"/>
        </w:rPr>
        <w:t>s</w:t>
      </w:r>
      <w:r w:rsidRPr="001F6F74">
        <w:rPr>
          <w:rFonts w:ascii="Times New Roman" w:hAnsi="Times New Roman" w:cs="Times New Roman"/>
          <w:b/>
          <w:sz w:val="24"/>
          <w:szCs w:val="24"/>
        </w:rPr>
        <w:t xml:space="preserve"> and reagents</w:t>
      </w:r>
    </w:p>
    <w:p w14:paraId="211E260B" w14:textId="77777777" w:rsidR="00A92525" w:rsidRPr="001F6F74" w:rsidRDefault="00000000">
      <w:pPr>
        <w:spacing w:line="480" w:lineRule="auto"/>
        <w:ind w:firstLineChars="200" w:firstLine="480"/>
        <w:rPr>
          <w:rFonts w:ascii="Times New Roman" w:hAnsi="Times New Roman" w:cs="Times New Roman"/>
          <w:iCs/>
          <w:sz w:val="24"/>
          <w:szCs w:val="24"/>
        </w:rPr>
      </w:pPr>
      <w:r w:rsidRPr="001F6F74">
        <w:rPr>
          <w:rFonts w:ascii="Times New Roman" w:hAnsi="Times New Roman" w:cs="Times New Roman" w:hint="eastAsia"/>
          <w:iCs/>
          <w:sz w:val="24"/>
          <w:szCs w:val="24"/>
        </w:rPr>
        <w:t xml:space="preserve">Dried samples of </w:t>
      </w:r>
      <w:r w:rsidRPr="001F6F74">
        <w:rPr>
          <w:rFonts w:ascii="Times New Roman" w:hAnsi="Times New Roman" w:cs="Times New Roman" w:hint="eastAsia"/>
          <w:i/>
          <w:sz w:val="24"/>
          <w:szCs w:val="24"/>
        </w:rPr>
        <w:t>L. edodes</w:t>
      </w:r>
      <w:r w:rsidRPr="001F6F74">
        <w:rPr>
          <w:rFonts w:ascii="Times New Roman" w:hAnsi="Times New Roman" w:cs="Times New Roman" w:hint="eastAsia"/>
          <w:iCs/>
          <w:sz w:val="24"/>
          <w:szCs w:val="24"/>
        </w:rPr>
        <w:t xml:space="preserve"> and </w:t>
      </w:r>
      <w:r w:rsidRPr="001F6F74">
        <w:rPr>
          <w:rFonts w:ascii="Times New Roman" w:hAnsi="Times New Roman" w:cs="Times New Roman" w:hint="eastAsia"/>
          <w:i/>
          <w:sz w:val="24"/>
          <w:szCs w:val="24"/>
        </w:rPr>
        <w:t xml:space="preserve">V. </w:t>
      </w:r>
      <w:proofErr w:type="spellStart"/>
      <w:r w:rsidRPr="001F6F74">
        <w:rPr>
          <w:rFonts w:ascii="Times New Roman" w:hAnsi="Times New Roman" w:cs="Times New Roman" w:hint="eastAsia"/>
          <w:i/>
          <w:sz w:val="24"/>
          <w:szCs w:val="24"/>
        </w:rPr>
        <w:t>volvacea</w:t>
      </w:r>
      <w:proofErr w:type="spellEnd"/>
      <w:r w:rsidRPr="001F6F74">
        <w:rPr>
          <w:rFonts w:ascii="Times New Roman" w:hAnsi="Times New Roman" w:cs="Times New Roman" w:hint="eastAsia"/>
          <w:iCs/>
          <w:sz w:val="24"/>
          <w:szCs w:val="24"/>
        </w:rPr>
        <w:t xml:space="preserve"> were purchased from local supermarkets in Qingyuan County (Zhejiang, China). Raw soy sauce was supplied by Yangzhou </w:t>
      </w:r>
      <w:proofErr w:type="spellStart"/>
      <w:r w:rsidRPr="001F6F74">
        <w:rPr>
          <w:rFonts w:ascii="Times New Roman" w:hAnsi="Times New Roman" w:cs="Times New Roman" w:hint="eastAsia"/>
          <w:iCs/>
          <w:sz w:val="24"/>
          <w:szCs w:val="24"/>
        </w:rPr>
        <w:t>Sanhe</w:t>
      </w:r>
      <w:proofErr w:type="spellEnd"/>
      <w:r w:rsidRPr="001F6F74">
        <w:rPr>
          <w:rFonts w:ascii="Times New Roman" w:hAnsi="Times New Roman" w:cs="Times New Roman" w:hint="eastAsia"/>
          <w:iCs/>
          <w:sz w:val="24"/>
          <w:szCs w:val="24"/>
        </w:rPr>
        <w:t xml:space="preserve"> </w:t>
      </w:r>
      <w:proofErr w:type="spellStart"/>
      <w:r w:rsidRPr="001F6F74">
        <w:rPr>
          <w:rFonts w:ascii="Times New Roman" w:hAnsi="Times New Roman" w:cs="Times New Roman" w:hint="eastAsia"/>
          <w:iCs/>
          <w:sz w:val="24"/>
          <w:szCs w:val="24"/>
        </w:rPr>
        <w:t>Simei</w:t>
      </w:r>
      <w:proofErr w:type="spellEnd"/>
      <w:r w:rsidRPr="001F6F74">
        <w:rPr>
          <w:rFonts w:ascii="Times New Roman" w:hAnsi="Times New Roman" w:cs="Times New Roman" w:hint="eastAsia"/>
          <w:iCs/>
          <w:sz w:val="24"/>
          <w:szCs w:val="24"/>
        </w:rPr>
        <w:t xml:space="preserve"> Pickles Co., Ltd. (Jiangsu, China).</w:t>
      </w:r>
    </w:p>
    <w:p w14:paraId="1CA634BD" w14:textId="77777777" w:rsidR="00A92525" w:rsidRPr="001F6F74" w:rsidRDefault="00000000">
      <w:pPr>
        <w:spacing w:line="480" w:lineRule="auto"/>
        <w:ind w:firstLineChars="200" w:firstLine="480"/>
        <w:rPr>
          <w:rFonts w:ascii="Times New Roman" w:hAnsi="Times New Roman" w:cs="Times New Roman"/>
          <w:sz w:val="24"/>
          <w:szCs w:val="24"/>
        </w:rPr>
      </w:pPr>
      <w:r w:rsidRPr="001F6F74">
        <w:rPr>
          <w:rFonts w:ascii="Times New Roman" w:hAnsi="Times New Roman" w:cs="Times New Roman" w:hint="eastAsia"/>
          <w:iCs/>
          <w:sz w:val="24"/>
          <w:szCs w:val="24"/>
        </w:rPr>
        <w:t>All reagents used in this study were of analytical grade. Potassium chloride, tartaric acid, ethanol, potassium hydroxide, hydrochloric acid, anhydrous glucose, phenol, sulfuric acid, and sodium hydroxide were purchased from Sinopharm Chemical Reagent Co., Ltd. (Shanghai, China). Folin-</w:t>
      </w:r>
      <w:proofErr w:type="spellStart"/>
      <w:r w:rsidRPr="001F6F74">
        <w:rPr>
          <w:rFonts w:ascii="Times New Roman" w:hAnsi="Times New Roman" w:cs="Times New Roman" w:hint="eastAsia"/>
          <w:iCs/>
          <w:sz w:val="24"/>
          <w:szCs w:val="24"/>
        </w:rPr>
        <w:t>Ciocalteu</w:t>
      </w:r>
      <w:proofErr w:type="spellEnd"/>
      <w:r w:rsidRPr="001F6F74">
        <w:rPr>
          <w:rFonts w:ascii="Times New Roman" w:hAnsi="Times New Roman" w:cs="Times New Roman" w:hint="eastAsia"/>
          <w:iCs/>
          <w:sz w:val="24"/>
          <w:szCs w:val="24"/>
        </w:rPr>
        <w:t xml:space="preserve"> reagent was obtained from Shanghai Macklin Biochemical Co., Ltd. (Shanghai, China). Gallic acid, anhydrous sodium carbonate, and ascorbic acid were purchased from Aladdin Biochemical Technology Co., Ltd. (Shanghai, China). DPPH reagent was purchased from </w:t>
      </w:r>
      <w:proofErr w:type="spellStart"/>
      <w:r w:rsidRPr="001F6F74">
        <w:rPr>
          <w:rFonts w:ascii="Times New Roman" w:hAnsi="Times New Roman" w:cs="Times New Roman" w:hint="eastAsia"/>
          <w:iCs/>
          <w:sz w:val="24"/>
          <w:szCs w:val="24"/>
        </w:rPr>
        <w:t>Solarbio</w:t>
      </w:r>
      <w:proofErr w:type="spellEnd"/>
      <w:r w:rsidRPr="001F6F74">
        <w:rPr>
          <w:rFonts w:ascii="Times New Roman" w:hAnsi="Times New Roman" w:cs="Times New Roman" w:hint="eastAsia"/>
          <w:iCs/>
          <w:sz w:val="24"/>
          <w:szCs w:val="24"/>
        </w:rPr>
        <w:t xml:space="preserve"> Science and Technology Co., Ltd. (Beijing, China).</w:t>
      </w:r>
    </w:p>
    <w:p w14:paraId="2F41E7BD" w14:textId="714E104A" w:rsidR="00A92525" w:rsidRPr="001F6F74" w:rsidRDefault="003928A5">
      <w:pPr>
        <w:spacing w:line="480" w:lineRule="auto"/>
        <w:rPr>
          <w:rFonts w:ascii="Times New Roman" w:hAnsi="Times New Roman" w:cs="Times New Roman"/>
          <w:b/>
          <w:sz w:val="24"/>
          <w:szCs w:val="24"/>
        </w:rPr>
      </w:pPr>
      <w:r w:rsidRPr="003928A5">
        <w:rPr>
          <w:rFonts w:ascii="Times New Roman" w:hAnsi="Times New Roman" w:cs="Times New Roman"/>
          <w:b/>
          <w:sz w:val="24"/>
          <w:szCs w:val="24"/>
        </w:rPr>
        <w:t>Preparation and screening of mushroom extracts</w:t>
      </w:r>
    </w:p>
    <w:p w14:paraId="4896CDD0" w14:textId="77777777" w:rsidR="003928A5" w:rsidRPr="003928A5" w:rsidRDefault="00000000" w:rsidP="003928A5">
      <w:pPr>
        <w:spacing w:line="480" w:lineRule="auto"/>
        <w:ind w:firstLineChars="200" w:firstLine="480"/>
        <w:rPr>
          <w:rFonts w:ascii="Times New Roman" w:hAnsi="Times New Roman" w:cs="Times New Roman"/>
          <w:sz w:val="24"/>
          <w:szCs w:val="24"/>
        </w:rPr>
      </w:pPr>
      <w:r w:rsidRPr="001F6F74">
        <w:rPr>
          <w:rFonts w:ascii="Times New Roman" w:hAnsi="Times New Roman" w:cs="Times New Roman"/>
          <w:sz w:val="24"/>
          <w:szCs w:val="24"/>
        </w:rPr>
        <w:t xml:space="preserve">Cleaned and dried samples of </w:t>
      </w:r>
      <w:r w:rsidRPr="001F6F74">
        <w:rPr>
          <w:rFonts w:ascii="Times New Roman" w:hAnsi="Times New Roman" w:cs="Times New Roman"/>
          <w:i/>
          <w:iCs/>
          <w:sz w:val="24"/>
          <w:szCs w:val="24"/>
        </w:rPr>
        <w:t>L. edodes</w:t>
      </w:r>
      <w:r w:rsidRPr="001F6F74">
        <w:rPr>
          <w:rFonts w:ascii="Times New Roman" w:hAnsi="Times New Roman" w:cs="Times New Roman"/>
          <w:sz w:val="24"/>
          <w:szCs w:val="24"/>
        </w:rPr>
        <w:t xml:space="preserve"> and </w:t>
      </w:r>
      <w:r w:rsidRPr="001F6F74">
        <w:rPr>
          <w:rFonts w:ascii="Times New Roman" w:hAnsi="Times New Roman" w:cs="Times New Roman"/>
          <w:i/>
          <w:iCs/>
          <w:sz w:val="24"/>
          <w:szCs w:val="24"/>
        </w:rPr>
        <w:t xml:space="preserve">V. </w:t>
      </w:r>
      <w:proofErr w:type="spellStart"/>
      <w:r w:rsidRPr="001F6F74">
        <w:rPr>
          <w:rFonts w:ascii="Times New Roman" w:hAnsi="Times New Roman" w:cs="Times New Roman"/>
          <w:i/>
          <w:iCs/>
          <w:sz w:val="24"/>
          <w:szCs w:val="24"/>
        </w:rPr>
        <w:t>volvacea</w:t>
      </w:r>
      <w:proofErr w:type="spellEnd"/>
      <w:r w:rsidRPr="001F6F74">
        <w:rPr>
          <w:rFonts w:ascii="Times New Roman" w:hAnsi="Times New Roman" w:cs="Times New Roman"/>
          <w:sz w:val="24"/>
          <w:szCs w:val="24"/>
        </w:rPr>
        <w:t xml:space="preserve"> were ground into powder before extraction. </w:t>
      </w:r>
      <w:r w:rsidR="003928A5" w:rsidRPr="003928A5">
        <w:rPr>
          <w:rFonts w:ascii="Times New Roman" w:hAnsi="Times New Roman" w:cs="Times New Roman" w:hint="eastAsia"/>
          <w:sz w:val="24"/>
          <w:szCs w:val="24"/>
        </w:rPr>
        <w:t>Extracts were prepared</w:t>
      </w:r>
      <w:r w:rsidR="003928A5" w:rsidRPr="003928A5">
        <w:rPr>
          <w:rFonts w:ascii="Times New Roman" w:hAnsi="Times New Roman" w:cs="Times New Roman"/>
          <w:sz w:val="24"/>
          <w:szCs w:val="24"/>
        </w:rPr>
        <w:t xml:space="preserve"> by combined hot-water and ultrasound-assisted extraction. Single-factor experiments examined solid-to-liquid ratios of 1:10, 1:20, 1:30, and 1:50 (w/w); extraction temperatures of 40, 60, and 80 °C; and ultrasonication times of 30, 60, and 90 min. After extraction, the mixtures were </w:t>
      </w:r>
      <w:r w:rsidR="003928A5" w:rsidRPr="003928A5">
        <w:rPr>
          <w:rFonts w:ascii="Times New Roman" w:hAnsi="Times New Roman" w:cs="Times New Roman"/>
          <w:sz w:val="24"/>
          <w:szCs w:val="24"/>
        </w:rPr>
        <w:lastRenderedPageBreak/>
        <w:t xml:space="preserve">centrifuged at 4000 × </w:t>
      </w:r>
      <w:r w:rsidR="003928A5" w:rsidRPr="003928A5">
        <w:rPr>
          <w:rFonts w:ascii="Times New Roman" w:hAnsi="Times New Roman" w:cs="Times New Roman"/>
          <w:i/>
          <w:iCs/>
          <w:sz w:val="24"/>
          <w:szCs w:val="24"/>
        </w:rPr>
        <w:t>g</w:t>
      </w:r>
      <w:r w:rsidR="003928A5" w:rsidRPr="003928A5">
        <w:rPr>
          <w:rFonts w:ascii="Times New Roman" w:hAnsi="Times New Roman" w:cs="Times New Roman"/>
          <w:sz w:val="24"/>
          <w:szCs w:val="24"/>
        </w:rPr>
        <w:t xml:space="preserve"> for 10 min to remove insoluble material.</w:t>
      </w:r>
    </w:p>
    <w:p w14:paraId="30C0FCDB" w14:textId="441A5A6B" w:rsidR="00A92525" w:rsidRPr="001F6F74" w:rsidRDefault="00000000">
      <w:pPr>
        <w:spacing w:line="480" w:lineRule="auto"/>
        <w:rPr>
          <w:rFonts w:ascii="Times New Roman" w:hAnsi="Times New Roman" w:cs="Times New Roman"/>
          <w:b/>
          <w:sz w:val="24"/>
          <w:szCs w:val="24"/>
        </w:rPr>
      </w:pPr>
      <w:r w:rsidRPr="001F6F74">
        <w:rPr>
          <w:rFonts w:ascii="Times New Roman" w:hAnsi="Times New Roman" w:cs="Times New Roman"/>
          <w:b/>
          <w:sz w:val="24"/>
          <w:szCs w:val="24"/>
        </w:rPr>
        <w:t xml:space="preserve">Determination of </w:t>
      </w:r>
      <w:r w:rsidR="003928A5" w:rsidRPr="003928A5">
        <w:rPr>
          <w:rFonts w:ascii="Times New Roman" w:hAnsi="Times New Roman" w:cs="Times New Roman"/>
          <w:b/>
          <w:sz w:val="24"/>
          <w:szCs w:val="24"/>
        </w:rPr>
        <w:t>total saccharides, phenolics, and antioxidant activity</w:t>
      </w:r>
    </w:p>
    <w:p w14:paraId="76B11FCB" w14:textId="77777777" w:rsidR="00A92525" w:rsidRPr="001F6F74" w:rsidRDefault="00000000">
      <w:pPr>
        <w:spacing w:line="480" w:lineRule="auto"/>
        <w:ind w:firstLineChars="200" w:firstLine="480"/>
        <w:rPr>
          <w:rFonts w:ascii="Times New Roman" w:hAnsi="Times New Roman" w:cs="Times New Roman"/>
          <w:sz w:val="24"/>
          <w:szCs w:val="24"/>
        </w:rPr>
      </w:pPr>
      <w:r w:rsidRPr="001F6F74">
        <w:rPr>
          <w:rFonts w:ascii="Times New Roman" w:hAnsi="Times New Roman" w:cs="Times New Roman"/>
          <w:sz w:val="24"/>
          <w:szCs w:val="24"/>
        </w:rPr>
        <w:t>TSC, TPC, and DPPH radical scavenging activity were used</w:t>
      </w:r>
      <w:r w:rsidRPr="001F6F74">
        <w:rPr>
          <w:rFonts w:ascii="Times New Roman" w:hAnsi="Times New Roman" w:cs="Times New Roman" w:hint="eastAsia"/>
          <w:sz w:val="24"/>
          <w:szCs w:val="24"/>
        </w:rPr>
        <w:t xml:space="preserve"> to select suitable extraction conditions.</w:t>
      </w:r>
    </w:p>
    <w:p w14:paraId="4F3AFCD4" w14:textId="52126C41" w:rsidR="003928A5" w:rsidRPr="003928A5" w:rsidRDefault="003928A5" w:rsidP="003928A5">
      <w:pPr>
        <w:spacing w:line="480" w:lineRule="auto"/>
        <w:ind w:firstLineChars="200" w:firstLine="480"/>
        <w:rPr>
          <w:rFonts w:ascii="Times New Roman" w:eastAsia="Times New Roman" w:hAnsi="Times New Roman"/>
          <w:sz w:val="24"/>
          <w:szCs w:val="24"/>
        </w:rPr>
      </w:pPr>
      <w:r w:rsidRPr="003928A5">
        <w:rPr>
          <w:rFonts w:ascii="Times New Roman" w:eastAsia="Times New Roman" w:hAnsi="Times New Roman" w:hint="eastAsia"/>
          <w:sz w:val="24"/>
          <w:szCs w:val="24"/>
        </w:rPr>
        <w:t>TSC was measured by the phenol-sulfuric acid colorimetric method according to Chinese national standard GB/T 15672-2009. Samples were hydrolyzed with hydrochloric acid, neutralized, and reacted with phenol and concentrated sulfuric acid at 85 °C. Absorbance was measured at 486 nm using a V3000 UV-visible spectrophotometer (</w:t>
      </w:r>
      <w:proofErr w:type="spellStart"/>
      <w:r w:rsidRPr="003928A5">
        <w:rPr>
          <w:rFonts w:ascii="Times New Roman" w:eastAsia="Times New Roman" w:hAnsi="Times New Roman" w:hint="eastAsia"/>
          <w:sz w:val="24"/>
          <w:szCs w:val="24"/>
        </w:rPr>
        <w:t>Mapada</w:t>
      </w:r>
      <w:proofErr w:type="spellEnd"/>
      <w:r w:rsidRPr="003928A5">
        <w:rPr>
          <w:rFonts w:ascii="Times New Roman" w:eastAsia="Times New Roman" w:hAnsi="Times New Roman" w:hint="eastAsia"/>
          <w:sz w:val="24"/>
          <w:szCs w:val="24"/>
        </w:rPr>
        <w:t xml:space="preserve"> Instruments, Shanghai, China). Anhydrous glucose was used as the standard. Results were calculated relative to mushroom dry weight and expressed as mg/g dry weight (mg/g DW).</w:t>
      </w:r>
    </w:p>
    <w:p w14:paraId="2502380B" w14:textId="4E38EF0F" w:rsidR="003928A5" w:rsidRPr="003928A5" w:rsidRDefault="003928A5" w:rsidP="003928A5">
      <w:pPr>
        <w:spacing w:line="480" w:lineRule="auto"/>
        <w:ind w:firstLineChars="200" w:firstLine="480"/>
        <w:rPr>
          <w:rFonts w:ascii="Times New Roman" w:eastAsia="Times New Roman" w:hAnsi="Times New Roman"/>
          <w:sz w:val="24"/>
          <w:szCs w:val="24"/>
        </w:rPr>
      </w:pPr>
      <w:r w:rsidRPr="003928A5">
        <w:rPr>
          <w:rFonts w:ascii="Times New Roman" w:eastAsia="Times New Roman" w:hAnsi="Times New Roman" w:hint="eastAsia"/>
          <w:sz w:val="24"/>
          <w:szCs w:val="24"/>
        </w:rPr>
        <w:t>TPC was measured using a modified Folin-</w:t>
      </w:r>
      <w:proofErr w:type="spellStart"/>
      <w:r w:rsidRPr="003928A5">
        <w:rPr>
          <w:rFonts w:ascii="Times New Roman" w:eastAsia="Times New Roman" w:hAnsi="Times New Roman" w:hint="eastAsia"/>
          <w:sz w:val="24"/>
          <w:szCs w:val="24"/>
        </w:rPr>
        <w:t>Ciocalteu</w:t>
      </w:r>
      <w:proofErr w:type="spellEnd"/>
      <w:r w:rsidRPr="003928A5">
        <w:rPr>
          <w:rFonts w:ascii="Times New Roman" w:eastAsia="Times New Roman" w:hAnsi="Times New Roman" w:hint="eastAsia"/>
          <w:sz w:val="24"/>
          <w:szCs w:val="24"/>
        </w:rPr>
        <w:t xml:space="preserve"> method based on GB/T 31740.3-2015. Diluted sample (50 </w:t>
      </w:r>
      <w:proofErr w:type="spellStart"/>
      <w:r w:rsidRPr="003928A5">
        <w:rPr>
          <w:rFonts w:ascii="Times New Roman" w:eastAsia="Times New Roman" w:hAnsi="Times New Roman" w:hint="eastAsia"/>
          <w:sz w:val="24"/>
          <w:szCs w:val="24"/>
        </w:rPr>
        <w:t>μL</w:t>
      </w:r>
      <w:proofErr w:type="spellEnd"/>
      <w:r w:rsidRPr="003928A5">
        <w:rPr>
          <w:rFonts w:ascii="Times New Roman" w:eastAsia="Times New Roman" w:hAnsi="Times New Roman" w:hint="eastAsia"/>
          <w:sz w:val="24"/>
          <w:szCs w:val="24"/>
        </w:rPr>
        <w:t xml:space="preserve">) was mixed with 50 </w:t>
      </w:r>
      <w:proofErr w:type="spellStart"/>
      <w:r w:rsidRPr="003928A5">
        <w:rPr>
          <w:rFonts w:ascii="Times New Roman" w:eastAsia="Times New Roman" w:hAnsi="Times New Roman" w:hint="eastAsia"/>
          <w:sz w:val="24"/>
          <w:szCs w:val="24"/>
        </w:rPr>
        <w:t>μL</w:t>
      </w:r>
      <w:proofErr w:type="spellEnd"/>
      <w:r w:rsidRPr="003928A5">
        <w:rPr>
          <w:rFonts w:ascii="Times New Roman" w:eastAsia="Times New Roman" w:hAnsi="Times New Roman" w:hint="eastAsia"/>
          <w:sz w:val="24"/>
          <w:szCs w:val="24"/>
        </w:rPr>
        <w:t xml:space="preserve"> of 50% Folin-</w:t>
      </w:r>
      <w:proofErr w:type="spellStart"/>
      <w:r w:rsidRPr="003928A5">
        <w:rPr>
          <w:rFonts w:ascii="Times New Roman" w:eastAsia="Times New Roman" w:hAnsi="Times New Roman" w:hint="eastAsia"/>
          <w:sz w:val="24"/>
          <w:szCs w:val="24"/>
        </w:rPr>
        <w:t>Ciocalteu</w:t>
      </w:r>
      <w:proofErr w:type="spellEnd"/>
      <w:r w:rsidRPr="003928A5">
        <w:rPr>
          <w:rFonts w:ascii="Times New Roman" w:eastAsia="Times New Roman" w:hAnsi="Times New Roman" w:hint="eastAsia"/>
          <w:sz w:val="24"/>
          <w:szCs w:val="24"/>
        </w:rPr>
        <w:t xml:space="preserve"> working solution. After 5 min at 25 °C, 50 </w:t>
      </w:r>
      <w:proofErr w:type="spellStart"/>
      <w:r w:rsidRPr="003928A5">
        <w:rPr>
          <w:rFonts w:ascii="Times New Roman" w:eastAsia="Times New Roman" w:hAnsi="Times New Roman" w:hint="eastAsia"/>
          <w:sz w:val="24"/>
          <w:szCs w:val="24"/>
        </w:rPr>
        <w:t>μL</w:t>
      </w:r>
      <w:proofErr w:type="spellEnd"/>
      <w:r w:rsidRPr="003928A5">
        <w:rPr>
          <w:rFonts w:ascii="Times New Roman" w:eastAsia="Times New Roman" w:hAnsi="Times New Roman" w:hint="eastAsia"/>
          <w:sz w:val="24"/>
          <w:szCs w:val="24"/>
        </w:rPr>
        <w:t xml:space="preserve"> of sodium carbonate solution (100 g/L) was added, and the total volume was adjusted to 250 </w:t>
      </w:r>
      <w:proofErr w:type="spellStart"/>
      <w:r w:rsidRPr="003928A5">
        <w:rPr>
          <w:rFonts w:ascii="Times New Roman" w:eastAsia="Times New Roman" w:hAnsi="Times New Roman" w:hint="eastAsia"/>
          <w:sz w:val="24"/>
          <w:szCs w:val="24"/>
        </w:rPr>
        <w:t>μL</w:t>
      </w:r>
      <w:proofErr w:type="spellEnd"/>
      <w:r w:rsidRPr="003928A5">
        <w:rPr>
          <w:rFonts w:ascii="Times New Roman" w:eastAsia="Times New Roman" w:hAnsi="Times New Roman" w:hint="eastAsia"/>
          <w:sz w:val="24"/>
          <w:szCs w:val="24"/>
        </w:rPr>
        <w:t xml:space="preserve"> with distilled water. The mixture was kept in the dark at 25 °C for 60 min, and absorbance was measured at 765 nm. TPC was calculated from a gallic acid standard curve and expressed as mg gallic acid equivalents per gram dry weight (mg GAE/g DW).</w:t>
      </w:r>
    </w:p>
    <w:p w14:paraId="7D193097" w14:textId="4E82AF11" w:rsidR="00A92525" w:rsidRPr="001F6F74" w:rsidRDefault="003928A5" w:rsidP="003928A5">
      <w:pPr>
        <w:spacing w:line="480" w:lineRule="auto"/>
        <w:ind w:firstLineChars="200" w:firstLine="480"/>
        <w:rPr>
          <w:rFonts w:ascii="Times New Roman" w:hAnsi="Times New Roman" w:cs="Times New Roman"/>
          <w:sz w:val="24"/>
          <w:szCs w:val="24"/>
        </w:rPr>
      </w:pPr>
      <w:r w:rsidRPr="003928A5">
        <w:rPr>
          <w:rFonts w:ascii="Times New Roman" w:eastAsia="Times New Roman" w:hAnsi="Times New Roman" w:hint="eastAsia"/>
          <w:sz w:val="24"/>
          <w:szCs w:val="24"/>
        </w:rPr>
        <w:t>DPPH radical-scavenging activity was determined</w:t>
      </w:r>
      <w:r w:rsidR="001A7EC2">
        <w:rPr>
          <w:rFonts w:ascii="Times New Roman" w:hAnsi="Times New Roman" w:hint="eastAsia"/>
          <w:sz w:val="24"/>
          <w:szCs w:val="24"/>
        </w:rPr>
        <w:t xml:space="preserve"> as follows:</w:t>
      </w:r>
      <w:r w:rsidRPr="003928A5">
        <w:rPr>
          <w:rFonts w:ascii="Times New Roman" w:eastAsia="Times New Roman" w:hAnsi="Times New Roman" w:hint="eastAsia"/>
          <w:sz w:val="24"/>
          <w:szCs w:val="24"/>
        </w:rPr>
        <w:t xml:space="preserve"> </w:t>
      </w:r>
      <w:r w:rsidR="001A7EC2" w:rsidRPr="003928A5">
        <w:rPr>
          <w:rFonts w:ascii="Times New Roman" w:eastAsia="Times New Roman" w:hAnsi="Times New Roman" w:hint="eastAsia"/>
          <w:sz w:val="24"/>
          <w:szCs w:val="24"/>
        </w:rPr>
        <w:t xml:space="preserve">50 </w:t>
      </w:r>
      <w:proofErr w:type="spellStart"/>
      <w:r w:rsidR="001A7EC2" w:rsidRPr="003928A5">
        <w:rPr>
          <w:rFonts w:ascii="Times New Roman" w:eastAsia="Times New Roman" w:hAnsi="Times New Roman" w:hint="eastAsia"/>
          <w:sz w:val="24"/>
          <w:szCs w:val="24"/>
        </w:rPr>
        <w:t>μL</w:t>
      </w:r>
      <w:proofErr w:type="spellEnd"/>
      <w:r w:rsidR="001A7EC2" w:rsidRPr="003928A5">
        <w:rPr>
          <w:rFonts w:ascii="Times New Roman" w:eastAsia="Times New Roman" w:hAnsi="Times New Roman" w:hint="eastAsia"/>
          <w:sz w:val="24"/>
          <w:szCs w:val="24"/>
        </w:rPr>
        <w:t xml:space="preserve"> </w:t>
      </w:r>
      <w:r w:rsidR="001A7EC2">
        <w:rPr>
          <w:rFonts w:ascii="Times New Roman" w:hAnsi="Times New Roman" w:hint="eastAsia"/>
          <w:sz w:val="24"/>
          <w:szCs w:val="24"/>
        </w:rPr>
        <w:t>of d</w:t>
      </w:r>
      <w:r w:rsidRPr="003928A5">
        <w:rPr>
          <w:rFonts w:ascii="Times New Roman" w:eastAsia="Times New Roman" w:hAnsi="Times New Roman" w:hint="eastAsia"/>
          <w:sz w:val="24"/>
          <w:szCs w:val="24"/>
        </w:rPr>
        <w:t xml:space="preserve">iluted extract was mixed with 100 </w:t>
      </w:r>
      <w:proofErr w:type="spellStart"/>
      <w:r w:rsidRPr="003928A5">
        <w:rPr>
          <w:rFonts w:ascii="Times New Roman" w:eastAsia="Times New Roman" w:hAnsi="Times New Roman" w:hint="eastAsia"/>
          <w:sz w:val="24"/>
          <w:szCs w:val="24"/>
        </w:rPr>
        <w:t>μL</w:t>
      </w:r>
      <w:proofErr w:type="spellEnd"/>
      <w:r w:rsidRPr="003928A5">
        <w:rPr>
          <w:rFonts w:ascii="Times New Roman" w:eastAsia="Times New Roman" w:hAnsi="Times New Roman" w:hint="eastAsia"/>
          <w:sz w:val="24"/>
          <w:szCs w:val="24"/>
        </w:rPr>
        <w:t xml:space="preserve"> of DPPH ethanol solution (0.1 mmol/L), kept in the dark at 25 °C for 30 min, and measured at 517 nm. Ethanol replacing the extract served as the reagent blank, whereas extract mixed with ethanol without DPPH served as the </w:t>
      </w:r>
      <w:r w:rsidRPr="003928A5">
        <w:rPr>
          <w:rFonts w:ascii="Times New Roman" w:eastAsia="Times New Roman" w:hAnsi="Times New Roman" w:hint="eastAsia"/>
          <w:sz w:val="24"/>
          <w:szCs w:val="24"/>
        </w:rPr>
        <w:lastRenderedPageBreak/>
        <w:t>sample background. Radical-scavenging activity was expressed as a percentage, and vitamin C equivalent antioxidant capacity was expressed as mg vitamin C equivalents per gram dry weight (mg VCE/g DW).</w:t>
      </w:r>
    </w:p>
    <w:p w14:paraId="4A69FBC7" w14:textId="686336F0" w:rsidR="00A92525" w:rsidRPr="001F6F74" w:rsidRDefault="00000000">
      <w:pPr>
        <w:spacing w:line="480" w:lineRule="auto"/>
        <w:rPr>
          <w:rFonts w:ascii="Times New Roman" w:hAnsi="Times New Roman" w:cs="Times New Roman"/>
          <w:b/>
          <w:sz w:val="24"/>
          <w:szCs w:val="24"/>
        </w:rPr>
      </w:pPr>
      <w:r w:rsidRPr="001F6F74">
        <w:rPr>
          <w:rFonts w:ascii="Times New Roman" w:hAnsi="Times New Roman" w:cs="Times New Roman"/>
          <w:b/>
          <w:sz w:val="24"/>
          <w:szCs w:val="24"/>
        </w:rPr>
        <w:t xml:space="preserve">Preparation of </w:t>
      </w:r>
      <w:r w:rsidR="00666FF5" w:rsidRPr="00666FF5">
        <w:rPr>
          <w:rFonts w:ascii="Times New Roman" w:hAnsi="Times New Roman" w:cs="Times New Roman"/>
          <w:b/>
          <w:sz w:val="24"/>
          <w:szCs w:val="24"/>
        </w:rPr>
        <w:t>mushroom-enriched soy sauce</w:t>
      </w:r>
    </w:p>
    <w:p w14:paraId="5EECE2EC" w14:textId="3C37E69B" w:rsidR="00A92525" w:rsidRPr="001F6F74" w:rsidRDefault="00666FF5">
      <w:pPr>
        <w:spacing w:line="480" w:lineRule="auto"/>
        <w:ind w:firstLineChars="200" w:firstLine="480"/>
        <w:rPr>
          <w:rFonts w:ascii="Times New Roman" w:hAnsi="Times New Roman" w:cs="Times New Roman"/>
          <w:sz w:val="24"/>
          <w:szCs w:val="24"/>
        </w:rPr>
      </w:pPr>
      <w:r w:rsidRPr="00666FF5">
        <w:rPr>
          <w:rFonts w:ascii="Times New Roman" w:hAnsi="Times New Roman" w:cs="Times New Roman"/>
          <w:sz w:val="24"/>
          <w:szCs w:val="24"/>
        </w:rPr>
        <w:t>Extracts prepared under the selected conditions were concentrated under reduced pressure to 5% of their original volume.</w:t>
      </w:r>
      <w:r w:rsidR="00000000" w:rsidRPr="001F6F74">
        <w:rPr>
          <w:rFonts w:ascii="Times New Roman" w:hAnsi="Times New Roman" w:cs="Times New Roman" w:hint="eastAsia"/>
          <w:sz w:val="24"/>
          <w:szCs w:val="24"/>
        </w:rPr>
        <w:t xml:space="preserve"> The concentrated </w:t>
      </w:r>
      <w:r w:rsidR="00000000" w:rsidRPr="001F6F74">
        <w:rPr>
          <w:rFonts w:ascii="Times New Roman" w:hAnsi="Times New Roman" w:cs="Times New Roman" w:hint="eastAsia"/>
          <w:i/>
          <w:iCs/>
          <w:sz w:val="24"/>
          <w:szCs w:val="24"/>
        </w:rPr>
        <w:t xml:space="preserve">V. </w:t>
      </w:r>
      <w:proofErr w:type="spellStart"/>
      <w:r w:rsidR="00000000" w:rsidRPr="001F6F74">
        <w:rPr>
          <w:rFonts w:ascii="Times New Roman" w:hAnsi="Times New Roman" w:cs="Times New Roman" w:hint="eastAsia"/>
          <w:i/>
          <w:iCs/>
          <w:sz w:val="24"/>
          <w:szCs w:val="24"/>
        </w:rPr>
        <w:t>volvacea</w:t>
      </w:r>
      <w:proofErr w:type="spellEnd"/>
      <w:r w:rsidR="00000000" w:rsidRPr="001F6F74">
        <w:rPr>
          <w:rFonts w:ascii="Times New Roman" w:hAnsi="Times New Roman" w:cs="Times New Roman" w:hint="eastAsia"/>
          <w:sz w:val="24"/>
          <w:szCs w:val="24"/>
        </w:rPr>
        <w:t xml:space="preserve"> extract was defined as V, and the concentrated</w:t>
      </w:r>
      <w:r w:rsidR="00000000" w:rsidRPr="001F6F74">
        <w:rPr>
          <w:rFonts w:ascii="Times New Roman" w:hAnsi="Times New Roman" w:cs="Times New Roman" w:hint="eastAsia"/>
          <w:i/>
          <w:iCs/>
          <w:sz w:val="24"/>
          <w:szCs w:val="24"/>
        </w:rPr>
        <w:t xml:space="preserve"> L. edodes</w:t>
      </w:r>
      <w:r w:rsidR="00000000" w:rsidRPr="001F6F74">
        <w:rPr>
          <w:rFonts w:ascii="Times New Roman" w:hAnsi="Times New Roman" w:cs="Times New Roman" w:hint="eastAsia"/>
          <w:sz w:val="24"/>
          <w:szCs w:val="24"/>
        </w:rPr>
        <w:t xml:space="preserve"> extract was defined as L. These two concentrates were used as flavoring stocks for preparing mushroom-flavored soy sauce.</w:t>
      </w:r>
    </w:p>
    <w:p w14:paraId="40CA6B93" w14:textId="54E5DD69" w:rsidR="00A92525" w:rsidRPr="001F6F74" w:rsidRDefault="00666FF5">
      <w:pPr>
        <w:spacing w:line="480" w:lineRule="auto"/>
        <w:ind w:firstLineChars="200" w:firstLine="480"/>
        <w:rPr>
          <w:rFonts w:ascii="Times New Roman" w:hAnsi="Times New Roman" w:cs="Times New Roman"/>
          <w:sz w:val="24"/>
          <w:szCs w:val="24"/>
        </w:rPr>
      </w:pPr>
      <w:r w:rsidRPr="00666FF5">
        <w:rPr>
          <w:rFonts w:ascii="Times New Roman" w:eastAsia="Times New Roman" w:hAnsi="Times New Roman"/>
          <w:sz w:val="24"/>
          <w:szCs w:val="24"/>
        </w:rPr>
        <w:t>Commercial soy sauce was used as the base matrix. The control (C) contained no mushroom concentrate. For mushroom-enriched samples, V and L were mixed at volume ratios of 1:3, 2:2, and 3:1, and each blend was added to soy sauce at a total level of 2% (v/v). The samples were designated M1, M2, and M3, respectively. For example, 100 mL of M1 contained 98 mL of soy sauce, 0.5 mL of V, and 1.5 mL of L. All samples were mixed and stored at 4 °C for 24 h before analysis.</w:t>
      </w:r>
    </w:p>
    <w:p w14:paraId="308DB933" w14:textId="426C9BCB" w:rsidR="00A92525" w:rsidRPr="001F6F74" w:rsidRDefault="00000000">
      <w:pPr>
        <w:spacing w:line="480" w:lineRule="auto"/>
        <w:rPr>
          <w:rFonts w:ascii="Times New Roman" w:hAnsi="Times New Roman" w:cs="Times New Roman"/>
          <w:b/>
          <w:sz w:val="24"/>
          <w:szCs w:val="24"/>
        </w:rPr>
      </w:pPr>
      <w:r w:rsidRPr="001F6F74">
        <w:rPr>
          <w:rFonts w:ascii="Times New Roman" w:hAnsi="Times New Roman" w:cs="Times New Roman"/>
          <w:b/>
          <w:sz w:val="24"/>
          <w:szCs w:val="24"/>
        </w:rPr>
        <w:t>Flavor analysis</w:t>
      </w:r>
    </w:p>
    <w:p w14:paraId="4806A85A" w14:textId="77777777" w:rsidR="00A92525" w:rsidRPr="001F6F74" w:rsidRDefault="00000000">
      <w:pPr>
        <w:spacing w:line="480" w:lineRule="auto"/>
        <w:ind w:firstLineChars="200" w:firstLine="480"/>
        <w:rPr>
          <w:rFonts w:ascii="Times New Roman" w:hAnsi="Times New Roman" w:cs="Times New Roman"/>
          <w:sz w:val="24"/>
          <w:szCs w:val="24"/>
        </w:rPr>
      </w:pPr>
      <w:r w:rsidRPr="001F6F74">
        <w:rPr>
          <w:rFonts w:ascii="Times New Roman" w:eastAsia="Times New Roman" w:hAnsi="Times New Roman"/>
          <w:sz w:val="24"/>
          <w:szCs w:val="24"/>
        </w:rPr>
        <w:t xml:space="preserve">Aroma profiles were </w:t>
      </w:r>
      <w:r w:rsidRPr="001F6F74">
        <w:rPr>
          <w:rFonts w:ascii="Times New Roman" w:hAnsi="Times New Roman" w:hint="eastAsia"/>
          <w:sz w:val="24"/>
          <w:szCs w:val="24"/>
        </w:rPr>
        <w:t>analyzed</w:t>
      </w:r>
      <w:r w:rsidRPr="001F6F74">
        <w:rPr>
          <w:rFonts w:ascii="Times New Roman" w:eastAsia="Times New Roman" w:hAnsi="Times New Roman"/>
          <w:sz w:val="24"/>
          <w:szCs w:val="24"/>
        </w:rPr>
        <w:t xml:space="preserve"> using a PEN3 electronic nose system (</w:t>
      </w:r>
      <w:proofErr w:type="spellStart"/>
      <w:r w:rsidRPr="001F6F74">
        <w:rPr>
          <w:rFonts w:ascii="Times New Roman" w:eastAsia="Times New Roman" w:hAnsi="Times New Roman"/>
          <w:sz w:val="24"/>
          <w:szCs w:val="24"/>
        </w:rPr>
        <w:t>Airsense</w:t>
      </w:r>
      <w:proofErr w:type="spellEnd"/>
      <w:r w:rsidRPr="001F6F74">
        <w:rPr>
          <w:rFonts w:ascii="Times New Roman" w:eastAsia="Times New Roman" w:hAnsi="Times New Roman"/>
          <w:sz w:val="24"/>
          <w:szCs w:val="24"/>
        </w:rPr>
        <w:t xml:space="preserve"> Analytics, Schwerin, Germany). Briefly, 2.00 mL of 5-fold diluted soy sauce was sealed in a 10 mL vial and equilibrated at 60 °C for 15 min. </w:t>
      </w:r>
      <w:proofErr w:type="gramStart"/>
      <w:r w:rsidRPr="001F6F74">
        <w:rPr>
          <w:rFonts w:ascii="Times New Roman" w:eastAsia="Times New Roman" w:hAnsi="Times New Roman"/>
          <w:sz w:val="24"/>
          <w:szCs w:val="24"/>
        </w:rPr>
        <w:t>Clean</w:t>
      </w:r>
      <w:proofErr w:type="gramEnd"/>
      <w:r w:rsidRPr="001F6F74">
        <w:rPr>
          <w:rFonts w:ascii="Times New Roman" w:eastAsia="Times New Roman" w:hAnsi="Times New Roman"/>
          <w:sz w:val="24"/>
          <w:szCs w:val="24"/>
        </w:rPr>
        <w:t xml:space="preserve"> air was </w:t>
      </w:r>
      <w:r w:rsidRPr="001F6F74">
        <w:rPr>
          <w:rFonts w:ascii="Times New Roman" w:hAnsi="Times New Roman" w:hint="eastAsia"/>
          <w:sz w:val="24"/>
          <w:szCs w:val="24"/>
        </w:rPr>
        <w:t>served</w:t>
      </w:r>
      <w:r w:rsidRPr="001F6F74">
        <w:rPr>
          <w:rFonts w:ascii="Times New Roman" w:eastAsia="Times New Roman" w:hAnsi="Times New Roman"/>
          <w:sz w:val="24"/>
          <w:szCs w:val="24"/>
        </w:rPr>
        <w:t xml:space="preserve"> as the carrier gas at 150 mL/min. The headspace generation temperature was 70 °C, and the injection volume was 500 </w:t>
      </w:r>
      <w:proofErr w:type="spellStart"/>
      <w:r w:rsidRPr="001F6F74">
        <w:rPr>
          <w:rFonts w:ascii="Times New Roman" w:eastAsia="Times New Roman" w:hAnsi="Times New Roman"/>
          <w:sz w:val="24"/>
          <w:szCs w:val="24"/>
        </w:rPr>
        <w:t>μL</w:t>
      </w:r>
      <w:proofErr w:type="spellEnd"/>
      <w:r w:rsidRPr="001F6F74">
        <w:rPr>
          <w:rFonts w:ascii="Times New Roman" w:eastAsia="Times New Roman" w:hAnsi="Times New Roman"/>
          <w:sz w:val="24"/>
          <w:szCs w:val="24"/>
        </w:rPr>
        <w:t xml:space="preserve">. Data were recorded for 120 s, followed by a 100 s sensor purge. Each sample was </w:t>
      </w:r>
      <w:r w:rsidRPr="001F6F74">
        <w:rPr>
          <w:rFonts w:ascii="Times New Roman" w:hAnsi="Times New Roman" w:hint="eastAsia"/>
          <w:sz w:val="24"/>
          <w:szCs w:val="24"/>
        </w:rPr>
        <w:t>analyzed</w:t>
      </w:r>
      <w:r w:rsidRPr="001F6F74">
        <w:rPr>
          <w:rFonts w:ascii="Times New Roman" w:eastAsia="Times New Roman" w:hAnsi="Times New Roman"/>
          <w:sz w:val="24"/>
          <w:szCs w:val="24"/>
        </w:rPr>
        <w:t xml:space="preserve"> five times. Stable signals from the final three replicates were used for analysis.</w:t>
      </w:r>
    </w:p>
    <w:p w14:paraId="427561D5" w14:textId="77777777" w:rsidR="00A92525" w:rsidRPr="001F6F74" w:rsidRDefault="00000000">
      <w:pPr>
        <w:spacing w:line="480" w:lineRule="auto"/>
        <w:ind w:firstLineChars="200" w:firstLine="480"/>
        <w:rPr>
          <w:rFonts w:ascii="Times New Roman" w:hAnsi="Times New Roman" w:cs="Times New Roman"/>
          <w:sz w:val="24"/>
          <w:szCs w:val="24"/>
        </w:rPr>
      </w:pPr>
      <w:r w:rsidRPr="001F6F74">
        <w:rPr>
          <w:rFonts w:ascii="Times New Roman" w:eastAsia="Times New Roman" w:hAnsi="Times New Roman"/>
          <w:sz w:val="24"/>
          <w:szCs w:val="24"/>
        </w:rPr>
        <w:lastRenderedPageBreak/>
        <w:t xml:space="preserve">Taste attributes were measured using an SA402B electronic tongue system (INSENT, Atsugi, Japan). Soy sauce samples were diluted 200-fold with deionized water. An 80 mL aliquot of each diluted sample was equilibrated at 25 °C before analysis. After sensor activation and calibration, taste responses were recorded for 120 s at a 1.0 s sampling interval. A 120 s cleaning cycle was </w:t>
      </w:r>
      <w:r w:rsidRPr="001F6F74">
        <w:rPr>
          <w:rFonts w:ascii="Times New Roman" w:hAnsi="Times New Roman" w:hint="eastAsia"/>
          <w:sz w:val="24"/>
          <w:szCs w:val="24"/>
        </w:rPr>
        <w:t>applie</w:t>
      </w:r>
      <w:r w:rsidRPr="001F6F74">
        <w:rPr>
          <w:rFonts w:ascii="Times New Roman" w:eastAsia="Times New Roman" w:hAnsi="Times New Roman"/>
          <w:sz w:val="24"/>
          <w:szCs w:val="24"/>
        </w:rPr>
        <w:t xml:space="preserve">d between measurements. </w:t>
      </w:r>
    </w:p>
    <w:p w14:paraId="2C36F9C1" w14:textId="7C9B12AB" w:rsidR="00A92525" w:rsidRPr="001F6F74" w:rsidRDefault="00000000">
      <w:pPr>
        <w:spacing w:line="480" w:lineRule="auto"/>
        <w:rPr>
          <w:rFonts w:ascii="Times New Roman" w:hAnsi="Times New Roman" w:cs="Times New Roman"/>
          <w:b/>
          <w:sz w:val="24"/>
          <w:szCs w:val="24"/>
        </w:rPr>
      </w:pPr>
      <w:r w:rsidRPr="001F6F74">
        <w:rPr>
          <w:rFonts w:ascii="Times New Roman" w:hAnsi="Times New Roman" w:cs="Times New Roman"/>
          <w:b/>
          <w:sz w:val="24"/>
          <w:szCs w:val="24"/>
        </w:rPr>
        <w:t>Sensory evaluation</w:t>
      </w:r>
    </w:p>
    <w:p w14:paraId="7FCE6C14" w14:textId="77777777" w:rsidR="00666FF5" w:rsidRPr="00666FF5" w:rsidRDefault="00666FF5" w:rsidP="00666FF5">
      <w:pPr>
        <w:spacing w:line="480" w:lineRule="auto"/>
        <w:ind w:firstLineChars="200" w:firstLine="480"/>
        <w:rPr>
          <w:rFonts w:ascii="Times New Roman" w:hAnsi="Times New Roman" w:cs="Times New Roman" w:hint="eastAsia"/>
          <w:sz w:val="24"/>
          <w:szCs w:val="24"/>
        </w:rPr>
      </w:pPr>
      <w:r w:rsidRPr="00666FF5">
        <w:rPr>
          <w:rFonts w:ascii="Times New Roman" w:hAnsi="Times New Roman" w:cs="Times New Roman" w:hint="eastAsia"/>
          <w:sz w:val="24"/>
          <w:szCs w:val="24"/>
        </w:rPr>
        <w:t>Sensory evaluation was conducted by 34 trained assessors (18 women and 16 men, 19-40 years old). All assessors were informed about the procedure, participated voluntarily, and provided informed consent. No personal identifying information was collected.</w:t>
      </w:r>
    </w:p>
    <w:p w14:paraId="3C5BE533" w14:textId="2D152631" w:rsidR="00A92525" w:rsidRPr="001F6F74" w:rsidRDefault="00666FF5" w:rsidP="00666FF5">
      <w:pPr>
        <w:spacing w:line="480" w:lineRule="auto"/>
        <w:ind w:firstLineChars="200" w:firstLine="480"/>
        <w:rPr>
          <w:rFonts w:ascii="Times New Roman" w:hAnsi="Times New Roman" w:cs="Times New Roman"/>
          <w:sz w:val="24"/>
          <w:szCs w:val="24"/>
        </w:rPr>
      </w:pPr>
      <w:r w:rsidRPr="00666FF5">
        <w:rPr>
          <w:rFonts w:ascii="Times New Roman" w:hAnsi="Times New Roman" w:cs="Times New Roman" w:hint="eastAsia"/>
          <w:sz w:val="24"/>
          <w:szCs w:val="24"/>
        </w:rPr>
        <w:t>The four samples were served in white plastic cups. For taste evaluation, fresh cucumber slices were dipped into each soy sauce sample. Assessors scored umami, saltiness, sourness, bitterness, astringency, sweetness, soy sauce-like aroma, mushroom-like aroma, and off-flavor on a three-point scale: 0, not perceived; 1, slightly perceived; and 2, strongly perceived. The cumulative score for each attribute was the sum of the 34 assessor scores and therefore ranged from 0 to 68.</w:t>
      </w:r>
    </w:p>
    <w:p w14:paraId="2C749FC8" w14:textId="26C0F292" w:rsidR="00A92525" w:rsidRPr="001F6F74" w:rsidRDefault="00000000">
      <w:pPr>
        <w:spacing w:line="480" w:lineRule="auto"/>
        <w:rPr>
          <w:rFonts w:ascii="Times New Roman" w:hAnsi="Times New Roman" w:cs="Times New Roman"/>
          <w:b/>
          <w:sz w:val="24"/>
          <w:szCs w:val="24"/>
        </w:rPr>
      </w:pPr>
      <w:r w:rsidRPr="001F6F74">
        <w:rPr>
          <w:rFonts w:ascii="Times New Roman" w:hAnsi="Times New Roman" w:cs="Times New Roman"/>
          <w:b/>
          <w:sz w:val="24"/>
          <w:szCs w:val="24"/>
        </w:rPr>
        <w:t>Statistical analysis</w:t>
      </w:r>
    </w:p>
    <w:p w14:paraId="13D4F409" w14:textId="0F08B86B" w:rsidR="000F1308" w:rsidRDefault="00666FF5">
      <w:pPr>
        <w:spacing w:line="480" w:lineRule="auto"/>
        <w:ind w:firstLineChars="200" w:firstLine="480"/>
        <w:rPr>
          <w:rFonts w:ascii="Times New Roman" w:hAnsi="Times New Roman" w:cs="Times New Roman" w:hint="eastAsia"/>
          <w:sz w:val="24"/>
          <w:szCs w:val="24"/>
        </w:rPr>
      </w:pPr>
      <w:r w:rsidRPr="00666FF5">
        <w:rPr>
          <w:rFonts w:ascii="Times New Roman" w:hAnsi="Times New Roman" w:cs="Times New Roman"/>
          <w:sz w:val="24"/>
          <w:szCs w:val="24"/>
        </w:rPr>
        <w:t>Chemical and instrumental measurements were performed at least in triplicate, and results are reported as mean ± standard deviation (SD).</w:t>
      </w:r>
      <w:r w:rsidR="0050611C" w:rsidRPr="0050611C">
        <w:rPr>
          <w:rFonts w:ascii="Times New Roman" w:hAnsi="Times New Roman" w:cs="Times New Roman"/>
          <w:sz w:val="24"/>
          <w:szCs w:val="24"/>
        </w:rPr>
        <w:t xml:space="preserve"> One-way analysis of variance (ANOVA) followed by Duncan’s multiple range test was used to compare treatment groups, with significance set at </w:t>
      </w:r>
      <w:r w:rsidR="0050611C" w:rsidRPr="00666FF5">
        <w:rPr>
          <w:rFonts w:ascii="Times New Roman" w:hAnsi="Times New Roman" w:cs="Times New Roman"/>
          <w:i/>
          <w:iCs/>
          <w:sz w:val="24"/>
          <w:szCs w:val="24"/>
        </w:rPr>
        <w:t>p</w:t>
      </w:r>
      <w:r w:rsidR="0050611C" w:rsidRPr="0050611C">
        <w:rPr>
          <w:rFonts w:ascii="Times New Roman" w:hAnsi="Times New Roman" w:cs="Times New Roman"/>
          <w:sz w:val="24"/>
          <w:szCs w:val="24"/>
        </w:rPr>
        <w:t xml:space="preserve"> &lt; 0.05. Electronic-nose and electronic-tongue variables were standardized as z-scores before PCA. For sensory association analysis, </w:t>
      </w:r>
      <w:r w:rsidR="0050611C" w:rsidRPr="0050611C">
        <w:rPr>
          <w:rFonts w:ascii="Times New Roman" w:hAnsi="Times New Roman" w:cs="Times New Roman"/>
          <w:sz w:val="24"/>
          <w:szCs w:val="24"/>
        </w:rPr>
        <w:lastRenderedPageBreak/>
        <w:t>the three technical measurements were first averaged within each formulation (C, M1, M2, and M3) to match the formulation-level sensory data.</w:t>
      </w:r>
      <w:r w:rsidR="000F1308">
        <w:rPr>
          <w:rFonts w:ascii="Times New Roman" w:hAnsi="Times New Roman" w:cs="Times New Roman" w:hint="eastAsia"/>
          <w:sz w:val="24"/>
          <w:szCs w:val="24"/>
        </w:rPr>
        <w:t xml:space="preserve"> </w:t>
      </w:r>
      <w:r w:rsidR="000F1308" w:rsidRPr="0050611C">
        <w:rPr>
          <w:rFonts w:ascii="Times New Roman" w:hAnsi="Times New Roman" w:cs="Times New Roman"/>
          <w:sz w:val="24"/>
          <w:szCs w:val="24"/>
        </w:rPr>
        <w:t>Figures were prepared using Origin 2024 (</w:t>
      </w:r>
      <w:proofErr w:type="spellStart"/>
      <w:r w:rsidR="000F1308" w:rsidRPr="0050611C">
        <w:rPr>
          <w:rFonts w:ascii="Times New Roman" w:hAnsi="Times New Roman" w:cs="Times New Roman"/>
          <w:sz w:val="24"/>
          <w:szCs w:val="24"/>
        </w:rPr>
        <w:t>OriginLab</w:t>
      </w:r>
      <w:proofErr w:type="spellEnd"/>
      <w:r w:rsidR="000F1308" w:rsidRPr="0050611C">
        <w:rPr>
          <w:rFonts w:ascii="Times New Roman" w:hAnsi="Times New Roman" w:cs="Times New Roman"/>
          <w:sz w:val="24"/>
          <w:szCs w:val="24"/>
        </w:rPr>
        <w:t>, Northampton, MA, USA) and Python 3.12</w:t>
      </w:r>
      <w:r w:rsidR="000F1308">
        <w:rPr>
          <w:rFonts w:ascii="Times New Roman" w:hAnsi="Times New Roman" w:cs="Times New Roman" w:hint="eastAsia"/>
          <w:sz w:val="24"/>
          <w:szCs w:val="24"/>
        </w:rPr>
        <w:t xml:space="preserve"> (</w:t>
      </w:r>
      <w:r w:rsidR="000F1308" w:rsidRPr="0050611C">
        <w:rPr>
          <w:rFonts w:ascii="Times New Roman" w:hAnsi="Times New Roman" w:cs="Times New Roman"/>
          <w:sz w:val="24"/>
          <w:szCs w:val="24"/>
        </w:rPr>
        <w:t>Python Software Foundation, Beaverton, Oregon, USA</w:t>
      </w:r>
      <w:r w:rsidR="000F1308">
        <w:rPr>
          <w:rFonts w:ascii="Times New Roman" w:hAnsi="Times New Roman" w:cs="Times New Roman" w:hint="eastAsia"/>
          <w:sz w:val="24"/>
          <w:szCs w:val="24"/>
        </w:rPr>
        <w:t>)</w:t>
      </w:r>
      <w:r w:rsidR="000F1308" w:rsidRPr="0050611C">
        <w:rPr>
          <w:rFonts w:ascii="Times New Roman" w:hAnsi="Times New Roman" w:cs="Times New Roman"/>
          <w:sz w:val="24"/>
          <w:szCs w:val="24"/>
        </w:rPr>
        <w:t>.</w:t>
      </w:r>
    </w:p>
    <w:p w14:paraId="56C3EF11" w14:textId="794E3338" w:rsidR="0050611C" w:rsidRPr="0050611C" w:rsidRDefault="0050611C">
      <w:pPr>
        <w:spacing w:line="480" w:lineRule="auto"/>
        <w:ind w:firstLineChars="200" w:firstLine="480"/>
        <w:rPr>
          <w:rFonts w:ascii="Times New Roman" w:hAnsi="Times New Roman" w:cs="Times New Roman"/>
          <w:sz w:val="24"/>
          <w:szCs w:val="24"/>
        </w:rPr>
      </w:pPr>
      <w:r w:rsidRPr="0050611C">
        <w:rPr>
          <w:rFonts w:ascii="Times New Roman" w:hAnsi="Times New Roman" w:cs="Times New Roman"/>
          <w:sz w:val="24"/>
          <w:szCs w:val="24"/>
        </w:rPr>
        <w:t xml:space="preserve">Centered linear kernel alignment (CKA) was then calculated for the electronic-nose block (10 sensors), electronic-tongue block (8 sensors), and combined instrumental block (18 variables) against sensory umami, soy sauce-like aroma, and their joint two-variable profile. CKA was defined as the normalized Frobenius inner product of the centered linear Gram matrices. One-sided exact </w:t>
      </w:r>
      <w:r w:rsidRPr="0050611C">
        <w:rPr>
          <w:rFonts w:ascii="Times New Roman" w:hAnsi="Times New Roman" w:cs="Times New Roman"/>
          <w:i/>
          <w:iCs/>
          <w:sz w:val="24"/>
          <w:szCs w:val="24"/>
        </w:rPr>
        <w:t>p</w:t>
      </w:r>
      <w:r w:rsidRPr="0050611C">
        <w:rPr>
          <w:rFonts w:ascii="Times New Roman" w:hAnsi="Times New Roman" w:cs="Times New Roman"/>
          <w:sz w:val="24"/>
          <w:szCs w:val="24"/>
        </w:rPr>
        <w:t xml:space="preserve"> values were obtained by enumerating all 4! = 24 permutations of the sensory labels.</w:t>
      </w:r>
    </w:p>
    <w:sectPr w:rsidR="0050611C" w:rsidRPr="0050611C">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87E1D9" w14:textId="77777777" w:rsidR="00F64DD5" w:rsidRDefault="00F64DD5" w:rsidP="00DE650B">
      <w:pPr>
        <w:rPr>
          <w:rFonts w:hint="eastAsia"/>
        </w:rPr>
      </w:pPr>
      <w:r>
        <w:separator/>
      </w:r>
    </w:p>
  </w:endnote>
  <w:endnote w:type="continuationSeparator" w:id="0">
    <w:p w14:paraId="4ABC5CB2" w14:textId="77777777" w:rsidR="00F64DD5" w:rsidRDefault="00F64DD5" w:rsidP="00DE650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C3476" w14:textId="77777777" w:rsidR="00F64DD5" w:rsidRDefault="00F64DD5" w:rsidP="00DE650B">
      <w:pPr>
        <w:rPr>
          <w:rFonts w:hint="eastAsia"/>
        </w:rPr>
      </w:pPr>
      <w:r>
        <w:separator/>
      </w:r>
    </w:p>
  </w:footnote>
  <w:footnote w:type="continuationSeparator" w:id="0">
    <w:p w14:paraId="22AA9712" w14:textId="77777777" w:rsidR="00F64DD5" w:rsidRDefault="00F64DD5" w:rsidP="00DE650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2YzNjBkOTgyNWQ1YTMxYzM3MzMwNWFiODNmOWIzYWMifQ=="/>
    <w:docVar w:name="EN.InstantFormat" w:val="&lt;ENInstantFormat&gt;&lt;Enabled&gt;1&lt;/Enabled&gt;&lt;ScanUnformatted&gt;1&lt;/ScanUnformatted&gt;&lt;ScanChanges&gt;1&lt;/ScanChanges&gt;&lt;Suspended&gt;1&lt;/Suspended&gt;&lt;/ENInstantFormat&gt;"/>
  </w:docVars>
  <w:rsids>
    <w:rsidRoot w:val="00A15D9D"/>
    <w:rsid w:val="00005708"/>
    <w:rsid w:val="0001578F"/>
    <w:rsid w:val="000415ED"/>
    <w:rsid w:val="00043EAA"/>
    <w:rsid w:val="00044142"/>
    <w:rsid w:val="0005282D"/>
    <w:rsid w:val="000604D5"/>
    <w:rsid w:val="0006373A"/>
    <w:rsid w:val="00084D3B"/>
    <w:rsid w:val="00092DD9"/>
    <w:rsid w:val="00095A27"/>
    <w:rsid w:val="000A5502"/>
    <w:rsid w:val="000C440D"/>
    <w:rsid w:val="000C5784"/>
    <w:rsid w:val="000D0BAE"/>
    <w:rsid w:val="000D4C18"/>
    <w:rsid w:val="000E01CD"/>
    <w:rsid w:val="000E48B5"/>
    <w:rsid w:val="000E4CE8"/>
    <w:rsid w:val="000E6EDC"/>
    <w:rsid w:val="000F083D"/>
    <w:rsid w:val="000F1308"/>
    <w:rsid w:val="00107BE8"/>
    <w:rsid w:val="0012233C"/>
    <w:rsid w:val="00124049"/>
    <w:rsid w:val="00134A52"/>
    <w:rsid w:val="0014435B"/>
    <w:rsid w:val="0015077A"/>
    <w:rsid w:val="0017313D"/>
    <w:rsid w:val="00191642"/>
    <w:rsid w:val="001964FC"/>
    <w:rsid w:val="001A7EC2"/>
    <w:rsid w:val="001B026B"/>
    <w:rsid w:val="001B1DD8"/>
    <w:rsid w:val="001C04D1"/>
    <w:rsid w:val="001F0246"/>
    <w:rsid w:val="001F6F74"/>
    <w:rsid w:val="001F770C"/>
    <w:rsid w:val="002023DA"/>
    <w:rsid w:val="0021339A"/>
    <w:rsid w:val="00216DDA"/>
    <w:rsid w:val="00227697"/>
    <w:rsid w:val="00245422"/>
    <w:rsid w:val="00257D46"/>
    <w:rsid w:val="00261DC9"/>
    <w:rsid w:val="00267FE1"/>
    <w:rsid w:val="00275F6E"/>
    <w:rsid w:val="00280A68"/>
    <w:rsid w:val="00290F37"/>
    <w:rsid w:val="002A0AF4"/>
    <w:rsid w:val="002D6393"/>
    <w:rsid w:val="002E5E32"/>
    <w:rsid w:val="002F0AEB"/>
    <w:rsid w:val="002F0BB7"/>
    <w:rsid w:val="002F0F0E"/>
    <w:rsid w:val="003204A1"/>
    <w:rsid w:val="00327654"/>
    <w:rsid w:val="00333E61"/>
    <w:rsid w:val="00365635"/>
    <w:rsid w:val="00371134"/>
    <w:rsid w:val="003928A5"/>
    <w:rsid w:val="00395E35"/>
    <w:rsid w:val="0039705E"/>
    <w:rsid w:val="003B6036"/>
    <w:rsid w:val="003C09D7"/>
    <w:rsid w:val="003C2C78"/>
    <w:rsid w:val="003D6B7C"/>
    <w:rsid w:val="003E161F"/>
    <w:rsid w:val="003E45B0"/>
    <w:rsid w:val="003F20FB"/>
    <w:rsid w:val="003F3F39"/>
    <w:rsid w:val="0040500C"/>
    <w:rsid w:val="00411437"/>
    <w:rsid w:val="00414EBA"/>
    <w:rsid w:val="00427F1A"/>
    <w:rsid w:val="00444847"/>
    <w:rsid w:val="00445863"/>
    <w:rsid w:val="0047449D"/>
    <w:rsid w:val="0048329B"/>
    <w:rsid w:val="004C3015"/>
    <w:rsid w:val="004D4086"/>
    <w:rsid w:val="004D5511"/>
    <w:rsid w:val="004F246C"/>
    <w:rsid w:val="00500782"/>
    <w:rsid w:val="0050611C"/>
    <w:rsid w:val="00521608"/>
    <w:rsid w:val="00535B88"/>
    <w:rsid w:val="00552F74"/>
    <w:rsid w:val="0056269D"/>
    <w:rsid w:val="00565841"/>
    <w:rsid w:val="0057063F"/>
    <w:rsid w:val="00573333"/>
    <w:rsid w:val="00573A21"/>
    <w:rsid w:val="00590ADC"/>
    <w:rsid w:val="005A1289"/>
    <w:rsid w:val="005A53C8"/>
    <w:rsid w:val="005A7E3C"/>
    <w:rsid w:val="005B2AFD"/>
    <w:rsid w:val="005C0A04"/>
    <w:rsid w:val="005E0EC0"/>
    <w:rsid w:val="005F3B7A"/>
    <w:rsid w:val="005F77D4"/>
    <w:rsid w:val="00601280"/>
    <w:rsid w:val="00612814"/>
    <w:rsid w:val="00635671"/>
    <w:rsid w:val="00645CAB"/>
    <w:rsid w:val="00652375"/>
    <w:rsid w:val="00653518"/>
    <w:rsid w:val="00666FF5"/>
    <w:rsid w:val="00690576"/>
    <w:rsid w:val="006A3A23"/>
    <w:rsid w:val="006C29AA"/>
    <w:rsid w:val="006E7A4E"/>
    <w:rsid w:val="006F02D4"/>
    <w:rsid w:val="006F5CA9"/>
    <w:rsid w:val="007043D1"/>
    <w:rsid w:val="00753E7A"/>
    <w:rsid w:val="00760560"/>
    <w:rsid w:val="0077363D"/>
    <w:rsid w:val="00786F44"/>
    <w:rsid w:val="00791C67"/>
    <w:rsid w:val="00795194"/>
    <w:rsid w:val="00797952"/>
    <w:rsid w:val="007A7881"/>
    <w:rsid w:val="007B0C76"/>
    <w:rsid w:val="007B3263"/>
    <w:rsid w:val="007B54A6"/>
    <w:rsid w:val="007B57C1"/>
    <w:rsid w:val="007C1FE4"/>
    <w:rsid w:val="007D0D28"/>
    <w:rsid w:val="007F1ED7"/>
    <w:rsid w:val="007F6427"/>
    <w:rsid w:val="00806651"/>
    <w:rsid w:val="00810725"/>
    <w:rsid w:val="008267B9"/>
    <w:rsid w:val="00827490"/>
    <w:rsid w:val="00836F8C"/>
    <w:rsid w:val="00853522"/>
    <w:rsid w:val="00860B48"/>
    <w:rsid w:val="00865A1E"/>
    <w:rsid w:val="00876444"/>
    <w:rsid w:val="008823AE"/>
    <w:rsid w:val="0088460B"/>
    <w:rsid w:val="0089341C"/>
    <w:rsid w:val="00893C5F"/>
    <w:rsid w:val="008A36F1"/>
    <w:rsid w:val="008B339E"/>
    <w:rsid w:val="008B5B16"/>
    <w:rsid w:val="008D4475"/>
    <w:rsid w:val="008E23AE"/>
    <w:rsid w:val="008E4719"/>
    <w:rsid w:val="008E76CC"/>
    <w:rsid w:val="008F17A3"/>
    <w:rsid w:val="00904879"/>
    <w:rsid w:val="009063AB"/>
    <w:rsid w:val="00936E40"/>
    <w:rsid w:val="00944724"/>
    <w:rsid w:val="00951D16"/>
    <w:rsid w:val="00952510"/>
    <w:rsid w:val="00953BFB"/>
    <w:rsid w:val="009626F7"/>
    <w:rsid w:val="00970930"/>
    <w:rsid w:val="009878FB"/>
    <w:rsid w:val="009911EE"/>
    <w:rsid w:val="00991499"/>
    <w:rsid w:val="009A0215"/>
    <w:rsid w:val="009B0A55"/>
    <w:rsid w:val="009C2B41"/>
    <w:rsid w:val="009C435C"/>
    <w:rsid w:val="009D2735"/>
    <w:rsid w:val="009E6F6F"/>
    <w:rsid w:val="009F05C7"/>
    <w:rsid w:val="00A07F22"/>
    <w:rsid w:val="00A15D9D"/>
    <w:rsid w:val="00A17775"/>
    <w:rsid w:val="00A4646A"/>
    <w:rsid w:val="00A57B36"/>
    <w:rsid w:val="00A648B6"/>
    <w:rsid w:val="00A67C0B"/>
    <w:rsid w:val="00A73844"/>
    <w:rsid w:val="00A74813"/>
    <w:rsid w:val="00A92525"/>
    <w:rsid w:val="00AA1166"/>
    <w:rsid w:val="00AA3E8C"/>
    <w:rsid w:val="00AA5B9F"/>
    <w:rsid w:val="00AB1211"/>
    <w:rsid w:val="00B121DD"/>
    <w:rsid w:val="00B15B95"/>
    <w:rsid w:val="00B163EB"/>
    <w:rsid w:val="00B2083C"/>
    <w:rsid w:val="00B235AA"/>
    <w:rsid w:val="00B2412A"/>
    <w:rsid w:val="00B25836"/>
    <w:rsid w:val="00B33894"/>
    <w:rsid w:val="00B461F2"/>
    <w:rsid w:val="00B626FC"/>
    <w:rsid w:val="00B70445"/>
    <w:rsid w:val="00BB50E5"/>
    <w:rsid w:val="00BC0019"/>
    <w:rsid w:val="00BC141A"/>
    <w:rsid w:val="00BC65A6"/>
    <w:rsid w:val="00BD2476"/>
    <w:rsid w:val="00BF146C"/>
    <w:rsid w:val="00BF193D"/>
    <w:rsid w:val="00C2235D"/>
    <w:rsid w:val="00C3615D"/>
    <w:rsid w:val="00C474EB"/>
    <w:rsid w:val="00C55242"/>
    <w:rsid w:val="00C661AE"/>
    <w:rsid w:val="00C66BA2"/>
    <w:rsid w:val="00C87CDB"/>
    <w:rsid w:val="00C94B0B"/>
    <w:rsid w:val="00CA3BDB"/>
    <w:rsid w:val="00CA7416"/>
    <w:rsid w:val="00CC05A3"/>
    <w:rsid w:val="00CC6134"/>
    <w:rsid w:val="00CD239E"/>
    <w:rsid w:val="00CD30BC"/>
    <w:rsid w:val="00CD7EFC"/>
    <w:rsid w:val="00D05DDA"/>
    <w:rsid w:val="00D0692A"/>
    <w:rsid w:val="00D16D38"/>
    <w:rsid w:val="00D306BA"/>
    <w:rsid w:val="00D3431D"/>
    <w:rsid w:val="00D60A88"/>
    <w:rsid w:val="00D77B4C"/>
    <w:rsid w:val="00D82FB7"/>
    <w:rsid w:val="00D91374"/>
    <w:rsid w:val="00D93338"/>
    <w:rsid w:val="00DA262E"/>
    <w:rsid w:val="00DB2F10"/>
    <w:rsid w:val="00DB43FC"/>
    <w:rsid w:val="00DB4B56"/>
    <w:rsid w:val="00DC1C5C"/>
    <w:rsid w:val="00DE650B"/>
    <w:rsid w:val="00E078ED"/>
    <w:rsid w:val="00E103EF"/>
    <w:rsid w:val="00E20715"/>
    <w:rsid w:val="00E34FA9"/>
    <w:rsid w:val="00E41AFD"/>
    <w:rsid w:val="00E5696B"/>
    <w:rsid w:val="00E62B6C"/>
    <w:rsid w:val="00E64AA8"/>
    <w:rsid w:val="00E67A3D"/>
    <w:rsid w:val="00E70B84"/>
    <w:rsid w:val="00E75B6E"/>
    <w:rsid w:val="00E77BF9"/>
    <w:rsid w:val="00E8174B"/>
    <w:rsid w:val="00E87AA9"/>
    <w:rsid w:val="00E9314E"/>
    <w:rsid w:val="00E9542C"/>
    <w:rsid w:val="00EA085A"/>
    <w:rsid w:val="00EA19FD"/>
    <w:rsid w:val="00EB3D3E"/>
    <w:rsid w:val="00EB4970"/>
    <w:rsid w:val="00EC2570"/>
    <w:rsid w:val="00ED4142"/>
    <w:rsid w:val="00ED770D"/>
    <w:rsid w:val="00EE1D05"/>
    <w:rsid w:val="00EF1E09"/>
    <w:rsid w:val="00EF51CF"/>
    <w:rsid w:val="00F21140"/>
    <w:rsid w:val="00F26C6C"/>
    <w:rsid w:val="00F30D70"/>
    <w:rsid w:val="00F32CDA"/>
    <w:rsid w:val="00F64DD5"/>
    <w:rsid w:val="00F80CCB"/>
    <w:rsid w:val="00F82E46"/>
    <w:rsid w:val="00FA3EE0"/>
    <w:rsid w:val="00FB7E5C"/>
    <w:rsid w:val="00FC238F"/>
    <w:rsid w:val="00FC5C63"/>
    <w:rsid w:val="00FC6C3E"/>
    <w:rsid w:val="00FC715D"/>
    <w:rsid w:val="00FC7C5A"/>
    <w:rsid w:val="00FD0EC8"/>
    <w:rsid w:val="00FE3E9B"/>
    <w:rsid w:val="00FF15C7"/>
    <w:rsid w:val="00FF60EF"/>
    <w:rsid w:val="0CD81BE1"/>
    <w:rsid w:val="16A82624"/>
    <w:rsid w:val="22066450"/>
    <w:rsid w:val="2AD37C29"/>
    <w:rsid w:val="2D9828AF"/>
    <w:rsid w:val="524B4980"/>
    <w:rsid w:val="60C603EA"/>
    <w:rsid w:val="788F7932"/>
    <w:rsid w:val="7904774C"/>
    <w:rsid w:val="7D4D02AD"/>
    <w:rsid w:val="7D8713D1"/>
    <w:rsid w:val="7FE72A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367A86"/>
  <w15:docId w15:val="{DD37E6CA-DF67-473E-90AB-670484C22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autoRedefine/>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semiHidden/>
    <w:unhideWhenUsed/>
    <w:qFormat/>
    <w:rPr>
      <w:rFonts w:ascii="Times New Roman" w:hAnsi="Times New Roman" w:cs="Times New Roman"/>
      <w:sz w:val="24"/>
      <w:szCs w:val="24"/>
    </w:rPr>
  </w:style>
  <w:style w:type="paragraph" w:styleId="ac">
    <w:name w:val="annotation subject"/>
    <w:basedOn w:val="a3"/>
    <w:next w:val="a3"/>
    <w:link w:val="ad"/>
    <w:uiPriority w:val="99"/>
    <w:semiHidden/>
    <w:unhideWhenUsed/>
    <w:qFormat/>
    <w:rPr>
      <w:b/>
      <w:bCs/>
    </w:rPr>
  </w:style>
  <w:style w:type="character" w:styleId="ae">
    <w:name w:val="line number"/>
    <w:basedOn w:val="a0"/>
    <w:uiPriority w:val="99"/>
    <w:semiHidden/>
    <w:unhideWhenUsed/>
    <w:qFormat/>
  </w:style>
  <w:style w:type="character" w:styleId="af">
    <w:name w:val="Hyperlink"/>
    <w:basedOn w:val="a0"/>
    <w:uiPriority w:val="99"/>
    <w:unhideWhenUsed/>
    <w:qFormat/>
    <w:rPr>
      <w:color w:val="0563C1" w:themeColor="hyperlink"/>
      <w:u w:val="single"/>
    </w:rPr>
  </w:style>
  <w:style w:type="character" w:styleId="af0">
    <w:name w:val="annotation reference"/>
    <w:basedOn w:val="a0"/>
    <w:autoRedefine/>
    <w:uiPriority w:val="99"/>
    <w:semiHidden/>
    <w:unhideWhenUsed/>
    <w:qFormat/>
    <w:rPr>
      <w:sz w:val="21"/>
      <w:szCs w:val="21"/>
    </w:rPr>
  </w:style>
  <w:style w:type="character" w:customStyle="1" w:styleId="a4">
    <w:name w:val="批注文字 字符"/>
    <w:basedOn w:val="a0"/>
    <w:link w:val="a3"/>
    <w:uiPriority w:val="99"/>
    <w:semiHidden/>
    <w:qFormat/>
  </w:style>
  <w:style w:type="character" w:customStyle="1" w:styleId="a6">
    <w:name w:val="批注框文本 字符"/>
    <w:basedOn w:val="a0"/>
    <w:link w:val="a5"/>
    <w:uiPriority w:val="99"/>
    <w:semiHidden/>
    <w:qFormat/>
    <w:rPr>
      <w:sz w:val="18"/>
      <w:szCs w:val="18"/>
    </w:rPr>
  </w:style>
  <w:style w:type="character" w:customStyle="1" w:styleId="a8">
    <w:name w:val="页脚 字符"/>
    <w:basedOn w:val="a0"/>
    <w:link w:val="a7"/>
    <w:uiPriority w:val="99"/>
    <w:qFormat/>
    <w:rPr>
      <w:sz w:val="18"/>
      <w:szCs w:val="18"/>
    </w:rPr>
  </w:style>
  <w:style w:type="character" w:customStyle="1" w:styleId="aa">
    <w:name w:val="页眉 字符"/>
    <w:basedOn w:val="a0"/>
    <w:link w:val="a9"/>
    <w:uiPriority w:val="99"/>
    <w:qFormat/>
    <w:rPr>
      <w:sz w:val="18"/>
      <w:szCs w:val="18"/>
    </w:rPr>
  </w:style>
  <w:style w:type="character" w:customStyle="1" w:styleId="ad">
    <w:name w:val="批注主题 字符"/>
    <w:basedOn w:val="a4"/>
    <w:link w:val="ac"/>
    <w:uiPriority w:val="99"/>
    <w:semiHidden/>
    <w:qFormat/>
    <w:rPr>
      <w:b/>
      <w:bCs/>
    </w:rPr>
  </w:style>
  <w:style w:type="paragraph" w:customStyle="1" w:styleId="1">
    <w:name w:val="修订1"/>
    <w:hidden/>
    <w:uiPriority w:val="99"/>
    <w:semiHidden/>
    <w:qFormat/>
    <w:rPr>
      <w:rFonts w:asciiTheme="minorHAnsi" w:eastAsiaTheme="minorEastAsia" w:hAnsiTheme="minorHAnsi" w:cstheme="minorBidi"/>
      <w:kern w:val="2"/>
      <w:sz w:val="21"/>
      <w:szCs w:val="22"/>
    </w:rPr>
  </w:style>
  <w:style w:type="paragraph" w:customStyle="1" w:styleId="EndNoteBibliographyTitle">
    <w:name w:val="EndNote Bibliography Title"/>
    <w:basedOn w:val="a"/>
    <w:link w:val="EndNoteBibliographyTitle0"/>
    <w:qFormat/>
    <w:pPr>
      <w:jc w:val="center"/>
    </w:pPr>
    <w:rPr>
      <w:rFonts w:ascii="等线" w:eastAsia="等线" w:hAnsi="等线"/>
      <w:sz w:val="20"/>
    </w:rPr>
  </w:style>
  <w:style w:type="character" w:customStyle="1" w:styleId="EndNoteBibliographyTitle0">
    <w:name w:val="EndNote Bibliography Title 字符"/>
    <w:basedOn w:val="a0"/>
    <w:link w:val="EndNoteBibliographyTitle"/>
    <w:autoRedefine/>
    <w:qFormat/>
    <w:rPr>
      <w:rFonts w:ascii="等线" w:eastAsia="等线" w:hAnsi="等线"/>
      <w:sz w:val="20"/>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sz w:val="20"/>
    </w:rPr>
  </w:style>
  <w:style w:type="paragraph" w:customStyle="1" w:styleId="2">
    <w:name w:val="修订2"/>
    <w:hidden/>
    <w:uiPriority w:val="99"/>
    <w:semiHidden/>
    <w:qFormat/>
    <w:rPr>
      <w:rFonts w:asciiTheme="minorHAnsi" w:eastAsiaTheme="minorEastAsia" w:hAnsiTheme="minorHAnsi" w:cstheme="minorBidi"/>
      <w:kern w:val="2"/>
      <w:sz w:val="21"/>
      <w:szCs w:val="22"/>
    </w:rPr>
  </w:style>
  <w:style w:type="character" w:customStyle="1" w:styleId="10">
    <w:name w:val="未处理的提及1"/>
    <w:basedOn w:val="a0"/>
    <w:uiPriority w:val="99"/>
    <w:semiHidden/>
    <w:unhideWhenUsed/>
    <w:qFormat/>
    <w:rPr>
      <w:color w:val="605E5C"/>
      <w:shd w:val="clear" w:color="auto" w:fill="E1DFDD"/>
    </w:rPr>
  </w:style>
  <w:style w:type="paragraph" w:customStyle="1" w:styleId="3">
    <w:name w:val="修订3"/>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5</Pages>
  <Words>1081</Words>
  <Characters>5936</Characters>
  <Application>Microsoft Office Word</Application>
  <DocSecurity>0</DocSecurity>
  <Lines>97</Lines>
  <Paragraphs>25</Paragraphs>
  <ScaleCrop>false</ScaleCrop>
  <Company>微软中国</Company>
  <LinksUpToDate>false</LinksUpToDate>
  <CharactersWithSpaces>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明辉 曾</dc:creator>
  <cp:lastModifiedBy>admin</cp:lastModifiedBy>
  <cp:revision>29</cp:revision>
  <dcterms:created xsi:type="dcterms:W3CDTF">2026-07-30T04:23:00Z</dcterms:created>
  <dcterms:modified xsi:type="dcterms:W3CDTF">2026-08-04T03:49:00Z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314A2DBABE7D4093821B57E0FC98979D_12</vt:lpwstr>
  </property>
  <property fmtid="{D5CDD505-2E9C-101B-9397-08002B2CF9AE}" pid="4" name="KSOTemplateDocerSaveRecord">
    <vt:lpwstr>eyJoZGlkIjoiMDMxM2FhYjQxOWEyODg4NjZhMmFhMTlmMzE2MTk2OGUiLCJ1c2VySWQiOiI3MzA3NjkxNTYifQ==</vt:lpwstr>
  </property>
</Properties>
</file>