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b/>
          <w:bCs/>
          <w:color w:val="0B5563"/>
          <w:sz w:val="30"/>
          <w:szCs w:val="30"/>
        </w:rPr>
        <w:t xml:space="preserve">SQUIRE 2.0 reporting checklist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555555"/>
          <w:sz w:val="19"/>
          <w:szCs w:val="19"/>
        </w:rPr>
        <w:t xml:space="preserve">Manuscript: “Change management and workflow redesign for electronic medical record adoption in a high-volume public allergy centre in Pakistan: a mixed-methods quality improvement study” (BMC Health Services Research, research article).</w:t>
      </w:r>
    </w:p>
    <w:p>
      <w:pPr>
        <w:spacing w:after="140"/>
        <w:jc w:val="both"/>
      </w:pPr>
      <w:r>
        <w:rPr>
          <w:rFonts w:ascii="Times New Roman" w:cs="Times New Roman" w:eastAsia="Times New Roman" w:hAnsi="Times New Roman"/>
          <w:color w:val="444444"/>
          <w:sz w:val="19"/>
          <w:szCs w:val="19"/>
        </w:rPr>
        <w:t xml:space="preserve">For BMC Health Services Research this checklist is submitted as an Additional file. SQUIRE 2.0 is the reporting standard for quality improvement work. Add manuscript page numbers to the right-hand column once paginated.</w:t>
      </w:r>
    </w:p>
    <w:tbl>
      <w:tblPr>
        <w:tblW w:type="dxa" w:w="9360"/>
        <w:tblBorders>
          <w:top w:val="single" w:color="9AA5AB" w:sz="4"/>
          <w:left w:val="single" w:color="9AA5AB" w:sz="4"/>
          <w:bottom w:val="single" w:color="9AA5AB" w:sz="4"/>
          <w:right w:val="single" w:color="9AA5AB" w:sz="4"/>
          <w:insideH w:val="single" w:color="auto" w:sz="4"/>
          <w:insideV w:val="single" w:color="auto" w:sz="4"/>
        </w:tblBorders>
      </w:tblPr>
      <w:tblGrid>
        <w:gridCol w:w="620"/>
        <w:gridCol w:w="3000"/>
        <w:gridCol w:w="5740"/>
      </w:tblGrid>
      <w:tr>
        <w:trPr>
          <w:tblHeader/>
        </w:trPr>
        <w:tc>
          <w:tcPr>
            <w:tcW w:type="dxa" w:w="620"/>
            <w:shd w:fill="0B5563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9"/>
                <w:szCs w:val="19"/>
              </w:rPr>
              <w:t xml:space="preserve">No.</w:t>
            </w:r>
          </w:p>
        </w:tc>
        <w:tc>
          <w:tcPr>
            <w:tcW w:type="dxa" w:w="3000"/>
            <w:shd w:fill="0B5563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9"/>
                <w:szCs w:val="19"/>
              </w:rPr>
              <w:t xml:space="preserve">SQUIRE 2.0 item</w:t>
            </w:r>
          </w:p>
        </w:tc>
        <w:tc>
          <w:tcPr>
            <w:tcW w:type="dxa" w:w="5740"/>
            <w:shd w:fill="0B5563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9"/>
                <w:szCs w:val="19"/>
              </w:rPr>
              <w:t xml:space="preserve">Where addressed in the manuscript</w:t>
            </w:r>
          </w:p>
        </w:tc>
      </w:tr>
      <w:tr>
        <w:tc>
          <w:tcPr>
            <w:tcW w:type="dxa" w:w="9360"/>
            <w:gridSpan w:val="3"/>
            <w:shd w:fill="D9E7EC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B5563"/>
                <w:sz w:val="19"/>
                <w:szCs w:val="19"/>
              </w:rPr>
              <w:t xml:space="preserve">Title and abstract</w:t>
            </w:r>
          </w:p>
        </w:tc>
      </w:tr>
      <w:tr>
        <w:tc>
          <w:tcPr>
            <w:tcW w:type="dxa" w:w="620"/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1</w:t>
            </w:r>
          </w:p>
        </w:tc>
        <w:tc>
          <w:tcPr>
            <w:tcW w:type="dxa" w:w="3000"/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Title indicates the report concerns healthcare quality/improvement</w:t>
            </w:r>
          </w:p>
        </w:tc>
        <w:tc>
          <w:tcPr>
            <w:tcW w:type="dxa" w:w="5740"/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Title and title page (article type stated as “Report”; reporting guideline: SQUIRE 2.0).</w:t>
            </w:r>
          </w:p>
        </w:tc>
      </w:tr>
      <w:tr>
        <w:tc>
          <w:tcPr>
            <w:tcW w:type="dxa" w:w="620"/>
            <w:shd w:fill="F2F6F8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2</w:t>
            </w:r>
          </w:p>
        </w:tc>
        <w:tc>
          <w:tcPr>
            <w:tcW w:type="dxa" w:w="3000"/>
            <w:shd w:fill="F2F6F8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Abstract summarises problem, methods, results, conclusions</w:t>
            </w:r>
          </w:p>
        </w:tc>
        <w:tc>
          <w:tcPr>
            <w:tcW w:type="dxa" w:w="5740"/>
            <w:shd w:fill="F2F6F8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Abstract, structured to EMHJ format: Background, Aims, Methods, Results, Conclusion.</w:t>
            </w:r>
          </w:p>
        </w:tc>
      </w:tr>
      <w:tr>
        <w:tc>
          <w:tcPr>
            <w:tcW w:type="dxa" w:w="9360"/>
            <w:gridSpan w:val="3"/>
            <w:shd w:fill="D9E7EC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B5563"/>
                <w:sz w:val="19"/>
                <w:szCs w:val="19"/>
              </w:rPr>
              <w:t xml:space="preserve">Introduction: Why did you start?</w:t>
            </w:r>
          </w:p>
        </w:tc>
      </w:tr>
      <w:tr>
        <w:tc>
          <w:tcPr>
            <w:tcW w:type="dxa" w:w="620"/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3</w:t>
            </w:r>
          </w:p>
        </w:tc>
        <w:tc>
          <w:tcPr>
            <w:tcW w:type="dxa" w:w="3000"/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Problem description: nature and significance of the local problem</w:t>
            </w:r>
          </w:p>
        </w:tc>
        <w:tc>
          <w:tcPr>
            <w:tcW w:type="dxa" w:w="5740"/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Background (paras 1–2): paper-based, first-come-first-served system; queues; fragmented records; staff on manual data entry; shared entrance/exit; regional under-representation.</w:t>
            </w:r>
          </w:p>
        </w:tc>
      </w:tr>
      <w:tr>
        <w:tc>
          <w:tcPr>
            <w:tcW w:type="dxa" w:w="620"/>
            <w:shd w:fill="F2F6F8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4</w:t>
            </w:r>
          </w:p>
        </w:tc>
        <w:tc>
          <w:tcPr>
            <w:tcW w:type="dxa" w:w="3000"/>
            <w:shd w:fill="F2F6F8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Available knowledge: what is already known</w:t>
            </w:r>
          </w:p>
        </w:tc>
        <w:tc>
          <w:tcPr>
            <w:tcW w:type="dxa" w:w="5740"/>
            <w:shd w:fill="F2F6F8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Background (para 1): EMR benefits contingent on integration; failures when treated as IT-only; LMIC barriers; leadership and change management as decisive. Refs (1–18).</w:t>
            </w:r>
          </w:p>
        </w:tc>
      </w:tr>
      <w:tr>
        <w:tc>
          <w:tcPr>
            <w:tcW w:type="dxa" w:w="620"/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5</w:t>
            </w:r>
          </w:p>
        </w:tc>
        <w:tc>
          <w:tcPr>
            <w:tcW w:type="dxa" w:w="3000"/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Rationale: frameworks/theory explaining the problem, intervention and expected outcomes</w:t>
            </w:r>
          </w:p>
        </w:tc>
        <w:tc>
          <w:tcPr>
            <w:tcW w:type="dxa" w:w="5740"/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Background (para 3): explicit reasoning for choosing Kotter’s eight-step model and pairing it with workflow redesign; the causal logic linking these to adoption and improved flow. Refs (13,17).</w:t>
            </w:r>
          </w:p>
        </w:tc>
      </w:tr>
      <w:tr>
        <w:tc>
          <w:tcPr>
            <w:tcW w:type="dxa" w:w="620"/>
            <w:shd w:fill="F2F6F8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6</w:t>
            </w:r>
          </w:p>
        </w:tc>
        <w:tc>
          <w:tcPr>
            <w:tcW w:type="dxa" w:w="3000"/>
            <w:shd w:fill="F2F6F8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Specific aims</w:t>
            </w:r>
          </w:p>
        </w:tc>
        <w:tc>
          <w:tcPr>
            <w:tcW w:type="dxa" w:w="5740"/>
            <w:shd w:fill="F2F6F8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Background (final paragraph: aim of the report).</w:t>
            </w:r>
          </w:p>
        </w:tc>
      </w:tr>
      <w:tr>
        <w:tc>
          <w:tcPr>
            <w:tcW w:type="dxa" w:w="9360"/>
            <w:gridSpan w:val="3"/>
            <w:shd w:fill="D9E7EC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B5563"/>
                <w:sz w:val="19"/>
                <w:szCs w:val="19"/>
              </w:rPr>
              <w:t xml:space="preserve">Methods: What did you do?</w:t>
            </w:r>
          </w:p>
        </w:tc>
      </w:tr>
      <w:tr>
        <w:tc>
          <w:tcPr>
            <w:tcW w:type="dxa" w:w="620"/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7</w:t>
            </w:r>
          </w:p>
        </w:tc>
        <w:tc>
          <w:tcPr>
            <w:tcW w:type="dxa" w:w="3000"/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Context</w:t>
            </w:r>
          </w:p>
        </w:tc>
        <w:tc>
          <w:tcPr>
            <w:tcW w:type="dxa" w:w="5740"/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Methods &gt; Setting, and Table 1.</w:t>
            </w:r>
          </w:p>
        </w:tc>
      </w:tr>
      <w:tr>
        <w:tc>
          <w:tcPr>
            <w:tcW w:type="dxa" w:w="620"/>
            <w:shd w:fill="F2F6F8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8</w:t>
            </w:r>
          </w:p>
        </w:tc>
        <w:tc>
          <w:tcPr>
            <w:tcW w:type="dxa" w:w="3000"/>
            <w:shd w:fill="F2F6F8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Intervention(s) in reproducible detail; the team</w:t>
            </w:r>
          </w:p>
        </w:tc>
        <w:tc>
          <w:tcPr>
            <w:tcW w:type="dxa" w:w="5740"/>
            <w:shd w:fill="F2F6F8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Methods &gt; Intervention; Table 2; Figure 1. Team composition; change-management levers; workflow redesign; measures not implemented and why.</w:t>
            </w:r>
          </w:p>
        </w:tc>
      </w:tr>
      <w:tr>
        <w:tc>
          <w:tcPr>
            <w:tcW w:type="dxa" w:w="620"/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9</w:t>
            </w:r>
          </w:p>
        </w:tc>
        <w:tc>
          <w:tcPr>
            <w:tcW w:type="dxa" w:w="3000"/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Study of the intervention: approach to assessing impact and attributing outcomes</w:t>
            </w:r>
          </w:p>
        </w:tc>
        <w:tc>
          <w:tcPr>
            <w:tcW w:type="dxa" w:w="5740"/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Methods &gt; Analysis. Single-site uncontrolled before/after; concurrent redesign; change reported as association, not effect; no run chart.</w:t>
            </w:r>
          </w:p>
        </w:tc>
      </w:tr>
      <w:tr>
        <w:tc>
          <w:tcPr>
            <w:tcW w:type="dxa" w:w="620"/>
            <w:shd w:fill="F2F6F8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10</w:t>
            </w:r>
          </w:p>
        </w:tc>
        <w:tc>
          <w:tcPr>
            <w:tcW w:type="dxa" w:w="3000"/>
            <w:shd w:fill="F2F6F8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Measures: process and outcome measures; operational definitions; completeness and accuracy</w:t>
            </w:r>
          </w:p>
        </w:tc>
        <w:tc>
          <w:tcPr>
            <w:tcW w:type="dxa" w:w="5740"/>
            <w:shd w:fill="F2F6F8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Methods &gt; Data collection and measures; Table 3. Facility-level observation; several approximate ranges; patient-level EMR data not extractable.</w:t>
            </w:r>
          </w:p>
        </w:tc>
      </w:tr>
      <w:tr>
        <w:tc>
          <w:tcPr>
            <w:tcW w:type="dxa" w:w="620"/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11</w:t>
            </w:r>
          </w:p>
        </w:tc>
        <w:tc>
          <w:tcPr>
            <w:tcW w:type="dxa" w:w="3000"/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Analysis: qualitative and quantitative methods; understanding variation</w:t>
            </w:r>
          </w:p>
        </w:tc>
        <w:tc>
          <w:tcPr>
            <w:tcW w:type="dxa" w:w="5740"/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Methods &gt; Analysis. Descriptive before/after; no statistical testing; qualitative material summarised thematically (not formally coded).</w:t>
            </w:r>
          </w:p>
        </w:tc>
      </w:tr>
      <w:tr>
        <w:tc>
          <w:tcPr>
            <w:tcW w:type="dxa" w:w="620"/>
            <w:shd w:fill="F2F6F8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12</w:t>
            </w:r>
          </w:p>
        </w:tc>
        <w:tc>
          <w:tcPr>
            <w:tcW w:type="dxa" w:w="3000"/>
            <w:shd w:fill="F2F6F8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Ethical considerations</w:t>
            </w:r>
          </w:p>
        </w:tc>
        <w:tc>
          <w:tcPr>
            <w:tcW w:type="dxa" w:w="5740"/>
            <w:shd w:fill="F2F6F8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Methods &gt; Ethical considerations; Declarations &gt; Ethics approval and Informed consent. [Ethics committee/IRB name and number to be inserted.]</w:t>
            </w:r>
          </w:p>
        </w:tc>
      </w:tr>
      <w:tr>
        <w:tc>
          <w:tcPr>
            <w:tcW w:type="dxa" w:w="9360"/>
            <w:gridSpan w:val="3"/>
            <w:shd w:fill="D9E7EC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B5563"/>
                <w:sz w:val="19"/>
                <w:szCs w:val="19"/>
              </w:rPr>
              <w:t xml:space="preserve">Results: What did you find?</w:t>
            </w:r>
          </w:p>
        </w:tc>
      </w:tr>
      <w:tr>
        <w:tc>
          <w:tcPr>
            <w:tcW w:type="dxa" w:w="620"/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13</w:t>
            </w:r>
          </w:p>
        </w:tc>
        <w:tc>
          <w:tcPr>
            <w:tcW w:type="dxa" w:w="3000"/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Results: (a) evolution over time; (b) process/outcome measures; (c) context; (d) associations; (e) unintended consequences; (f) missing data</w:t>
            </w:r>
          </w:p>
        </w:tc>
        <w:tc>
          <w:tcPr>
            <w:tcW w:type="dxa" w:w="5740"/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Results: (a) “Implementation”; (b) “Process and outcome measures”, Table 3, Figure 2; (c–d) reported with measures; (e–f) “Contextual factors, unintended consequences and missing data”.</w:t>
            </w:r>
          </w:p>
        </w:tc>
      </w:tr>
      <w:tr>
        <w:tc>
          <w:tcPr>
            <w:tcW w:type="dxa" w:w="9360"/>
            <w:gridSpan w:val="3"/>
            <w:shd w:fill="D9E7EC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B5563"/>
                <w:sz w:val="19"/>
                <w:szCs w:val="19"/>
              </w:rPr>
              <w:t xml:space="preserve">Discussion: What does it mean?</w:t>
            </w:r>
          </w:p>
        </w:tc>
      </w:tr>
      <w:tr>
        <w:tc>
          <w:tcPr>
            <w:tcW w:type="dxa" w:w="620"/>
            <w:shd w:fill="F2F6F8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14</w:t>
            </w:r>
          </w:p>
        </w:tc>
        <w:tc>
          <w:tcPr>
            <w:tcW w:type="dxa" w:w="3000"/>
            <w:shd w:fill="F2F6F8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Summary: key findings and strengths</w:t>
            </w:r>
          </w:p>
        </w:tc>
        <w:tc>
          <w:tcPr>
            <w:tcW w:type="dxa" w:w="5740"/>
            <w:shd w:fill="F2F6F8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Discussion (para 1).</w:t>
            </w:r>
          </w:p>
        </w:tc>
      </w:tr>
      <w:tr>
        <w:tc>
          <w:tcPr>
            <w:tcW w:type="dxa" w:w="620"/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15</w:t>
            </w:r>
          </w:p>
        </w:tc>
        <w:tc>
          <w:tcPr>
            <w:tcW w:type="dxa" w:w="3000"/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Interpretation: mechanisms; comparison with other reports; costs and strategic trade-offs</w:t>
            </w:r>
          </w:p>
        </w:tc>
        <w:tc>
          <w:tcPr>
            <w:tcW w:type="dxa" w:w="5740"/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Discussion (para 2) and “Implications for practice and policy”: regional Kotter-model precedent (17); opportunity cost of the unfunded appointment system; value realised through the surrounding redesign.</w:t>
            </w:r>
          </w:p>
        </w:tc>
      </w:tr>
      <w:tr>
        <w:tc>
          <w:tcPr>
            <w:tcW w:type="dxa" w:w="620"/>
            <w:shd w:fill="F2F6F8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16</w:t>
            </w:r>
          </w:p>
        </w:tc>
        <w:tc>
          <w:tcPr>
            <w:tcW w:type="dxa" w:w="3000"/>
            <w:shd w:fill="F2F6F8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Limitations: generalisability and internal validity; efforts to minimise</w:t>
            </w:r>
          </w:p>
        </w:tc>
        <w:tc>
          <w:tcPr>
            <w:tcW w:type="dxa" w:w="5740"/>
            <w:shd w:fill="F2F6F8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Discussion &gt; Limitations.</w:t>
            </w:r>
          </w:p>
        </w:tc>
      </w:tr>
      <w:tr>
        <w:tc>
          <w:tcPr>
            <w:tcW w:type="dxa" w:w="620"/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17</w:t>
            </w:r>
          </w:p>
        </w:tc>
        <w:tc>
          <w:tcPr>
            <w:tcW w:type="dxa" w:w="3000"/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Conclusions: usefulness; sustainability; potential for spread; implications</w:t>
            </w:r>
          </w:p>
        </w:tc>
        <w:tc>
          <w:tcPr>
            <w:tcW w:type="dxa" w:w="5740"/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Conclusions.</w:t>
            </w:r>
          </w:p>
        </w:tc>
      </w:tr>
      <w:tr>
        <w:tc>
          <w:tcPr>
            <w:tcW w:type="dxa" w:w="9360"/>
            <w:gridSpan w:val="3"/>
            <w:shd w:fill="D9E7EC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B5563"/>
                <w:sz w:val="19"/>
                <w:szCs w:val="19"/>
              </w:rPr>
              <w:t xml:space="preserve">Other information</w:t>
            </w:r>
          </w:p>
        </w:tc>
      </w:tr>
      <w:tr>
        <w:tc>
          <w:tcPr>
            <w:tcW w:type="dxa" w:w="620"/>
            <w:shd w:fill="F2F6F8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18</w:t>
            </w:r>
          </w:p>
        </w:tc>
        <w:tc>
          <w:tcPr>
            <w:tcW w:type="dxa" w:w="3000"/>
            <w:shd w:fill="F2F6F8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Funding</w:t>
            </w:r>
          </w:p>
        </w:tc>
        <w:tc>
          <w:tcPr>
            <w:tcW w:type="dxa" w:w="5740"/>
            <w:shd w:fill="F2F6F8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0" w:line="23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Declarations &gt; Funding. [To be completed.]</w:t>
            </w:r>
          </w:p>
        </w:tc>
      </w:tr>
    </w:tbl>
    <w:p>
      <w:pPr>
        <w:spacing w:before="14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Reference: Ogrinc G, Davies L, Goodman D, Batalden P, Davidoff F, Stevens D. SQUIRE 2.0: revised publication guidelines from a detailed consensus process. BMJ Qual Saf. 2016;25(12):986–992. Current statement at squire-statement.org.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SQUIRE 2.0 checklist</dc:title>
  <dc:creator>Palwasha Awan</dc:creator>
  <cp:lastModifiedBy>Un-named</cp:lastModifiedBy>
  <cp:revision>1</cp:revision>
  <dcterms:created xsi:type="dcterms:W3CDTF">2026-08-07T09:19:40.145Z</dcterms:created>
  <dcterms:modified xsi:type="dcterms:W3CDTF">2026-08-07T09:19:40.146Z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