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5C12E2" w14:textId="77777777" w:rsidR="00780E81" w:rsidRDefault="00000000">
      <w:r>
        <w:rPr>
          <w:rFonts w:ascii="Times New Roman" w:hAnsi="Times New Roman"/>
          <w:b/>
        </w:rPr>
        <w:t>Table 4: Treatment Approaches and Clinical Outcomes of Patients with Psoas Abscess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86"/>
        <w:gridCol w:w="1846"/>
        <w:gridCol w:w="1848"/>
        <w:gridCol w:w="1854"/>
        <w:gridCol w:w="1842"/>
      </w:tblGrid>
      <w:tr w:rsidR="00780E81" w14:paraId="074B1923" w14:textId="77777777">
        <w:tc>
          <w:tcPr>
            <w:tcW w:w="1872" w:type="dxa"/>
          </w:tcPr>
          <w:p w14:paraId="754D605C" w14:textId="77777777" w:rsidR="00780E81" w:rsidRDefault="00780E81"/>
        </w:tc>
        <w:tc>
          <w:tcPr>
            <w:tcW w:w="1872" w:type="dxa"/>
          </w:tcPr>
          <w:p w14:paraId="347697B8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Total (n=307)</w:t>
            </w:r>
          </w:p>
        </w:tc>
        <w:tc>
          <w:tcPr>
            <w:tcW w:w="1872" w:type="dxa"/>
          </w:tcPr>
          <w:p w14:paraId="44A72FB5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Primary (n=80)</w:t>
            </w:r>
          </w:p>
        </w:tc>
        <w:tc>
          <w:tcPr>
            <w:tcW w:w="1872" w:type="dxa"/>
          </w:tcPr>
          <w:p w14:paraId="5CDDFFA1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Secondary (n=227)</w:t>
            </w:r>
          </w:p>
        </w:tc>
        <w:tc>
          <w:tcPr>
            <w:tcW w:w="1872" w:type="dxa"/>
          </w:tcPr>
          <w:p w14:paraId="4BA4AB43" w14:textId="1742B1F7" w:rsidR="00780E81" w:rsidRDefault="004D1D0B">
            <w:pPr>
              <w:jc w:val="center"/>
            </w:pPr>
            <w:r>
              <w:rPr>
                <w:rFonts w:ascii="Times New Roman" w:hAnsi="Times New Roman"/>
                <w:b/>
              </w:rPr>
              <w:t>p</w:t>
            </w:r>
            <w:r w:rsidR="00000000">
              <w:rPr>
                <w:rFonts w:ascii="Times New Roman" w:hAnsi="Times New Roman"/>
                <w:b/>
              </w:rPr>
              <w:t xml:space="preserve"> value</w:t>
            </w:r>
          </w:p>
        </w:tc>
      </w:tr>
      <w:tr w:rsidR="00780E81" w14:paraId="70A80EE2" w14:textId="77777777">
        <w:tc>
          <w:tcPr>
            <w:tcW w:w="1872" w:type="dxa"/>
          </w:tcPr>
          <w:p w14:paraId="6710077D" w14:textId="77777777" w:rsidR="00780E81" w:rsidRDefault="00000000">
            <w:r>
              <w:rPr>
                <w:rFonts w:ascii="Times New Roman" w:hAnsi="Times New Roman"/>
                <w:b/>
              </w:rPr>
              <w:t>Treatment Approach</w:t>
            </w:r>
          </w:p>
        </w:tc>
        <w:tc>
          <w:tcPr>
            <w:tcW w:w="1872" w:type="dxa"/>
          </w:tcPr>
          <w:p w14:paraId="6CFC33F4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226206E9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25AFE872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6875220C" w14:textId="77777777" w:rsidR="00780E81" w:rsidRDefault="00780E81">
            <w:pPr>
              <w:jc w:val="center"/>
            </w:pPr>
          </w:p>
        </w:tc>
      </w:tr>
      <w:tr w:rsidR="00780E81" w14:paraId="2A12EBB4" w14:textId="77777777">
        <w:tc>
          <w:tcPr>
            <w:tcW w:w="1872" w:type="dxa"/>
          </w:tcPr>
          <w:p w14:paraId="7A4FDCD9" w14:textId="77777777" w:rsidR="00780E81" w:rsidRDefault="00000000">
            <w:pPr>
              <w:ind w:left="288"/>
            </w:pPr>
            <w:r>
              <w:rPr>
                <w:rFonts w:ascii="Times New Roman" w:hAnsi="Times New Roman"/>
              </w:rPr>
              <w:t>Abscess drainage performed</w:t>
            </w:r>
          </w:p>
        </w:tc>
        <w:tc>
          <w:tcPr>
            <w:tcW w:w="1872" w:type="dxa"/>
          </w:tcPr>
          <w:p w14:paraId="64D86E7C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210 (68.4%)</w:t>
            </w:r>
          </w:p>
        </w:tc>
        <w:tc>
          <w:tcPr>
            <w:tcW w:w="1872" w:type="dxa"/>
          </w:tcPr>
          <w:p w14:paraId="5E137C69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48 (60.0%)</w:t>
            </w:r>
          </w:p>
        </w:tc>
        <w:tc>
          <w:tcPr>
            <w:tcW w:w="1872" w:type="dxa"/>
          </w:tcPr>
          <w:p w14:paraId="2C98C188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162 (71.4%)</w:t>
            </w:r>
          </w:p>
        </w:tc>
        <w:tc>
          <w:tcPr>
            <w:tcW w:w="1872" w:type="dxa"/>
          </w:tcPr>
          <w:p w14:paraId="7B453BC5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0.060</w:t>
            </w:r>
            <w:r w:rsidRPr="004D1D0B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780E81" w14:paraId="28172CDF" w14:textId="77777777">
        <w:tc>
          <w:tcPr>
            <w:tcW w:w="1872" w:type="dxa"/>
          </w:tcPr>
          <w:p w14:paraId="32E92AE3" w14:textId="77777777" w:rsidR="00780E81" w:rsidRDefault="00000000">
            <w:pPr>
              <w:ind w:left="288"/>
            </w:pPr>
            <w:r>
              <w:rPr>
                <w:rFonts w:ascii="Times New Roman" w:hAnsi="Times New Roman"/>
              </w:rPr>
              <w:t>Total duration of treatment (days) (n=221)†</w:t>
            </w:r>
          </w:p>
        </w:tc>
        <w:tc>
          <w:tcPr>
            <w:tcW w:w="1872" w:type="dxa"/>
          </w:tcPr>
          <w:p w14:paraId="361F1FC8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30.0 (17.0 - 53.0)</w:t>
            </w:r>
          </w:p>
        </w:tc>
        <w:tc>
          <w:tcPr>
            <w:tcW w:w="1872" w:type="dxa"/>
          </w:tcPr>
          <w:p w14:paraId="631302E9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30.0 (15.5 - 60.0)</w:t>
            </w:r>
          </w:p>
        </w:tc>
        <w:tc>
          <w:tcPr>
            <w:tcW w:w="1872" w:type="dxa"/>
          </w:tcPr>
          <w:p w14:paraId="6B639AE1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31.0 (18.0 - 52.0)</w:t>
            </w:r>
          </w:p>
        </w:tc>
        <w:tc>
          <w:tcPr>
            <w:tcW w:w="1872" w:type="dxa"/>
          </w:tcPr>
          <w:p w14:paraId="67399BB4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0.944</w:t>
            </w:r>
            <w:r w:rsidRPr="004D1D0B">
              <w:rPr>
                <w:rFonts w:ascii="Times New Roman" w:hAnsi="Times New Roman"/>
                <w:vertAlign w:val="superscript"/>
              </w:rPr>
              <w:t>a</w:t>
            </w:r>
          </w:p>
        </w:tc>
      </w:tr>
      <w:tr w:rsidR="00780E81" w14:paraId="740EF453" w14:textId="77777777">
        <w:tc>
          <w:tcPr>
            <w:tcW w:w="1872" w:type="dxa"/>
          </w:tcPr>
          <w:p w14:paraId="1C2130BE" w14:textId="77777777" w:rsidR="00780E81" w:rsidRDefault="00000000">
            <w:r>
              <w:rPr>
                <w:rFonts w:ascii="Times New Roman" w:hAnsi="Times New Roman"/>
                <w:b/>
              </w:rPr>
              <w:t>Clinical Outcomes</w:t>
            </w:r>
          </w:p>
        </w:tc>
        <w:tc>
          <w:tcPr>
            <w:tcW w:w="1872" w:type="dxa"/>
          </w:tcPr>
          <w:p w14:paraId="4057B8AC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00547B8D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44147443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5FBD1657" w14:textId="77777777" w:rsidR="00780E81" w:rsidRDefault="00780E81">
            <w:pPr>
              <w:jc w:val="center"/>
            </w:pPr>
          </w:p>
        </w:tc>
      </w:tr>
      <w:tr w:rsidR="00780E81" w14:paraId="2AAD8D66" w14:textId="77777777">
        <w:tc>
          <w:tcPr>
            <w:tcW w:w="1872" w:type="dxa"/>
          </w:tcPr>
          <w:p w14:paraId="7CC0037E" w14:textId="77777777" w:rsidR="00780E81" w:rsidRDefault="00000000">
            <w:pPr>
              <w:ind w:left="288"/>
            </w:pPr>
            <w:r>
              <w:rPr>
                <w:rFonts w:ascii="Times New Roman" w:hAnsi="Times New Roman"/>
              </w:rPr>
              <w:t>Development of any complication (n=295)</w:t>
            </w:r>
          </w:p>
        </w:tc>
        <w:tc>
          <w:tcPr>
            <w:tcW w:w="1872" w:type="dxa"/>
          </w:tcPr>
          <w:p w14:paraId="6D52F5D4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56 (19.0%)</w:t>
            </w:r>
          </w:p>
        </w:tc>
        <w:tc>
          <w:tcPr>
            <w:tcW w:w="1872" w:type="dxa"/>
          </w:tcPr>
          <w:p w14:paraId="22ADA600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11 (13.8%)</w:t>
            </w:r>
          </w:p>
        </w:tc>
        <w:tc>
          <w:tcPr>
            <w:tcW w:w="1872" w:type="dxa"/>
          </w:tcPr>
          <w:p w14:paraId="7AC61BB3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45 (20.9%)</w:t>
            </w:r>
          </w:p>
        </w:tc>
        <w:tc>
          <w:tcPr>
            <w:tcW w:w="1872" w:type="dxa"/>
          </w:tcPr>
          <w:p w14:paraId="1D2189BB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0.226</w:t>
            </w:r>
            <w:r w:rsidRPr="004D1D0B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780E81" w14:paraId="4E3CCF64" w14:textId="77777777">
        <w:tc>
          <w:tcPr>
            <w:tcW w:w="1872" w:type="dxa"/>
          </w:tcPr>
          <w:p w14:paraId="5F1639F3" w14:textId="77777777" w:rsidR="00780E81" w:rsidRDefault="00000000">
            <w:pPr>
              <w:ind w:left="576"/>
            </w:pPr>
            <w:r>
              <w:rPr>
                <w:rFonts w:ascii="Times New Roman" w:hAnsi="Times New Roman"/>
              </w:rPr>
              <w:t>Sepsis or septic shock</w:t>
            </w:r>
          </w:p>
        </w:tc>
        <w:tc>
          <w:tcPr>
            <w:tcW w:w="1872" w:type="dxa"/>
          </w:tcPr>
          <w:p w14:paraId="72BA0C72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30 (10.2%)</w:t>
            </w:r>
          </w:p>
        </w:tc>
        <w:tc>
          <w:tcPr>
            <w:tcW w:w="1872" w:type="dxa"/>
          </w:tcPr>
          <w:p w14:paraId="667C6434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6 (7.5%)</w:t>
            </w:r>
          </w:p>
        </w:tc>
        <w:tc>
          <w:tcPr>
            <w:tcW w:w="1872" w:type="dxa"/>
          </w:tcPr>
          <w:p w14:paraId="4D1D0338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24 (11.2%)</w:t>
            </w:r>
          </w:p>
        </w:tc>
        <w:tc>
          <w:tcPr>
            <w:tcW w:w="1872" w:type="dxa"/>
          </w:tcPr>
          <w:p w14:paraId="6D115D7F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0.426</w:t>
            </w:r>
            <w:r w:rsidRPr="004D1D0B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780E81" w14:paraId="1857E8A3" w14:textId="77777777">
        <w:tc>
          <w:tcPr>
            <w:tcW w:w="1872" w:type="dxa"/>
          </w:tcPr>
          <w:p w14:paraId="0DED0BB8" w14:textId="77777777" w:rsidR="00780E81" w:rsidRDefault="00000000">
            <w:pPr>
              <w:ind w:left="576"/>
            </w:pPr>
            <w:r>
              <w:rPr>
                <w:rFonts w:ascii="Times New Roman" w:hAnsi="Times New Roman"/>
              </w:rPr>
              <w:t>Gastrointestinal complications</w:t>
            </w:r>
          </w:p>
        </w:tc>
        <w:tc>
          <w:tcPr>
            <w:tcW w:w="1872" w:type="dxa"/>
          </w:tcPr>
          <w:p w14:paraId="59E743E5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9 (3.1%)</w:t>
            </w:r>
          </w:p>
        </w:tc>
        <w:tc>
          <w:tcPr>
            <w:tcW w:w="1872" w:type="dxa"/>
          </w:tcPr>
          <w:p w14:paraId="18248EEC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1 (1.2%)</w:t>
            </w:r>
          </w:p>
        </w:tc>
        <w:tc>
          <w:tcPr>
            <w:tcW w:w="1872" w:type="dxa"/>
          </w:tcPr>
          <w:p w14:paraId="4D8BA855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8 (3.7%)</w:t>
            </w:r>
          </w:p>
        </w:tc>
        <w:tc>
          <w:tcPr>
            <w:tcW w:w="1872" w:type="dxa"/>
          </w:tcPr>
          <w:p w14:paraId="01C5B25A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0.455</w:t>
            </w:r>
            <w:r w:rsidRPr="004D1D0B">
              <w:rPr>
                <w:rFonts w:ascii="Times New Roman" w:hAnsi="Times New Roman"/>
                <w:vertAlign w:val="superscript"/>
              </w:rPr>
              <w:t>d</w:t>
            </w:r>
          </w:p>
        </w:tc>
      </w:tr>
      <w:tr w:rsidR="00780E81" w14:paraId="175A8AD7" w14:textId="77777777">
        <w:tc>
          <w:tcPr>
            <w:tcW w:w="1872" w:type="dxa"/>
          </w:tcPr>
          <w:p w14:paraId="7F8462B2" w14:textId="77777777" w:rsidR="00780E81" w:rsidRDefault="00000000">
            <w:pPr>
              <w:ind w:left="576"/>
            </w:pPr>
            <w:r>
              <w:rPr>
                <w:rFonts w:ascii="Times New Roman" w:hAnsi="Times New Roman"/>
              </w:rPr>
              <w:t>Other complications*</w:t>
            </w:r>
          </w:p>
        </w:tc>
        <w:tc>
          <w:tcPr>
            <w:tcW w:w="1872" w:type="dxa"/>
          </w:tcPr>
          <w:p w14:paraId="14CB4153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17 (5.8%)</w:t>
            </w:r>
          </w:p>
        </w:tc>
        <w:tc>
          <w:tcPr>
            <w:tcW w:w="1872" w:type="dxa"/>
          </w:tcPr>
          <w:p w14:paraId="5495CDF7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4 (5.0%)</w:t>
            </w:r>
          </w:p>
        </w:tc>
        <w:tc>
          <w:tcPr>
            <w:tcW w:w="1872" w:type="dxa"/>
          </w:tcPr>
          <w:p w14:paraId="120B5B25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13 (6.0%)</w:t>
            </w:r>
          </w:p>
        </w:tc>
        <w:tc>
          <w:tcPr>
            <w:tcW w:w="1872" w:type="dxa"/>
          </w:tcPr>
          <w:p w14:paraId="58B448D2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80E81" w14:paraId="6D1C27E9" w14:textId="77777777">
        <w:tc>
          <w:tcPr>
            <w:tcW w:w="1872" w:type="dxa"/>
          </w:tcPr>
          <w:p w14:paraId="078D18D3" w14:textId="77777777" w:rsidR="00780E81" w:rsidRDefault="00000000">
            <w:pPr>
              <w:ind w:left="288"/>
            </w:pPr>
            <w:r>
              <w:rPr>
                <w:rFonts w:ascii="Times New Roman" w:hAnsi="Times New Roman"/>
              </w:rPr>
              <w:t>Recurrence of disease (n=288)</w:t>
            </w:r>
          </w:p>
        </w:tc>
        <w:tc>
          <w:tcPr>
            <w:tcW w:w="1872" w:type="dxa"/>
          </w:tcPr>
          <w:p w14:paraId="4AFE0B67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58 (20.1%)</w:t>
            </w:r>
          </w:p>
        </w:tc>
        <w:tc>
          <w:tcPr>
            <w:tcW w:w="1872" w:type="dxa"/>
          </w:tcPr>
          <w:p w14:paraId="0F084377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10 (12.8%)</w:t>
            </w:r>
          </w:p>
        </w:tc>
        <w:tc>
          <w:tcPr>
            <w:tcW w:w="1872" w:type="dxa"/>
          </w:tcPr>
          <w:p w14:paraId="4B10E5ED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48 (22.9%)</w:t>
            </w:r>
          </w:p>
        </w:tc>
        <w:tc>
          <w:tcPr>
            <w:tcW w:w="1872" w:type="dxa"/>
          </w:tcPr>
          <w:p w14:paraId="625189B1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0.089</w:t>
            </w:r>
            <w:r w:rsidRPr="004D1D0B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780E81" w14:paraId="0160D60E" w14:textId="77777777">
        <w:tc>
          <w:tcPr>
            <w:tcW w:w="1872" w:type="dxa"/>
          </w:tcPr>
          <w:p w14:paraId="6C3402F6" w14:textId="77777777" w:rsidR="00780E81" w:rsidRDefault="00000000">
            <w:pPr>
              <w:ind w:left="288"/>
            </w:pPr>
            <w:r>
              <w:rPr>
                <w:rFonts w:ascii="Times New Roman" w:hAnsi="Times New Roman"/>
              </w:rPr>
              <w:t>30-day mortality rate</w:t>
            </w:r>
          </w:p>
        </w:tc>
        <w:tc>
          <w:tcPr>
            <w:tcW w:w="1872" w:type="dxa"/>
          </w:tcPr>
          <w:p w14:paraId="2262982C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26 (8.5%)</w:t>
            </w:r>
          </w:p>
        </w:tc>
        <w:tc>
          <w:tcPr>
            <w:tcW w:w="1872" w:type="dxa"/>
          </w:tcPr>
          <w:p w14:paraId="3B748CC0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9 (11.2%)</w:t>
            </w:r>
          </w:p>
        </w:tc>
        <w:tc>
          <w:tcPr>
            <w:tcW w:w="1872" w:type="dxa"/>
          </w:tcPr>
          <w:p w14:paraId="01488782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17 (7.5%)</w:t>
            </w:r>
          </w:p>
        </w:tc>
        <w:tc>
          <w:tcPr>
            <w:tcW w:w="1872" w:type="dxa"/>
          </w:tcPr>
          <w:p w14:paraId="56832CF7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0.299</w:t>
            </w:r>
            <w:r w:rsidRPr="004D1D0B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780E81" w14:paraId="04D38BF5" w14:textId="77777777">
        <w:tc>
          <w:tcPr>
            <w:tcW w:w="1872" w:type="dxa"/>
          </w:tcPr>
          <w:p w14:paraId="7B007940" w14:textId="77777777" w:rsidR="00780E81" w:rsidRDefault="00000000">
            <w:pPr>
              <w:ind w:left="288"/>
            </w:pPr>
            <w:r>
              <w:rPr>
                <w:rFonts w:ascii="Times New Roman" w:hAnsi="Times New Roman"/>
              </w:rPr>
              <w:t>90-day mortality rate</w:t>
            </w:r>
          </w:p>
        </w:tc>
        <w:tc>
          <w:tcPr>
            <w:tcW w:w="1872" w:type="dxa"/>
          </w:tcPr>
          <w:p w14:paraId="5C3885DC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47 (15.3%)</w:t>
            </w:r>
          </w:p>
        </w:tc>
        <w:tc>
          <w:tcPr>
            <w:tcW w:w="1872" w:type="dxa"/>
          </w:tcPr>
          <w:p w14:paraId="7F7426A7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14 (17.5%)</w:t>
            </w:r>
          </w:p>
        </w:tc>
        <w:tc>
          <w:tcPr>
            <w:tcW w:w="1872" w:type="dxa"/>
          </w:tcPr>
          <w:p w14:paraId="25FBDDCA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33 (14.5%)</w:t>
            </w:r>
          </w:p>
        </w:tc>
        <w:tc>
          <w:tcPr>
            <w:tcW w:w="1872" w:type="dxa"/>
          </w:tcPr>
          <w:p w14:paraId="4A78514B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0.527</w:t>
            </w:r>
            <w:r w:rsidRPr="004D1D0B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780E81" w14:paraId="1106E861" w14:textId="77777777">
        <w:tc>
          <w:tcPr>
            <w:tcW w:w="1872" w:type="dxa"/>
          </w:tcPr>
          <w:p w14:paraId="42ACE416" w14:textId="77777777" w:rsidR="00780E81" w:rsidRDefault="00000000">
            <w:r>
              <w:rPr>
                <w:rFonts w:ascii="Times New Roman" w:hAnsi="Times New Roman"/>
                <w:b/>
              </w:rPr>
              <w:t>Time of Mortality</w:t>
            </w:r>
          </w:p>
        </w:tc>
        <w:tc>
          <w:tcPr>
            <w:tcW w:w="1872" w:type="dxa"/>
          </w:tcPr>
          <w:p w14:paraId="7DB6EEAA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6DEEE551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00E0547B" w14:textId="77777777" w:rsidR="00780E81" w:rsidRDefault="00780E81">
            <w:pPr>
              <w:jc w:val="center"/>
            </w:pPr>
          </w:p>
        </w:tc>
        <w:tc>
          <w:tcPr>
            <w:tcW w:w="1872" w:type="dxa"/>
          </w:tcPr>
          <w:p w14:paraId="3915B67F" w14:textId="77777777" w:rsidR="00780E81" w:rsidRDefault="00780E81">
            <w:pPr>
              <w:jc w:val="center"/>
            </w:pPr>
          </w:p>
        </w:tc>
      </w:tr>
      <w:tr w:rsidR="00780E81" w14:paraId="0CF4B3B2" w14:textId="77777777">
        <w:tc>
          <w:tcPr>
            <w:tcW w:w="1872" w:type="dxa"/>
          </w:tcPr>
          <w:p w14:paraId="510D7FB1" w14:textId="77777777" w:rsidR="00780E81" w:rsidRDefault="00000000">
            <w:pPr>
              <w:ind w:left="288"/>
            </w:pPr>
            <w:r>
              <w:rPr>
                <w:rFonts w:ascii="Times New Roman" w:hAnsi="Times New Roman"/>
              </w:rPr>
              <w:t>Time of mortality (days) (n=47)†</w:t>
            </w:r>
          </w:p>
        </w:tc>
        <w:tc>
          <w:tcPr>
            <w:tcW w:w="1872" w:type="dxa"/>
          </w:tcPr>
          <w:p w14:paraId="0DE89AD2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30.0 (15.5 - 66.5)</w:t>
            </w:r>
          </w:p>
        </w:tc>
        <w:tc>
          <w:tcPr>
            <w:tcW w:w="1872" w:type="dxa"/>
          </w:tcPr>
          <w:p w14:paraId="2F8824E2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24.5 (14.5 - 61.3)</w:t>
            </w:r>
          </w:p>
        </w:tc>
        <w:tc>
          <w:tcPr>
            <w:tcW w:w="1872" w:type="dxa"/>
          </w:tcPr>
          <w:p w14:paraId="14FBCD98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32.0 (16.0 - 68.0)</w:t>
            </w:r>
          </w:p>
        </w:tc>
        <w:tc>
          <w:tcPr>
            <w:tcW w:w="1872" w:type="dxa"/>
          </w:tcPr>
          <w:p w14:paraId="1B0AEB61" w14:textId="77777777" w:rsidR="00780E81" w:rsidRDefault="00000000">
            <w:pPr>
              <w:jc w:val="center"/>
            </w:pPr>
            <w:r>
              <w:rPr>
                <w:rFonts w:ascii="Times New Roman" w:hAnsi="Times New Roman"/>
              </w:rPr>
              <w:t>0.650</w:t>
            </w:r>
            <w:r w:rsidRPr="004D1D0B">
              <w:rPr>
                <w:rFonts w:ascii="Times New Roman" w:hAnsi="Times New Roman"/>
                <w:vertAlign w:val="superscript"/>
              </w:rPr>
              <w:t>a</w:t>
            </w:r>
          </w:p>
        </w:tc>
      </w:tr>
    </w:tbl>
    <w:p w14:paraId="31664792" w14:textId="2D97370D" w:rsidR="00780E81" w:rsidRPr="004D1D0B" w:rsidRDefault="00000000" w:rsidP="004D1D0B">
      <w:pPr>
        <w:jc w:val="both"/>
        <w:rPr>
          <w:sz w:val="18"/>
          <w:szCs w:val="18"/>
        </w:rPr>
      </w:pPr>
      <w:r w:rsidRPr="004D1D0B">
        <w:rPr>
          <w:rFonts w:ascii="Times New Roman" w:hAnsi="Times New Roman"/>
          <w:sz w:val="18"/>
          <w:szCs w:val="18"/>
        </w:rPr>
        <w:t>† Non-normally distributed data are expressed as Median (Interquartile Range, IQR).</w:t>
      </w:r>
      <w:r w:rsidR="004D1D0B" w:rsidRPr="004D1D0B">
        <w:rPr>
          <w:rFonts w:ascii="Times New Roman" w:hAnsi="Times New Roman"/>
          <w:sz w:val="18"/>
          <w:szCs w:val="18"/>
        </w:rPr>
        <w:t xml:space="preserve"> </w:t>
      </w:r>
      <w:r w:rsidRPr="004D1D0B">
        <w:rPr>
          <w:rFonts w:ascii="Times New Roman" w:hAnsi="Times New Roman"/>
          <w:sz w:val="18"/>
          <w:szCs w:val="18"/>
        </w:rPr>
        <w:t>(n=...) The numbers indicate the valid number of cases included in the analysis after excluding missing data due to the retrospective design.</w:t>
      </w:r>
      <w:r w:rsidR="004D1D0B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4D1D0B">
        <w:rPr>
          <w:rFonts w:ascii="Times New Roman" w:hAnsi="Times New Roman"/>
          <w:sz w:val="18"/>
          <w:szCs w:val="18"/>
        </w:rPr>
        <w:t>*</w:t>
      </w:r>
      <w:proofErr w:type="gramEnd"/>
      <w:r w:rsidRPr="004D1D0B">
        <w:rPr>
          <w:rFonts w:ascii="Times New Roman" w:hAnsi="Times New Roman"/>
          <w:sz w:val="18"/>
          <w:szCs w:val="18"/>
        </w:rPr>
        <w:t>Other complications include secondary infection (n=5), sinus tract development (n=5), septic arthritis (n=3),</w:t>
      </w:r>
      <w:r w:rsidR="004D1D0B" w:rsidRPr="004D1D0B">
        <w:rPr>
          <w:rFonts w:ascii="Times New Roman" w:hAnsi="Times New Roman"/>
          <w:sz w:val="18"/>
          <w:szCs w:val="18"/>
        </w:rPr>
        <w:t xml:space="preserve"> </w:t>
      </w:r>
      <w:r w:rsidRPr="004D1D0B">
        <w:rPr>
          <w:rFonts w:ascii="Times New Roman" w:hAnsi="Times New Roman"/>
          <w:sz w:val="18"/>
          <w:szCs w:val="18"/>
        </w:rPr>
        <w:t>urological complications (n=2), neurological complication (n=1), and vascular complication (n=1).</w:t>
      </w:r>
      <w:r w:rsidR="004D1D0B" w:rsidRPr="004D1D0B">
        <w:rPr>
          <w:rFonts w:ascii="Times New Roman" w:hAnsi="Times New Roman"/>
          <w:sz w:val="18"/>
          <w:szCs w:val="18"/>
        </w:rPr>
        <w:t xml:space="preserve"> </w:t>
      </w:r>
      <w:r w:rsidRPr="004D1D0B">
        <w:rPr>
          <w:rFonts w:ascii="Times New Roman" w:hAnsi="Times New Roman"/>
          <w:sz w:val="18"/>
          <w:szCs w:val="18"/>
        </w:rPr>
        <w:t>Statistical analyses used: a Mann-Whitney U Test, c Pearson Chi-Square Test, d Fisher's Exact Test.</w:t>
      </w:r>
      <w:r w:rsidR="004D1D0B" w:rsidRPr="004D1D0B">
        <w:rPr>
          <w:rFonts w:ascii="Times New Roman" w:hAnsi="Times New Roman"/>
          <w:sz w:val="18"/>
          <w:szCs w:val="18"/>
        </w:rPr>
        <w:t xml:space="preserve"> </w:t>
      </w:r>
      <w:r w:rsidRPr="004D1D0B">
        <w:rPr>
          <w:rFonts w:ascii="Times New Roman" w:hAnsi="Times New Roman"/>
          <w:sz w:val="18"/>
          <w:szCs w:val="18"/>
        </w:rPr>
        <w:t xml:space="preserve">Significant P values (P &lt; 0.05) are indicated in </w:t>
      </w:r>
      <w:r w:rsidRPr="004D1D0B">
        <w:rPr>
          <w:rFonts w:ascii="Times New Roman" w:hAnsi="Times New Roman"/>
          <w:b/>
          <w:sz w:val="18"/>
          <w:szCs w:val="18"/>
        </w:rPr>
        <w:t>bold</w:t>
      </w:r>
      <w:r w:rsidRPr="004D1D0B">
        <w:rPr>
          <w:rFonts w:ascii="Times New Roman" w:hAnsi="Times New Roman"/>
          <w:sz w:val="18"/>
          <w:szCs w:val="18"/>
        </w:rPr>
        <w:t>.</w:t>
      </w:r>
    </w:p>
    <w:sectPr w:rsidR="00780E81" w:rsidRPr="004D1D0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6078527">
    <w:abstractNumId w:val="8"/>
  </w:num>
  <w:num w:numId="2" w16cid:durableId="972172354">
    <w:abstractNumId w:val="6"/>
  </w:num>
  <w:num w:numId="3" w16cid:durableId="585843515">
    <w:abstractNumId w:val="5"/>
  </w:num>
  <w:num w:numId="4" w16cid:durableId="148719386">
    <w:abstractNumId w:val="4"/>
  </w:num>
  <w:num w:numId="5" w16cid:durableId="1772385807">
    <w:abstractNumId w:val="7"/>
  </w:num>
  <w:num w:numId="6" w16cid:durableId="1781559118">
    <w:abstractNumId w:val="3"/>
  </w:num>
  <w:num w:numId="7" w16cid:durableId="253630909">
    <w:abstractNumId w:val="2"/>
  </w:num>
  <w:num w:numId="8" w16cid:durableId="1180463527">
    <w:abstractNumId w:val="1"/>
  </w:num>
  <w:num w:numId="9" w16cid:durableId="16823186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EF7"/>
    <w:rsid w:val="0029639D"/>
    <w:rsid w:val="00326F90"/>
    <w:rsid w:val="004D1D0B"/>
    <w:rsid w:val="00780E8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3E1E8B"/>
  <w14:defaultImageDpi w14:val="300"/>
  <w15:docId w15:val="{F856FA00-63FA-1A4B-AFCE-CCEFAD82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Levent Şensoy</cp:lastModifiedBy>
  <cp:revision>2</cp:revision>
  <dcterms:created xsi:type="dcterms:W3CDTF">2013-12-23T23:15:00Z</dcterms:created>
  <dcterms:modified xsi:type="dcterms:W3CDTF">2026-08-05T08:22:00Z</dcterms:modified>
  <cp:category/>
</cp:coreProperties>
</file>