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23452E" w14:textId="77777777" w:rsidR="005118AB" w:rsidRDefault="00000000" w:rsidP="00713D3D">
      <w:pPr>
        <w:jc w:val="both"/>
      </w:pPr>
      <w:r>
        <w:rPr>
          <w:rFonts w:ascii="Times New Roman" w:hAnsi="Times New Roman"/>
          <w:b/>
        </w:rPr>
        <w:t>Table 6: Independent Risk Factors Predicting 90-Day Mortality in Patients with Psoas Abscess (Multivariate Logistic Regression)</w:t>
      </w:r>
    </w:p>
    <w:tbl>
      <w:tblPr>
        <w:tblStyle w:val="TabloKlavuzu"/>
        <w:tblW w:w="0" w:type="auto"/>
        <w:tblLook w:val="04A0" w:firstRow="1" w:lastRow="0" w:firstColumn="1" w:lastColumn="0" w:noHBand="0" w:noVBand="1"/>
      </w:tblPr>
      <w:tblGrid>
        <w:gridCol w:w="2340"/>
        <w:gridCol w:w="2340"/>
        <w:gridCol w:w="2340"/>
        <w:gridCol w:w="2340"/>
      </w:tblGrid>
      <w:tr w:rsidR="005118AB" w14:paraId="0B16278D" w14:textId="77777777">
        <w:tc>
          <w:tcPr>
            <w:tcW w:w="2340" w:type="dxa"/>
          </w:tcPr>
          <w:p w14:paraId="4321E401" w14:textId="77777777" w:rsidR="005118AB" w:rsidRDefault="00000000">
            <w:r>
              <w:rPr>
                <w:rFonts w:ascii="Times New Roman" w:hAnsi="Times New Roman"/>
                <w:b/>
              </w:rPr>
              <w:t>Independent Risk Factor</w:t>
            </w:r>
          </w:p>
        </w:tc>
        <w:tc>
          <w:tcPr>
            <w:tcW w:w="2340" w:type="dxa"/>
          </w:tcPr>
          <w:p w14:paraId="0634E298" w14:textId="77777777" w:rsidR="005118AB" w:rsidRDefault="00000000">
            <w:pPr>
              <w:jc w:val="center"/>
            </w:pPr>
            <w:r>
              <w:rPr>
                <w:rFonts w:ascii="Times New Roman" w:hAnsi="Times New Roman"/>
                <w:b/>
              </w:rPr>
              <w:t>Odds Ratio (OR)</w:t>
            </w:r>
          </w:p>
        </w:tc>
        <w:tc>
          <w:tcPr>
            <w:tcW w:w="2340" w:type="dxa"/>
          </w:tcPr>
          <w:p w14:paraId="35E587BC" w14:textId="77777777" w:rsidR="005118AB" w:rsidRDefault="00000000">
            <w:pPr>
              <w:jc w:val="center"/>
            </w:pPr>
            <w:r>
              <w:rPr>
                <w:rFonts w:ascii="Times New Roman" w:hAnsi="Times New Roman"/>
                <w:b/>
              </w:rPr>
              <w:t>95% Confidence Interval (CI)</w:t>
            </w:r>
          </w:p>
        </w:tc>
        <w:tc>
          <w:tcPr>
            <w:tcW w:w="2340" w:type="dxa"/>
          </w:tcPr>
          <w:p w14:paraId="4194F8B6" w14:textId="0237C8C1" w:rsidR="005118AB" w:rsidRDefault="00713D3D">
            <w:pPr>
              <w:jc w:val="center"/>
            </w:pPr>
            <w:r>
              <w:rPr>
                <w:rFonts w:ascii="Times New Roman" w:hAnsi="Times New Roman"/>
                <w:b/>
              </w:rPr>
              <w:t>p value</w:t>
            </w:r>
          </w:p>
        </w:tc>
      </w:tr>
      <w:tr w:rsidR="005118AB" w14:paraId="40107250" w14:textId="77777777">
        <w:tc>
          <w:tcPr>
            <w:tcW w:w="2340" w:type="dxa"/>
          </w:tcPr>
          <w:p w14:paraId="6BF7FFFF" w14:textId="77777777" w:rsidR="005118AB" w:rsidRDefault="00000000">
            <w:r>
              <w:rPr>
                <w:rFonts w:ascii="Times New Roman" w:hAnsi="Times New Roman"/>
              </w:rPr>
              <w:t>WBC &gt;18,500 /mm³ at presentation</w:t>
            </w:r>
          </w:p>
        </w:tc>
        <w:tc>
          <w:tcPr>
            <w:tcW w:w="2340" w:type="dxa"/>
          </w:tcPr>
          <w:p w14:paraId="2424C72F" w14:textId="77777777" w:rsidR="005118AB" w:rsidRDefault="00000000">
            <w:pPr>
              <w:jc w:val="center"/>
            </w:pPr>
            <w:r>
              <w:rPr>
                <w:rFonts w:ascii="Times New Roman" w:hAnsi="Times New Roman"/>
              </w:rPr>
              <w:t>4.69</w:t>
            </w:r>
          </w:p>
        </w:tc>
        <w:tc>
          <w:tcPr>
            <w:tcW w:w="2340" w:type="dxa"/>
          </w:tcPr>
          <w:p w14:paraId="31FA1EFB" w14:textId="77777777" w:rsidR="005118AB" w:rsidRDefault="00000000">
            <w:pPr>
              <w:jc w:val="center"/>
            </w:pPr>
            <w:r>
              <w:rPr>
                <w:rFonts w:ascii="Times New Roman" w:hAnsi="Times New Roman"/>
              </w:rPr>
              <w:t>2.11 - 10.46</w:t>
            </w:r>
          </w:p>
        </w:tc>
        <w:tc>
          <w:tcPr>
            <w:tcW w:w="2340" w:type="dxa"/>
          </w:tcPr>
          <w:p w14:paraId="638352E8" w14:textId="77777777" w:rsidR="005118AB" w:rsidRDefault="00000000">
            <w:pPr>
              <w:jc w:val="center"/>
            </w:pPr>
            <w:r>
              <w:rPr>
                <w:rFonts w:ascii="Times New Roman" w:hAnsi="Times New Roman"/>
                <w:b/>
              </w:rPr>
              <w:t>&lt;0.001</w:t>
            </w:r>
          </w:p>
        </w:tc>
      </w:tr>
      <w:tr w:rsidR="005118AB" w14:paraId="5368A90E" w14:textId="77777777">
        <w:tc>
          <w:tcPr>
            <w:tcW w:w="2340" w:type="dxa"/>
          </w:tcPr>
          <w:p w14:paraId="51FE2D58" w14:textId="77777777" w:rsidR="005118AB" w:rsidRDefault="00000000">
            <w:r>
              <w:rPr>
                <w:rFonts w:ascii="Times New Roman" w:hAnsi="Times New Roman"/>
              </w:rPr>
              <w:t>Age-adjusted CCI (per 1-point increase)</w:t>
            </w:r>
          </w:p>
        </w:tc>
        <w:tc>
          <w:tcPr>
            <w:tcW w:w="2340" w:type="dxa"/>
          </w:tcPr>
          <w:p w14:paraId="1F1E7159" w14:textId="77777777" w:rsidR="005118AB" w:rsidRDefault="00000000">
            <w:pPr>
              <w:jc w:val="center"/>
            </w:pPr>
            <w:r>
              <w:rPr>
                <w:rFonts w:ascii="Times New Roman" w:hAnsi="Times New Roman"/>
              </w:rPr>
              <w:t>1.63</w:t>
            </w:r>
          </w:p>
        </w:tc>
        <w:tc>
          <w:tcPr>
            <w:tcW w:w="2340" w:type="dxa"/>
          </w:tcPr>
          <w:p w14:paraId="6DEF17C8" w14:textId="77777777" w:rsidR="005118AB" w:rsidRDefault="00000000">
            <w:pPr>
              <w:jc w:val="center"/>
            </w:pPr>
            <w:r>
              <w:rPr>
                <w:rFonts w:ascii="Times New Roman" w:hAnsi="Times New Roman"/>
              </w:rPr>
              <w:t>1.26 - 2.11</w:t>
            </w:r>
          </w:p>
        </w:tc>
        <w:tc>
          <w:tcPr>
            <w:tcW w:w="2340" w:type="dxa"/>
          </w:tcPr>
          <w:p w14:paraId="08703332" w14:textId="77777777" w:rsidR="005118AB" w:rsidRDefault="00000000">
            <w:pPr>
              <w:jc w:val="center"/>
            </w:pPr>
            <w:r>
              <w:rPr>
                <w:rFonts w:ascii="Times New Roman" w:hAnsi="Times New Roman"/>
                <w:b/>
              </w:rPr>
              <w:t>&lt;0.001</w:t>
            </w:r>
          </w:p>
        </w:tc>
      </w:tr>
      <w:tr w:rsidR="005118AB" w14:paraId="3B8F6DB9" w14:textId="77777777">
        <w:tc>
          <w:tcPr>
            <w:tcW w:w="2340" w:type="dxa"/>
          </w:tcPr>
          <w:p w14:paraId="712A5826" w14:textId="77777777" w:rsidR="005118AB" w:rsidRDefault="00000000">
            <w:r>
              <w:rPr>
                <w:rFonts w:ascii="Times New Roman" w:hAnsi="Times New Roman"/>
                <w:i/>
              </w:rPr>
              <w:t>Escherichia coli</w:t>
            </w:r>
            <w:r>
              <w:rPr>
                <w:rFonts w:ascii="Times New Roman" w:hAnsi="Times New Roman"/>
              </w:rPr>
              <w:t xml:space="preserve"> growth (Detection in culture)</w:t>
            </w:r>
          </w:p>
        </w:tc>
        <w:tc>
          <w:tcPr>
            <w:tcW w:w="2340" w:type="dxa"/>
          </w:tcPr>
          <w:p w14:paraId="00849063" w14:textId="77777777" w:rsidR="005118AB" w:rsidRDefault="00000000">
            <w:pPr>
              <w:jc w:val="center"/>
            </w:pPr>
            <w:r>
              <w:rPr>
                <w:rFonts w:ascii="Times New Roman" w:hAnsi="Times New Roman"/>
              </w:rPr>
              <w:t>2.94</w:t>
            </w:r>
          </w:p>
        </w:tc>
        <w:tc>
          <w:tcPr>
            <w:tcW w:w="2340" w:type="dxa"/>
          </w:tcPr>
          <w:p w14:paraId="78A3CCB3" w14:textId="77777777" w:rsidR="005118AB" w:rsidRDefault="00000000">
            <w:pPr>
              <w:jc w:val="center"/>
            </w:pPr>
            <w:r>
              <w:rPr>
                <w:rFonts w:ascii="Times New Roman" w:hAnsi="Times New Roman"/>
              </w:rPr>
              <w:t>1.35 - 6.42</w:t>
            </w:r>
          </w:p>
        </w:tc>
        <w:tc>
          <w:tcPr>
            <w:tcW w:w="2340" w:type="dxa"/>
          </w:tcPr>
          <w:p w14:paraId="3EF0EBB6" w14:textId="77777777" w:rsidR="005118AB" w:rsidRDefault="00000000">
            <w:pPr>
              <w:jc w:val="center"/>
            </w:pPr>
            <w:r>
              <w:rPr>
                <w:rFonts w:ascii="Times New Roman" w:hAnsi="Times New Roman"/>
                <w:b/>
              </w:rPr>
              <w:t>0.007</w:t>
            </w:r>
          </w:p>
        </w:tc>
      </w:tr>
      <w:tr w:rsidR="005118AB" w14:paraId="56164D57" w14:textId="77777777">
        <w:tc>
          <w:tcPr>
            <w:tcW w:w="2340" w:type="dxa"/>
          </w:tcPr>
          <w:p w14:paraId="08712C6D" w14:textId="77777777" w:rsidR="005118AB" w:rsidRDefault="00000000">
            <w:r>
              <w:rPr>
                <w:rFonts w:ascii="Times New Roman" w:hAnsi="Times New Roman"/>
              </w:rPr>
              <w:t>Presence of Gram-positive growth</w:t>
            </w:r>
          </w:p>
        </w:tc>
        <w:tc>
          <w:tcPr>
            <w:tcW w:w="2340" w:type="dxa"/>
          </w:tcPr>
          <w:p w14:paraId="78C1F962" w14:textId="77777777" w:rsidR="005118AB" w:rsidRDefault="00000000">
            <w:pPr>
              <w:jc w:val="center"/>
            </w:pPr>
            <w:r>
              <w:rPr>
                <w:rFonts w:ascii="Times New Roman" w:hAnsi="Times New Roman"/>
              </w:rPr>
              <w:t>2.39</w:t>
            </w:r>
          </w:p>
        </w:tc>
        <w:tc>
          <w:tcPr>
            <w:tcW w:w="2340" w:type="dxa"/>
          </w:tcPr>
          <w:p w14:paraId="44890FC0" w14:textId="77777777" w:rsidR="005118AB" w:rsidRDefault="00000000">
            <w:pPr>
              <w:jc w:val="center"/>
            </w:pPr>
            <w:r>
              <w:rPr>
                <w:rFonts w:ascii="Times New Roman" w:hAnsi="Times New Roman"/>
              </w:rPr>
              <w:t>1.14 - 5.04</w:t>
            </w:r>
          </w:p>
        </w:tc>
        <w:tc>
          <w:tcPr>
            <w:tcW w:w="2340" w:type="dxa"/>
          </w:tcPr>
          <w:p w14:paraId="592E08D9" w14:textId="77777777" w:rsidR="005118AB" w:rsidRDefault="00000000">
            <w:pPr>
              <w:jc w:val="center"/>
            </w:pPr>
            <w:r>
              <w:rPr>
                <w:rFonts w:ascii="Times New Roman" w:hAnsi="Times New Roman"/>
                <w:b/>
              </w:rPr>
              <w:t>0.021</w:t>
            </w:r>
          </w:p>
        </w:tc>
      </w:tr>
      <w:tr w:rsidR="005118AB" w14:paraId="4C56F4E9" w14:textId="77777777">
        <w:tc>
          <w:tcPr>
            <w:tcW w:w="2340" w:type="dxa"/>
          </w:tcPr>
          <w:p w14:paraId="30A1DAA6" w14:textId="77777777" w:rsidR="005118AB" w:rsidRDefault="00000000">
            <w:r>
              <w:rPr>
                <w:rFonts w:ascii="Times New Roman" w:hAnsi="Times New Roman"/>
              </w:rPr>
              <w:t>Age (per 1-year increase)</w:t>
            </w:r>
          </w:p>
        </w:tc>
        <w:tc>
          <w:tcPr>
            <w:tcW w:w="2340" w:type="dxa"/>
          </w:tcPr>
          <w:p w14:paraId="4C4DD630" w14:textId="77777777" w:rsidR="005118AB" w:rsidRDefault="00000000">
            <w:pPr>
              <w:jc w:val="center"/>
            </w:pPr>
            <w:r>
              <w:rPr>
                <w:rFonts w:ascii="Times New Roman" w:hAnsi="Times New Roman"/>
              </w:rPr>
              <w:t>1.04</w:t>
            </w:r>
          </w:p>
        </w:tc>
        <w:tc>
          <w:tcPr>
            <w:tcW w:w="2340" w:type="dxa"/>
          </w:tcPr>
          <w:p w14:paraId="611EDF01" w14:textId="77777777" w:rsidR="005118AB" w:rsidRDefault="00000000">
            <w:pPr>
              <w:jc w:val="center"/>
            </w:pPr>
            <w:r>
              <w:rPr>
                <w:rFonts w:ascii="Times New Roman" w:hAnsi="Times New Roman"/>
              </w:rPr>
              <w:t>1.01 - 1.06</w:t>
            </w:r>
          </w:p>
        </w:tc>
        <w:tc>
          <w:tcPr>
            <w:tcW w:w="2340" w:type="dxa"/>
          </w:tcPr>
          <w:p w14:paraId="785E14F5" w14:textId="77777777" w:rsidR="005118AB" w:rsidRDefault="00000000">
            <w:pPr>
              <w:jc w:val="center"/>
            </w:pPr>
            <w:r>
              <w:rPr>
                <w:rFonts w:ascii="Times New Roman" w:hAnsi="Times New Roman"/>
                <w:b/>
              </w:rPr>
              <w:t>0.006</w:t>
            </w:r>
          </w:p>
        </w:tc>
      </w:tr>
    </w:tbl>
    <w:p w14:paraId="44090B8B" w14:textId="09B23F88" w:rsidR="005118AB" w:rsidRPr="00713D3D" w:rsidRDefault="00E61889" w:rsidP="00713D3D">
      <w:pPr>
        <w:jc w:val="both"/>
        <w:rPr>
          <w:sz w:val="18"/>
          <w:szCs w:val="18"/>
        </w:rPr>
      </w:pPr>
      <w:r w:rsidRPr="00E61889">
        <w:rPr>
          <w:rFonts w:ascii="Times New Roman" w:hAnsi="Times New Roman" w:cs="Times New Roman"/>
          <w:color w:val="000000"/>
          <w:sz w:val="18"/>
          <w:szCs w:val="18"/>
        </w:rPr>
        <w:t>Results of multivariate logistic regression analysis (n=294, Pseudo R2=0.207, Model P &lt; 0.001).</w:t>
      </w:r>
      <w:r w:rsidRPr="00E61889">
        <w:rPr>
          <w:rStyle w:val="apple-converted-space"/>
          <w:rFonts w:ascii="Times New Roman" w:hAnsi="Times New Roman" w:cs="Times New Roman"/>
          <w:color w:val="000000"/>
          <w:sz w:val="18"/>
          <w:szCs w:val="18"/>
        </w:rPr>
        <w:t> </w:t>
      </w:r>
      <w:r w:rsidRPr="00E61889">
        <w:rPr>
          <w:rFonts w:ascii="Times New Roman" w:hAnsi="Times New Roman" w:cs="Times New Roman"/>
          <w:color w:val="000000"/>
          <w:sz w:val="18"/>
          <w:szCs w:val="18"/>
        </w:rPr>
        <w:t>Thirteen cases were excluded from the model due to missing WBC data at admission.</w:t>
      </w:r>
      <w:r>
        <w:rPr>
          <w:rFonts w:ascii="Times New Roman" w:hAnsi="Times New Roman" w:cs="Times New Roman"/>
          <w:color w:val="000000"/>
          <w:sz w:val="18"/>
          <w:szCs w:val="18"/>
        </w:rPr>
        <w:t xml:space="preserve"> </w:t>
      </w:r>
      <w:proofErr w:type="gramStart"/>
      <w:r w:rsidR="00000000" w:rsidRPr="00713D3D">
        <w:rPr>
          <w:rFonts w:ascii="Times New Roman" w:hAnsi="Times New Roman"/>
          <w:sz w:val="18"/>
          <w:szCs w:val="18"/>
        </w:rPr>
        <w:t>The</w:t>
      </w:r>
      <w:proofErr w:type="gramEnd"/>
      <w:r w:rsidR="00000000" w:rsidRPr="00713D3D">
        <w:rPr>
          <w:rFonts w:ascii="Times New Roman" w:hAnsi="Times New Roman"/>
          <w:sz w:val="18"/>
          <w:szCs w:val="18"/>
        </w:rPr>
        <w:t xml:space="preserve"> level of statistical significance was set at P &lt; 0.05, and significant P values are indicated in </w:t>
      </w:r>
      <w:r w:rsidR="00000000" w:rsidRPr="00713D3D">
        <w:rPr>
          <w:rFonts w:ascii="Times New Roman" w:hAnsi="Times New Roman"/>
          <w:b/>
          <w:sz w:val="18"/>
          <w:szCs w:val="18"/>
        </w:rPr>
        <w:t>bold</w:t>
      </w:r>
      <w:r w:rsidR="00000000" w:rsidRPr="00713D3D">
        <w:rPr>
          <w:rFonts w:ascii="Times New Roman" w:hAnsi="Times New Roman"/>
          <w:sz w:val="18"/>
          <w:szCs w:val="18"/>
        </w:rPr>
        <w:t>. Sepsis/septic shock, which creates circularity as a terminal intermediate variable, and bacteremia, which was found to be non-significant in univariate analysis, were excluded from the model. To prevent collinearity between age and CCI, the age score was isolated from the CCI, and age was included in the model as a separate continuous variable.</w:t>
      </w:r>
    </w:p>
    <w:sectPr w:rsidR="005118AB" w:rsidRPr="00713D3D"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49182447">
    <w:abstractNumId w:val="8"/>
  </w:num>
  <w:num w:numId="2" w16cid:durableId="825634822">
    <w:abstractNumId w:val="6"/>
  </w:num>
  <w:num w:numId="3" w16cid:durableId="1703746151">
    <w:abstractNumId w:val="5"/>
  </w:num>
  <w:num w:numId="4" w16cid:durableId="2087144468">
    <w:abstractNumId w:val="4"/>
  </w:num>
  <w:num w:numId="5" w16cid:durableId="1246768867">
    <w:abstractNumId w:val="7"/>
  </w:num>
  <w:num w:numId="6" w16cid:durableId="236210413">
    <w:abstractNumId w:val="3"/>
  </w:num>
  <w:num w:numId="7" w16cid:durableId="1071579840">
    <w:abstractNumId w:val="2"/>
  </w:num>
  <w:num w:numId="8" w16cid:durableId="512692425">
    <w:abstractNumId w:val="1"/>
  </w:num>
  <w:num w:numId="9" w16cid:durableId="1867973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0EF7"/>
    <w:rsid w:val="0029639D"/>
    <w:rsid w:val="00326F90"/>
    <w:rsid w:val="005118AB"/>
    <w:rsid w:val="00713D3D"/>
    <w:rsid w:val="00AA1D8D"/>
    <w:rsid w:val="00B47730"/>
    <w:rsid w:val="00CB0664"/>
    <w:rsid w:val="00E618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8CD65A"/>
  <w14:defaultImageDpi w14:val="300"/>
  <w15:docId w15:val="{F856FA00-63FA-1A4B-AFCE-CCEFAD82A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pple-converted-space">
    <w:name w:val="apple-converted-space"/>
    <w:basedOn w:val="VarsaylanParagrafYazTipi"/>
    <w:rsid w:val="00E61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Levent Şensoy</cp:lastModifiedBy>
  <cp:revision>3</cp:revision>
  <dcterms:created xsi:type="dcterms:W3CDTF">2013-12-23T23:15:00Z</dcterms:created>
  <dcterms:modified xsi:type="dcterms:W3CDTF">2026-08-05T09:57:00Z</dcterms:modified>
  <cp:category/>
</cp:coreProperties>
</file>