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88719" w14:textId="77777777" w:rsidR="00837CB4" w:rsidRPr="00AB43A3" w:rsidRDefault="00837CB4" w:rsidP="00837CB4">
      <w:pPr>
        <w:jc w:val="both"/>
        <w:rPr>
          <w:szCs w:val="24"/>
        </w:rPr>
      </w:pPr>
      <w:r w:rsidRPr="00AB43A3">
        <w:rPr>
          <w:b/>
          <w:szCs w:val="24"/>
        </w:rPr>
        <w:t>Additional files</w:t>
      </w:r>
    </w:p>
    <w:p w14:paraId="3213A9C4" w14:textId="77777777" w:rsidR="00837CB4" w:rsidRPr="00AB43A3" w:rsidRDefault="00837CB4" w:rsidP="00837CB4">
      <w:pPr>
        <w:jc w:val="both"/>
        <w:rPr>
          <w:szCs w:val="24"/>
        </w:rPr>
      </w:pPr>
      <w:r w:rsidRPr="00AB43A3">
        <w:rPr>
          <w:b/>
          <w:szCs w:val="24"/>
        </w:rPr>
        <w:t xml:space="preserve">Additional file 1 (.docx). </w:t>
      </w:r>
      <w:r w:rsidRPr="00AB43A3">
        <w:rPr>
          <w:szCs w:val="24"/>
        </w:rPr>
        <w:t>Supplementary Tables S1–S5: model diagnostics, bootstrap internal validation, leave-one-center internal–external cross-validation, alternative biomarker-threshold analyses, and postoperative-treatment sensitivity analyses.</w:t>
      </w:r>
    </w:p>
    <w:p w14:paraId="37649C52" w14:textId="77777777" w:rsidR="00837CB4" w:rsidRPr="00AB43A3" w:rsidRDefault="00837CB4" w:rsidP="00837CB4">
      <w:pPr>
        <w:jc w:val="both"/>
        <w:rPr>
          <w:szCs w:val="24"/>
        </w:rPr>
      </w:pPr>
      <w:r w:rsidRPr="00872270">
        <w:rPr>
          <w:b/>
          <w:bCs/>
        </w:rPr>
        <w:t xml:space="preserve">Additional file 2 (.pdf). </w:t>
      </w:r>
      <w:r>
        <w:t>Completed official STROBE checklist for observational studies, with cohort-study items completed for this retrospective multicenter cohort.</w:t>
      </w:r>
    </w:p>
    <w:p w14:paraId="5A72246D" w14:textId="77777777" w:rsidR="00DE6AE2" w:rsidRDefault="00DE6AE2"/>
    <w:sectPr w:rsidR="00DE6AE2" w:rsidSect="00837CB4">
      <w:pgSz w:w="12240" w:h="15840"/>
      <w:pgMar w:top="1440" w:right="1440" w:bottom="1440" w:left="1440" w:header="720" w:footer="720" w:gutter="0"/>
      <w:lnNumType w:countBy="1" w:distance="360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CB4"/>
    <w:rsid w:val="000A7F75"/>
    <w:rsid w:val="00195413"/>
    <w:rsid w:val="003A03A7"/>
    <w:rsid w:val="003D0186"/>
    <w:rsid w:val="007278E4"/>
    <w:rsid w:val="00837CB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74F54"/>
  <w15:chartTrackingRefBased/>
  <w15:docId w15:val="{73641989-BEC4-401B-9A53-6CCA75E5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CB4"/>
    <w:pPr>
      <w:spacing w:after="0" w:line="480" w:lineRule="auto"/>
    </w:pPr>
    <w:rPr>
      <w:rFonts w:ascii="Times New Roman" w:eastAsia="Times New Roman" w:hAnsi="Times New Roman"/>
      <w:color w:val="000000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7C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7C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CB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CB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CB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CB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CB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CB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CB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C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C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C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C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C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C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C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C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C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CB4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37C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CB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37C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7CB4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37C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7CB4"/>
    <w:pPr>
      <w:spacing w:after="160" w:line="278" w:lineRule="auto"/>
      <w:ind w:left="720"/>
      <w:contextualSpacing/>
    </w:pPr>
    <w:rPr>
      <w:rFonts w:asciiTheme="minorHAnsi" w:eastAsiaTheme="minorHAnsi" w:hAnsiTheme="minorHAnsi"/>
      <w:color w:val="auto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37C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C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C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CB4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837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>Springer Nature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2026-08-31T10:07:00Z</dcterms:created>
  <dcterms:modified xsi:type="dcterms:W3CDTF">2026-08-31T10:07:00Z</dcterms:modified>
</cp:coreProperties>
</file>