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default" w:ascii="Times New Roman Regular" w:hAnsi="Times New Roman Regular" w:eastAsia="宋体" w:cs="Times New Roman Regular"/>
          <w:b/>
          <w:bCs/>
          <w:kern w:val="2"/>
          <w:sz w:val="20"/>
          <w:szCs w:val="20"/>
          <w:lang w:val="en-US" w:eastAsia="zh-CN" w:bidi="ar-SA"/>
        </w:rPr>
        <w:id w:val="943071554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 Regular" w:hAnsi="Times New Roman Regular" w:eastAsia="宋体" w:cs="Times New Roman Regular"/>
          <w:b/>
          <w:bCs/>
          <w:kern w:val="2"/>
          <w:sz w:val="20"/>
          <w:szCs w:val="20"/>
          <w:lang w:val="en-US" w:eastAsia="zh-CN" w:bidi="ar-SA"/>
        </w:rPr>
      </w:sdtEndPr>
      <w:sdtContent>
        <w:p>
          <w:pPr>
            <w:jc w:val="center"/>
            <w:rPr>
              <w:rFonts w:hint="default" w:ascii="Times New Roman Regular" w:hAnsi="Times New Roman Regular" w:cs="Times New Roman Regular"/>
              <w:b/>
              <w:bCs/>
              <w:sz w:val="20"/>
              <w:szCs w:val="20"/>
              <w:lang w:val="en-US"/>
            </w:rPr>
          </w:pPr>
          <w:r>
            <w:rPr>
              <w:rFonts w:hint="default" w:ascii="Times New Roman Regular" w:hAnsi="Times New Roman Regular" w:cs="Times New Roman Regular"/>
              <w:b/>
              <w:bCs/>
              <w:color w:val="auto"/>
              <w:sz w:val="20"/>
              <w:szCs w:val="20"/>
              <w:u w:val="none"/>
              <w:lang w:val="en-US" w:eastAsia="zh-CN"/>
            </w:rPr>
            <w:t>Supplemental Fil</w:t>
          </w:r>
          <w:r>
            <w:rPr>
              <w:rFonts w:hint="default" w:ascii="Times New Roman Regular" w:hAnsi="Times New Roman Regular" w:cs="Times New Roman Regular"/>
              <w:b/>
              <w:bCs/>
              <w:sz w:val="20"/>
              <w:szCs w:val="20"/>
              <w:lang w:val="en-US" w:eastAsia="zh-CN"/>
            </w:rPr>
            <w:t>es</w:t>
          </w:r>
        </w:p>
        <w:p>
          <w:pPr>
            <w:pStyle w:val="12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TOC \o "1-2" \h \u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instrText xml:space="preserve"> HYPERLINK \l _Toc665106116 </w:instrTex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  <w:lang w:val="en-US" w:eastAsia="zh-CN"/>
            </w:rPr>
            <w:t>Supplemental Figures</w: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instrText xml:space="preserve"> PAGEREF _Toc665106116 \h </w:instrTex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t>3</w: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_Toc786108977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 xml:space="preserve">1.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The definition of perimenopause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_Toc786108977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3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_Toc159057981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2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Directed acyclic graph (DAG) of the association between BMI with T2DM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3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_Toc1817829799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3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.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 xml:space="preserve">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Multiple Imputation Convergence Plot (n=1325)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_Toc15585924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Proportional Hazards Assumption (continuous BMI, 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5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_Toc2107103381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5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Restricted cubic spline curves for association between continuous BMI and T2DM (n=1325)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7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_Toc2081185437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Proportional Hazards Assumption (categorical BMI, 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8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_Toc269997323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7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Kaplan–Meier survival analyses of categorical BMI and T2DM (n=1325)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_Toc269997323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0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_Toc212061550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8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Kaplan–Meier survival analyses of binary BMI and T2DM (n=1325)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_Toc212061550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0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_Toc1443100477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9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Proportional Hazards Assumption (binary BMI, Model 4, 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_Toc1443100477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_Toc509407721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0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Cox association between binary BMI and T2DM (binary BMI, 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_Toc509407721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_Toc1745749905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Proportional Hazards Assumption (BMI change patterns, n=579)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_Toc1745749905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2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_Toc1897068021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2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Proportional Hazards Assumption (Relative BMI Change, n=579)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_Toc1897068021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_Toc332521938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3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Cox association between relative BMI Change and the risk of T2DM (n=579)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_Toc332521938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_Toc943762472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Proportional Hazards Assumption(continuous BMI, underweight individuals excluded, n=1290)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_Toc943762472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7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eastAsia" w:ascii="Times New Roman Regular" w:hAnsi="Times New Roman Regular" w:eastAsia="宋体" w:cs="Times New Roman Regular"/>
              <w:sz w:val="20"/>
              <w:szCs w:val="20"/>
              <w:lang w:val="en-US" w:eastAsia="zh-CN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_Toc501650162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5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Restricted cubic spline curves for association between BMI and T2DM (Underweight individuals excluded, n=1290)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9</w:t>
          </w:r>
        </w:p>
        <w:p>
          <w:pPr>
            <w:pStyle w:val="14"/>
            <w:tabs>
              <w:tab w:val="right" w:leader="dot" w:pos="8306"/>
            </w:tabs>
            <w:rPr>
              <w:rFonts w:hint="eastAsia" w:ascii="Times New Roman Regular" w:hAnsi="Times New Roman Regular" w:eastAsia="宋体" w:cs="Times New Roman Regular"/>
              <w:sz w:val="20"/>
              <w:szCs w:val="20"/>
              <w:lang w:val="en-US" w:eastAsia="zh-CN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_Toc213474612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Cox association between continuous BMI and T2DM (Underweight individuals excluded, n=1290)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9</w:t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_Toc1570113394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7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Kaplan–Meier survival analyses of categorical BMI and T2DM (Underweight individuals excluded, n=1290)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_Toc1570113394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0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_Toc616758622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8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Proportional Hazards Assumption(BMI change patterns, Underweight individuals excluded, n=552)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_Toc616758622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0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_Toc2106079532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19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Cox association between relative BMI Change and the risk of T2DM (Underweight individuals excluded, n=552)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_Toc2106079532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3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_Toc2053224470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0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Restricted cubic spline curves for association between BMI and T2DM (Physical activity excluded, 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_Toc2053224470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_Toc628943647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Cox association between continuous BMI and T2DM (Physical activity excluded, 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_Toc628943647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_Toc741364595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Figure S2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2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Cox association between relative BMI Change and the risk of T2DM (Physical activity excluded, n=579)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_Toc741364595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5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instrText xml:space="preserve"> HYPERLINK \l _Toc414628271 </w:instrTex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  <w:lang w:val="en-US" w:eastAsia="zh-CN"/>
            </w:rPr>
            <w:t>Supplemental Tables</w: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instrText xml:space="preserve"> PAGEREF _Toc414628271 \h </w:instrTex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b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_Toc72916182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Table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1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Missing Values and Proportions for Variables in baseline BMI (n=1325)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_Toc72916182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_Toc1436592084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Table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2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Comparison of Accelerated Failure Time (AFT) models under alternative parametric distributional assumptions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_Toc1436592084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_Toc644512567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Table S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3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 xml:space="preserve">.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Missing Values and Proportions for Variables in the BMI change pattern subsample (n=579)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_Toc644512567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7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_Toc415198101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Table S4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.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Accelerated failure time model for time to T2DM (Log-normal distribution, underweight individuals excluded, n=1290)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_Toc415198101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7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HYPERLINK \l _Toc1060114404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>Table S5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.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/>
            </w:rPr>
            <w:t xml:space="preserve"> 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  <w:lang w:val="en-US" w:eastAsia="zh-CN"/>
            </w:rPr>
            <w:t>Accelerated failure time model for time to T2DM (Log-normal distribution, Physical activity excluded, n=1325)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ab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begin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instrText xml:space="preserve"> PAGEREF _Toc1060114404 \h </w:instrTex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separate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t>2</w:t>
          </w:r>
          <w:r>
            <w:rPr>
              <w:rFonts w:hint="eastAsia" w:ascii="Times New Roman Regular" w:hAnsi="Times New Roman Regular" w:cs="Times New Roman Regular"/>
              <w:sz w:val="20"/>
              <w:szCs w:val="20"/>
              <w:lang w:val="en-US" w:eastAsia="zh-CN"/>
            </w:rPr>
            <w:t>8</w:t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r>
            <w:rPr>
              <w:rFonts w:hint="default" w:ascii="Times New Roman Regular" w:hAnsi="Times New Roman Regular" w:cs="Times New Roman Regular"/>
              <w:sz w:val="20"/>
              <w:szCs w:val="20"/>
            </w:rPr>
            <w:fldChar w:fldCharType="end"/>
          </w:r>
          <w:bookmarkStart w:id="32" w:name="_GoBack"/>
          <w:bookmarkEnd w:id="32"/>
        </w:p>
        <w:p>
          <w:pPr>
            <w:pStyle w:val="12"/>
            <w:tabs>
              <w:tab w:val="right" w:leader="dot" w:pos="8306"/>
            </w:tabs>
            <w:rPr>
              <w:rFonts w:hint="default" w:ascii="Times New Roman Regular" w:hAnsi="Times New Roman Regular" w:cs="Times New Roman Regular"/>
              <w:sz w:val="20"/>
              <w:szCs w:val="20"/>
            </w:rPr>
          </w:pPr>
          <w:r>
            <w:rPr>
              <w:rFonts w:hint="default" w:ascii="Times New Roman Regular" w:hAnsi="Times New Roman Regular" w:cs="Times New Roman Regular"/>
              <w:b/>
              <w:sz w:val="20"/>
              <w:szCs w:val="20"/>
            </w:rPr>
            <w:fldChar w:fldCharType="end"/>
          </w:r>
        </w:p>
      </w:sdtContent>
    </w:sdt>
    <w:p>
      <w:pPr>
        <w:rPr>
          <w:rFonts w:hint="default" w:ascii="Times New Roman Regular" w:hAnsi="Times New Roman Regular" w:eastAsia="宋体" w:cs="Times New Roman Regular"/>
          <w:b/>
          <w:bCs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0"/>
          <w:szCs w:val="20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Style w:val="13"/>
          <w:rFonts w:hint="default" w:ascii="Arial" w:hAnsi="Arial" w:eastAsia="宋体" w:cs="Times New Roman"/>
          <w:sz w:val="24"/>
          <w:szCs w:val="24"/>
          <w:lang w:val="en-US" w:eastAsia="zh-CN"/>
        </w:rPr>
      </w:pPr>
      <w:bookmarkStart w:id="0" w:name="_Toc1945618193"/>
      <w:bookmarkStart w:id="1" w:name="_Toc665106116"/>
      <w:r>
        <w:rPr>
          <w:rStyle w:val="13"/>
          <w:rFonts w:hint="default" w:ascii="Arial" w:hAnsi="Arial" w:eastAsia="宋体" w:cs="Times New Roman"/>
          <w:sz w:val="24"/>
          <w:szCs w:val="24"/>
          <w:lang w:val="en-US" w:eastAsia="zh-CN"/>
        </w:rPr>
        <w:t>Supplemental Figures</w:t>
      </w:r>
      <w:bookmarkEnd w:id="0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default" w:ascii="Arial" w:hAnsi="Arial" w:cs="Times New Roman"/>
          <w:sz w:val="24"/>
          <w:szCs w:val="24"/>
          <w:lang w:val="en-US" w:eastAsia="zh-CN"/>
        </w:rPr>
      </w:pPr>
      <w:bookmarkStart w:id="2" w:name="_Toc786108977"/>
      <w:r>
        <w:rPr>
          <w:rStyle w:val="13"/>
          <w:rFonts w:hint="default" w:ascii="Arial" w:hAnsi="Arial" w:cs="Times New Roman"/>
          <w:sz w:val="24"/>
          <w:szCs w:val="24"/>
          <w:lang w:val="en-US"/>
        </w:rPr>
        <w:t>Figure S</w:t>
      </w:r>
      <w:r>
        <w:rPr>
          <w:rStyle w:val="13"/>
          <w:rFonts w:hint="default" w:ascii="Arial" w:hAnsi="Arial" w:cs="Times New Roman"/>
          <w:sz w:val="24"/>
          <w:szCs w:val="24"/>
        </w:rPr>
        <w:t xml:space="preserve">1. </w:t>
      </w:r>
      <w:bookmarkEnd w:id="2"/>
      <w:r>
        <w:rPr>
          <w:rFonts w:hint="default" w:ascii="Arial" w:hAnsi="Arial" w:cs="Times New Roman"/>
          <w:sz w:val="24"/>
          <w:szCs w:val="24"/>
          <w:lang w:val="en-US" w:eastAsia="zh-CN"/>
        </w:rPr>
        <w:t>The definition of perimenopause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Regular" w:hAnsi="Times New Roman Regular" w:cs="Times New Roman Regular"/>
          <w:sz w:val="20"/>
          <w:szCs w:val="20"/>
        </w:rPr>
      </w:pPr>
      <w:r>
        <w:drawing>
          <wp:inline distT="0" distB="0" distL="114300" distR="114300">
            <wp:extent cx="5271770" cy="1710690"/>
            <wp:effectExtent l="0" t="0" r="1143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1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13"/>
          <w:rFonts w:hint="default" w:ascii="Times New Roman Regular" w:hAnsi="Times New Roman Regular" w:cs="Times New Roman Regular"/>
          <w:sz w:val="20"/>
          <w:szCs w:val="20"/>
          <w:lang w:val="en-US"/>
        </w:rPr>
      </w:pPr>
      <w:bookmarkStart w:id="3" w:name="_Toc814180095"/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Arial" w:hAnsi="Arial" w:cs="Times New Roman"/>
          <w:sz w:val="24"/>
          <w:szCs w:val="24"/>
          <w:lang w:val="en-US" w:eastAsia="zh-CN"/>
        </w:rPr>
      </w:pPr>
      <w:bookmarkStart w:id="4" w:name="_Toc159057981"/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4"/>
          <w:lang w:val="en-US" w:eastAsia="zh-CN"/>
        </w:rPr>
        <w:t>2</w:t>
      </w:r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 xml:space="preserve">. </w:t>
      </w:r>
      <w:bookmarkEnd w:id="4"/>
      <w:r>
        <w:rPr>
          <w:rFonts w:hint="default" w:ascii="Arial" w:hAnsi="Arial" w:cs="Times New Roman"/>
          <w:sz w:val="24"/>
          <w:szCs w:val="24"/>
          <w:lang w:val="en-US" w:eastAsia="zh-CN"/>
        </w:rPr>
        <w:t>Directed acyclic graph (DAG) of the association between BMI with T2DM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105"/>
        <w:textAlignment w:val="auto"/>
        <w:rPr>
          <w:rFonts w:hint="default" w:ascii="Times New Roman Regular" w:hAnsi="Times New Roman Regular" w:eastAsia="Songti SC" w:cs="Times New Roman Regular"/>
          <w:b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71135" cy="3818255"/>
            <wp:effectExtent l="0" t="0" r="12065" b="1714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EEEEEE">
                            <a:alpha val="100000"/>
                          </a:srgbClr>
                        </a:clrFrom>
                        <a:clrTo>
                          <a:srgbClr val="EEEEEE">
                            <a:alpha val="100000"/>
                            <a:alpha val="0"/>
                          </a:srgbClr>
                        </a:clrTo>
                      </a:clrChange>
                      <a:lum bright="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The variable in green and with the “►” symbol inside the rectangle was the exposure variable; the in blue and with the letter “I” inside the rectangle was the outcome variables; variables in blue are the antecedents of the outcome variable; and those in red are antecedents of the outcome and exposure variable, with dyslipidemia serving as the mediator.</w:t>
      </w:r>
    </w:p>
    <w:p>
      <w:pPr>
        <w:rPr>
          <w:rStyle w:val="13"/>
          <w:rFonts w:hint="default" w:ascii="Times New Roman Regular" w:hAnsi="Times New Roman Regular" w:cs="Times New Roman Regular"/>
          <w:sz w:val="20"/>
          <w:szCs w:val="20"/>
          <w:lang w:val="en-US"/>
        </w:rPr>
      </w:pPr>
      <w:bookmarkStart w:id="5" w:name="_Toc1817829799"/>
    </w:p>
    <w:p>
      <w:pPr>
        <w:rPr>
          <w:rStyle w:val="13"/>
          <w:rFonts w:hint="default" w:ascii="Times New Roman Regular" w:hAnsi="Times New Roman Regular" w:cs="Times New Roman Regular"/>
          <w:sz w:val="20"/>
          <w:szCs w:val="20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default" w:ascii="Arial" w:hAnsi="Arial" w:cs="Times New Roman"/>
          <w:sz w:val="24"/>
          <w:szCs w:val="24"/>
          <w:lang w:val="en-US" w:eastAsia="zh-CN"/>
        </w:rPr>
      </w:pPr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4"/>
          <w:lang w:val="en-US" w:eastAsia="zh-CN"/>
        </w:rPr>
        <w:t>3</w:t>
      </w:r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 xml:space="preserve">. </w:t>
      </w:r>
      <w:bookmarkEnd w:id="5"/>
      <w:r>
        <w:rPr>
          <w:rFonts w:hint="default" w:ascii="Arial" w:hAnsi="Arial" w:cs="Times New Roman"/>
          <w:sz w:val="24"/>
          <w:szCs w:val="24"/>
          <w:lang w:val="en-US" w:eastAsia="zh-CN"/>
        </w:rPr>
        <w:t>Multiple Imputation Convergence Plot (n=1325)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289935"/>
            <wp:effectExtent l="0" t="0" r="17780" b="12065"/>
            <wp:docPr id="5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289935"/>
            <wp:effectExtent l="0" t="0" r="17780" b="12065"/>
            <wp:docPr id="5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default" w:ascii="Arial" w:hAnsi="Arial" w:cs="Times New Roman"/>
          <w:sz w:val="24"/>
          <w:szCs w:val="24"/>
          <w:lang w:val="en-US" w:eastAsia="zh-CN"/>
        </w:rPr>
      </w:pPr>
      <w:bookmarkStart w:id="6" w:name="_Toc15585924"/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4"/>
          <w:lang w:val="en-US" w:eastAsia="zh-CN"/>
        </w:rPr>
        <w:t>4</w:t>
      </w:r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 xml:space="preserve">. </w:t>
      </w:r>
      <w:bookmarkEnd w:id="6"/>
      <w:r>
        <w:rPr>
          <w:rFonts w:hint="default" w:ascii="Arial" w:hAnsi="Arial" w:cs="Times New Roman"/>
          <w:sz w:val="24"/>
          <w:szCs w:val="24"/>
          <w:lang w:val="en-US" w:eastAsia="zh-CN"/>
        </w:rPr>
        <w:t>Proportional Hazards Assumption (continuous BMI, n=1325)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/>
        </w:rPr>
        <w:t>Model 1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69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/>
        </w:rPr>
        <w:t>Model 2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70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/>
        </w:rPr>
        <w:t>Model 3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71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/>
        </w:rPr>
        <w:t>Model 4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72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  <w:sz w:val="20"/>
          <w:szCs w:val="20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7" w:name="_Toc2107103381"/>
      <w:r>
        <w:rPr>
          <w:rStyle w:val="13"/>
          <w:rFonts w:hint="default" w:ascii="Arial" w:hAnsi="Arial" w:cs="Times New Roman"/>
          <w:sz w:val="24"/>
          <w:szCs w:val="20"/>
          <w:lang w:val="en-US"/>
        </w:rPr>
        <w:t>Figure S</w:t>
      </w:r>
      <w:r>
        <w:rPr>
          <w:rStyle w:val="13"/>
          <w:rFonts w:hint="eastAsia" w:ascii="Arial" w:hAnsi="Arial" w:cs="Times New Roman"/>
          <w:sz w:val="24"/>
          <w:szCs w:val="20"/>
          <w:lang w:val="en-US" w:eastAsia="zh-CN"/>
        </w:rPr>
        <w:t>5</w:t>
      </w:r>
      <w:r>
        <w:rPr>
          <w:rStyle w:val="13"/>
          <w:rFonts w:hint="default" w:ascii="Arial" w:hAnsi="Arial" w:cs="Times New Roman"/>
          <w:sz w:val="24"/>
          <w:szCs w:val="20"/>
          <w:lang w:val="en-US"/>
        </w:rPr>
        <w:t xml:space="preserve">. </w:t>
      </w:r>
      <w:bookmarkEnd w:id="7"/>
      <w:r>
        <w:rPr>
          <w:rFonts w:hint="default" w:ascii="Arial" w:hAnsi="Arial" w:cs="Times New Roman"/>
          <w:sz w:val="24"/>
          <w:szCs w:val="20"/>
          <w:lang w:val="en-US" w:eastAsia="zh-CN"/>
        </w:rPr>
        <w:t>Restricted cubic spline curves for association between continuous BMI and T2DM (n=1325)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129915"/>
            <wp:effectExtent l="0" t="0" r="0" b="0"/>
            <wp:docPr id="73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52"/>
                    <pic:cNvPicPr>
                      <a:picLocks noChangeAspect="1"/>
                    </pic:cNvPicPr>
                  </pic:nvPicPr>
                  <pic:blipFill>
                    <a:blip r:embed="rId13"/>
                    <a:srcRect t="486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status, physical activity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Style w:val="13"/>
          <w:rFonts w:hint="default" w:ascii="Times New Roman Regular" w:hAnsi="Times New Roman Regular" w:cs="Times New Roman Regular"/>
          <w:sz w:val="20"/>
          <w:szCs w:val="20"/>
          <w:lang w:val="en-US"/>
        </w:rPr>
      </w:pPr>
      <w:bookmarkStart w:id="8" w:name="_Toc2081185437"/>
      <w:r>
        <w:rPr>
          <w:rStyle w:val="13"/>
          <w:rFonts w:hint="default" w:ascii="Times New Roman Regular" w:hAnsi="Times New Roman Regular" w:cs="Times New Roman Regular"/>
          <w:sz w:val="20"/>
          <w:szCs w:val="20"/>
          <w:lang w:val="en-US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6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8"/>
      <w:r>
        <w:rPr>
          <w:rFonts w:hint="default" w:ascii="Arial" w:hAnsi="Arial" w:cs="Times New Roman"/>
          <w:sz w:val="24"/>
          <w:szCs w:val="20"/>
          <w:lang w:val="en-US" w:eastAsia="zh-CN"/>
        </w:rPr>
        <w:t>Proportional Hazards Assumption (categorical BMI, n=1325)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1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72405" cy="3514725"/>
            <wp:effectExtent l="0" t="0" r="10795" b="15875"/>
            <wp:docPr id="6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2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72405" cy="3514725"/>
            <wp:effectExtent l="0" t="0" r="10795" b="15875"/>
            <wp:docPr id="65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3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72405" cy="3514725"/>
            <wp:effectExtent l="0" t="0" r="10795" b="15875"/>
            <wp:docPr id="6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4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72405" cy="3514725"/>
            <wp:effectExtent l="0" t="0" r="10795" b="15875"/>
            <wp:docPr id="6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jc w:val="left"/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9" w:name="_Toc269997323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7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9"/>
      <w:r>
        <w:rPr>
          <w:rFonts w:hint="default" w:ascii="Arial" w:hAnsi="Arial" w:cs="Times New Roman"/>
          <w:sz w:val="24"/>
          <w:szCs w:val="20"/>
          <w:lang w:val="en-US" w:eastAsia="zh-CN"/>
        </w:rPr>
        <w:t>Kaplan–Meier survival analyses of categorical BMI and T2DM (n=1325)</w:t>
      </w:r>
    </w:p>
    <w:p>
      <w:pPr>
        <w:jc w:val="left"/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289935"/>
            <wp:effectExtent l="0" t="0" r="17780" b="12065"/>
            <wp:docPr id="6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4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0" w:name="_Toc212061550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8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0"/>
      <w:r>
        <w:rPr>
          <w:rFonts w:hint="default" w:ascii="Arial" w:hAnsi="Arial" w:cs="Times New Roman"/>
          <w:sz w:val="24"/>
          <w:szCs w:val="20"/>
          <w:lang w:val="en-US" w:eastAsia="zh-CN"/>
        </w:rPr>
        <w:t>Kaplan–Meier survival analyses of binary BMI and T2DM (n=1325)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289935"/>
            <wp:effectExtent l="0" t="0" r="17780" b="12065"/>
            <wp:docPr id="6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1" w:name="_Toc1443100477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9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1"/>
      <w:r>
        <w:rPr>
          <w:rFonts w:hint="default" w:ascii="Arial" w:hAnsi="Arial" w:cs="Times New Roman"/>
          <w:sz w:val="24"/>
          <w:szCs w:val="20"/>
          <w:lang w:val="en-US" w:eastAsia="zh-CN"/>
        </w:rPr>
        <w:t>Proportional Hazards Assumption (binary BMI, Model 4, n=1325)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72405" cy="3514725"/>
            <wp:effectExtent l="0" t="0" r="10795" b="15875"/>
            <wp:docPr id="68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2" w:name="_Toc509407721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0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2"/>
      <w:r>
        <w:rPr>
          <w:rFonts w:hint="default" w:ascii="Arial" w:hAnsi="Arial" w:cs="Times New Roman"/>
          <w:sz w:val="24"/>
          <w:szCs w:val="20"/>
          <w:lang w:val="en-US" w:eastAsia="zh-CN"/>
        </w:rPr>
        <w:t>Cox association between binary BMI and T2DM (binary BMI, n=1325)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2468880"/>
            <wp:effectExtent l="0" t="0" r="0" b="0"/>
            <wp:docPr id="5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8"/>
                    <pic:cNvPicPr>
                      <a:picLocks noChangeAspect="1"/>
                    </pic:cNvPicPr>
                  </pic:nvPicPr>
                  <pic:blipFill>
                    <a:blip r:embed="rId20"/>
                    <a:srcRect t="10365" b="1459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status, physical activity and sleep duration. Model 4 further incorporated depressive symptoms.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</w:pPr>
      <w:bookmarkStart w:id="13" w:name="_Toc174574990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1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3"/>
      <w:r>
        <w:rPr>
          <w:rFonts w:hint="default" w:ascii="Arial" w:hAnsi="Arial" w:cs="Times New Roman"/>
          <w:sz w:val="24"/>
          <w:szCs w:val="20"/>
          <w:lang w:val="en-US" w:eastAsia="zh-CN"/>
        </w:rPr>
        <w:t>Proportional Hazards Assumption (BMI change patterns, n=579)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1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75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5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2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77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3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78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5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 w:eastAsiaTheme="minorEastAsia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4</w:t>
      </w:r>
    </w:p>
    <w:p>
      <w:pPr>
        <w:rPr>
          <w:rFonts w:hint="default" w:ascii="Times New Roman Regular" w:hAnsi="Times New Roman Regular" w:cs="Times New Roman Regular" w:eastAsiaTheme="minorEastAsia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7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5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4" w:name="_Toc1897068021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2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4"/>
      <w:r>
        <w:rPr>
          <w:rFonts w:hint="default" w:ascii="Arial" w:hAnsi="Arial" w:cs="Times New Roman"/>
          <w:sz w:val="24"/>
          <w:szCs w:val="20"/>
          <w:lang w:val="en-US" w:eastAsia="zh-CN"/>
        </w:rPr>
        <w:t>Proportional Hazards Assumption (Relative BMI Change, n=579)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1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80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/>
        </w:rPr>
        <w:t>Model 2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81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6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/>
        </w:rPr>
        <w:t>Model 3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82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6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/>
        </w:rPr>
        <w:t>Model 4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83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6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5" w:name="_Toc332521938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3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5"/>
      <w:r>
        <w:rPr>
          <w:rFonts w:hint="default" w:ascii="Arial" w:hAnsi="Arial" w:cs="Times New Roman"/>
          <w:sz w:val="24"/>
          <w:szCs w:val="20"/>
          <w:lang w:val="en-US" w:eastAsia="zh-CN"/>
        </w:rPr>
        <w:t>Cox association between relative BMI Change and the risk of T2DM (n=579)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71770" cy="6000115"/>
            <wp:effectExtent l="0" t="0" r="11430" b="19685"/>
            <wp:docPr id="8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6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00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status, physical activity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6" w:name="_Toc943762472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4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6"/>
      <w:r>
        <w:rPr>
          <w:rFonts w:hint="default" w:ascii="Arial" w:hAnsi="Arial" w:cs="Times New Roman"/>
          <w:sz w:val="24"/>
          <w:szCs w:val="20"/>
          <w:lang w:val="en-US" w:eastAsia="zh-CN"/>
        </w:rPr>
        <w:t>Proportional Hazards Assumption(continuous BMI, underweight individuals excluded, n=1290)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1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cs="Times New Roman Regular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 Regular" w:hAnsi="Times New Roman Regular" w:cs="Times New Roman Regular" w:eastAsiaTheme="minorEastAsia"/>
          <w:kern w:val="2"/>
          <w:sz w:val="20"/>
          <w:szCs w:val="20"/>
          <w:lang w:val="en-US" w:eastAsia="zh-CN" w:bidi="ar-SA"/>
        </w:rPr>
        <w:t>Model</w:t>
      </w:r>
      <w:r>
        <w:rPr>
          <w:rFonts w:hint="default" w:ascii="Times New Roman Regular" w:hAnsi="Times New Roman Regular" w:cs="Times New Roman Regular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 Regular" w:hAnsi="Times New Roman Regular" w:cs="Times New Roman Regular" w:eastAsiaTheme="minorEastAsia"/>
          <w:kern w:val="2"/>
          <w:sz w:val="20"/>
          <w:szCs w:val="20"/>
          <w:lang w:val="en-US" w:eastAsia="zh-CN" w:bidi="ar-SA"/>
        </w:rPr>
        <w:t>2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3</w:t>
      </w: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 Regular" w:hAnsi="Times New Roman Regular" w:eastAsia="宋体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4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7" w:name="_Toc501650162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5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7"/>
      <w:r>
        <w:rPr>
          <w:rFonts w:hint="default" w:ascii="Arial" w:hAnsi="Arial" w:cs="Times New Roman"/>
          <w:sz w:val="24"/>
          <w:szCs w:val="20"/>
          <w:lang w:val="en-US" w:eastAsia="zh-CN"/>
        </w:rPr>
        <w:t>Restricted cubic spline curves for association between BMI and T2DM (Underweight individuals excluded, n=1290)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289935"/>
            <wp:effectExtent l="0" t="0" r="17780" b="12065"/>
            <wp:docPr id="86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6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status, physical activity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8" w:name="_Toc213474612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6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8"/>
      <w:r>
        <w:rPr>
          <w:rFonts w:hint="default" w:ascii="Arial" w:hAnsi="Arial" w:cs="Times New Roman"/>
          <w:sz w:val="24"/>
          <w:szCs w:val="20"/>
          <w:lang w:val="en-US" w:eastAsia="zh-CN"/>
        </w:rPr>
        <w:t>Cox association between continuous BMI and T2DM (Underweight individuals excluded, n=1290)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2880" cy="1678305"/>
            <wp:effectExtent l="0" t="0" r="20320" b="23495"/>
            <wp:docPr id="88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6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status, physical activity and sleep duration. Model 4 further incorporated depressive symptoms.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19" w:name="_Toc1570113394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7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19"/>
      <w:r>
        <w:rPr>
          <w:rFonts w:hint="default" w:ascii="Arial" w:hAnsi="Arial" w:cs="Times New Roman"/>
          <w:sz w:val="24"/>
          <w:szCs w:val="20"/>
          <w:lang w:val="en-US" w:eastAsia="zh-CN"/>
        </w:rPr>
        <w:t>Kaplan–Meier survival analyses of categorical BMI and T2DM (Underweight individuals excluded, n=1290)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289935"/>
            <wp:effectExtent l="0" t="0" r="17780" b="1206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20" w:name="_Toc616758622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S1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8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20"/>
      <w:r>
        <w:rPr>
          <w:rFonts w:hint="default" w:ascii="Arial" w:hAnsi="Arial" w:cs="Times New Roman"/>
          <w:sz w:val="24"/>
          <w:szCs w:val="20"/>
          <w:lang w:val="en-US" w:eastAsia="zh-CN"/>
        </w:rPr>
        <w:t>Proportional Hazards Assumption(BMI change patterns, Underweight individuals excluded, n=552)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1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 xml:space="preserve">Model 2 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3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t>Model 4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57800" cy="3943350"/>
            <wp:effectExtent l="0" t="0" r="0" b="190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21" w:name="_Toc2106079532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19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21"/>
      <w:r>
        <w:rPr>
          <w:rFonts w:hint="default" w:ascii="Arial" w:hAnsi="Arial" w:cs="Times New Roman"/>
          <w:sz w:val="24"/>
          <w:szCs w:val="20"/>
          <w:lang w:val="en-US" w:eastAsia="zh-CN"/>
        </w:rPr>
        <w:t>Cox association between relative BMI Change and the risk of T2DM (Underweight individuals excluded, n=552)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9230" cy="5604510"/>
            <wp:effectExtent l="0" t="0" r="13970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60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status, physical activity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Times New Roman"/>
          <w:sz w:val="24"/>
          <w:szCs w:val="20"/>
          <w:lang w:val="en-US" w:eastAsia="zh-CN"/>
        </w:rPr>
      </w:pPr>
      <w:bookmarkStart w:id="22" w:name="_Toc2053224470"/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>Figure S2</w:t>
      </w:r>
      <w:r>
        <w:rPr>
          <w:rFonts w:hint="eastAsia" w:ascii="Arial Bold" w:hAnsi="Arial Bold" w:cs="Arial Bold"/>
          <w:b/>
          <w:bCs/>
          <w:sz w:val="24"/>
          <w:szCs w:val="20"/>
          <w:lang w:val="en-US" w:eastAsia="zh-CN"/>
        </w:rPr>
        <w:t>0</w:t>
      </w:r>
      <w:r>
        <w:rPr>
          <w:rFonts w:hint="default" w:ascii="Arial Bold" w:hAnsi="Arial Bold" w:cs="Arial Bold"/>
          <w:b/>
          <w:bCs/>
          <w:sz w:val="24"/>
          <w:szCs w:val="20"/>
          <w:lang w:val="en-US" w:eastAsia="zh-CN"/>
        </w:rPr>
        <w:t xml:space="preserve">. </w:t>
      </w:r>
      <w:bookmarkEnd w:id="22"/>
      <w:r>
        <w:rPr>
          <w:rFonts w:hint="default" w:ascii="Arial" w:hAnsi="Arial" w:cs="Times New Roman"/>
          <w:sz w:val="24"/>
          <w:szCs w:val="20"/>
          <w:lang w:val="en-US" w:eastAsia="zh-CN"/>
        </w:rPr>
        <w:t>Restricted cubic spline curves for association between BMI and T2DM (Physical activity excluded, n=1325)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5420" cy="3289935"/>
            <wp:effectExtent l="0" t="0" r="17780" b="12065"/>
            <wp:docPr id="89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6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 Regular" w:hAnsi="Arial Regular" w:cs="Arial Regular"/>
          <w:b w:val="0"/>
          <w:sz w:val="24"/>
          <w:szCs w:val="24"/>
          <w:lang w:val="en-US" w:eastAsia="zh-CN"/>
        </w:rPr>
      </w:pPr>
      <w:bookmarkStart w:id="23" w:name="_Toc628943647"/>
      <w:r>
        <w:rPr>
          <w:rStyle w:val="13"/>
          <w:rFonts w:hint="default" w:ascii="Arial Bold" w:hAnsi="Arial Bold" w:cs="Arial Bold"/>
          <w:b/>
          <w:bCs w:val="0"/>
          <w:sz w:val="24"/>
          <w:szCs w:val="24"/>
          <w:lang w:val="en-US"/>
        </w:rPr>
        <w:t>Figure S2</w:t>
      </w:r>
      <w:r>
        <w:rPr>
          <w:rStyle w:val="13"/>
          <w:rFonts w:hint="eastAsia" w:ascii="Arial Bold" w:hAnsi="Arial Bold" w:cs="Arial Bold"/>
          <w:b/>
          <w:bCs w:val="0"/>
          <w:sz w:val="24"/>
          <w:szCs w:val="24"/>
          <w:lang w:val="en-US" w:eastAsia="zh-CN"/>
        </w:rPr>
        <w:t>1</w:t>
      </w:r>
      <w:r>
        <w:rPr>
          <w:rStyle w:val="13"/>
          <w:rFonts w:hint="default" w:ascii="Arial Bold" w:hAnsi="Arial Bold" w:cs="Arial Bold"/>
          <w:b/>
          <w:bCs w:val="0"/>
          <w:sz w:val="24"/>
          <w:szCs w:val="24"/>
          <w:lang w:val="en-US"/>
        </w:rPr>
        <w:t xml:space="preserve">. </w:t>
      </w:r>
      <w:bookmarkEnd w:id="23"/>
      <w:r>
        <w:rPr>
          <w:rFonts w:hint="default" w:ascii="Arial Regular" w:hAnsi="Arial Regular" w:eastAsia="Songti SC" w:cs="Arial Regular"/>
          <w:b w:val="0"/>
          <w:sz w:val="24"/>
          <w:szCs w:val="24"/>
        </w:rPr>
        <w:t>Cox association between continuous BMI and T2DM</w:t>
      </w:r>
      <w:r>
        <w:rPr>
          <w:rFonts w:hint="default" w:ascii="Arial Regular" w:hAnsi="Arial Regular" w:eastAsia="Songti SC" w:cs="Arial Regular"/>
          <w:b w:val="0"/>
          <w:sz w:val="24"/>
          <w:szCs w:val="24"/>
          <w:lang w:val="en-US"/>
        </w:rPr>
        <w:t xml:space="preserve"> (</w:t>
      </w:r>
      <w:r>
        <w:rPr>
          <w:rFonts w:hint="default" w:ascii="Arial Regular" w:hAnsi="Arial Regular" w:cs="Arial Regular"/>
          <w:b w:val="0"/>
          <w:sz w:val="24"/>
          <w:szCs w:val="24"/>
          <w:lang w:val="en-US" w:eastAsia="zh-CN"/>
        </w:rPr>
        <w:t>Physical activity excluded, n=1325</w:t>
      </w:r>
      <w:r>
        <w:rPr>
          <w:rFonts w:hint="default" w:ascii="Arial Regular" w:hAnsi="Arial Regular" w:eastAsia="Songti SC" w:cs="Arial Regular"/>
          <w:b w:val="0"/>
          <w:sz w:val="24"/>
          <w:szCs w:val="24"/>
          <w:lang w:val="en-US"/>
        </w:rPr>
        <w:t>)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8595" cy="1833245"/>
            <wp:effectExtent l="0" t="0" r="14605" b="20955"/>
            <wp:docPr id="91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6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 Regular" w:hAnsi="Arial Regular" w:cs="Arial Regular"/>
          <w:b w:val="0"/>
          <w:sz w:val="24"/>
          <w:szCs w:val="24"/>
          <w:lang w:val="en-US" w:eastAsia="zh-CN"/>
        </w:rPr>
      </w:pPr>
      <w:bookmarkStart w:id="24" w:name="_Toc741364595"/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>Figure S2</w:t>
      </w:r>
      <w:r>
        <w:rPr>
          <w:rFonts w:hint="eastAsia" w:ascii="Arial Bold" w:hAnsi="Arial Bold" w:cs="Arial Bold"/>
          <w:b/>
          <w:bCs/>
          <w:sz w:val="24"/>
          <w:szCs w:val="24"/>
          <w:lang w:val="en-US" w:eastAsia="zh-CN"/>
        </w:rPr>
        <w:t>2</w:t>
      </w:r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 xml:space="preserve">. </w:t>
      </w:r>
      <w:bookmarkEnd w:id="24"/>
      <w:r>
        <w:rPr>
          <w:rFonts w:hint="default" w:ascii="Arial Regular" w:hAnsi="Arial Regular" w:cs="Arial Regular"/>
          <w:b w:val="0"/>
          <w:sz w:val="24"/>
          <w:szCs w:val="24"/>
          <w:lang w:val="en-US" w:eastAsia="zh-CN"/>
        </w:rPr>
        <w:t>Cox association between relative BMI Change and the risk of T2DM (Physical activity excluded, n=579)</w:t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5269865" cy="4787900"/>
            <wp:effectExtent l="0" t="0" r="13335" b="12700"/>
            <wp:docPr id="92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6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</w:pPr>
      <w:bookmarkStart w:id="25" w:name="_Toc271476882"/>
      <w:bookmarkStart w:id="26" w:name="_Toc414628271"/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>Supplemental Tables</w:t>
      </w:r>
      <w:bookmarkEnd w:id="25"/>
      <w:bookmarkEnd w:id="2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 Bold" w:hAnsi="Arial Bold" w:cs="Arial Bold"/>
          <w:b/>
          <w:sz w:val="24"/>
          <w:szCs w:val="24"/>
          <w:lang w:val="en-US" w:eastAsia="zh-CN"/>
        </w:rPr>
      </w:pPr>
      <w:bookmarkStart w:id="27" w:name="_Toc72916182"/>
      <w:r>
        <w:rPr>
          <w:rStyle w:val="13"/>
          <w:rFonts w:hint="default" w:ascii="Arial Bold" w:hAnsi="Arial Bold" w:cs="Arial Bold"/>
          <w:b/>
          <w:sz w:val="24"/>
          <w:szCs w:val="24"/>
          <w:lang w:val="en-US"/>
        </w:rPr>
        <w:t>Table S</w:t>
      </w:r>
      <w:r>
        <w:rPr>
          <w:rStyle w:val="13"/>
          <w:rFonts w:hint="default" w:ascii="Arial Bold" w:hAnsi="Arial Bold" w:cs="Arial Bold"/>
          <w:b/>
          <w:sz w:val="24"/>
          <w:szCs w:val="24"/>
          <w:lang w:val="en-US" w:eastAsia="zh-CN"/>
        </w:rPr>
        <w:t>1</w:t>
      </w:r>
      <w:r>
        <w:rPr>
          <w:rStyle w:val="13"/>
          <w:rFonts w:hint="default" w:ascii="Arial Bold" w:hAnsi="Arial Bold" w:cs="Arial Bold"/>
          <w:b/>
          <w:sz w:val="24"/>
          <w:szCs w:val="24"/>
        </w:rPr>
        <w:t xml:space="preserve">. </w:t>
      </w:r>
      <w:bookmarkEnd w:id="27"/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Missing Values and Proportions for Variables in baseline BMI (n=1325)</w:t>
      </w:r>
    </w:p>
    <w:tbl>
      <w:tblPr>
        <w:tblStyle w:val="9"/>
        <w:tblpPr w:leftFromText="180" w:rightFromText="180" w:vertAnchor="text" w:horzAnchor="page" w:tblpX="1897" w:tblpY="209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2101"/>
        <w:gridCol w:w="1295"/>
        <w:gridCol w:w="1007"/>
        <w:gridCol w:w="1594"/>
      </w:tblGrid>
      <w:tr>
        <w:trPr>
          <w:jc w:val="center"/>
        </w:trPr>
        <w:tc>
          <w:tcPr>
            <w:tcW w:w="247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variable type</w:t>
            </w:r>
          </w:p>
        </w:tc>
        <w:tc>
          <w:tcPr>
            <w:tcW w:w="21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variable name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population</w:t>
            </w:r>
          </w:p>
        </w:tc>
        <w:tc>
          <w:tcPr>
            <w:tcW w:w="100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missing values</w:t>
            </w:r>
          </w:p>
        </w:tc>
        <w:tc>
          <w:tcPr>
            <w:tcW w:w="159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proportion of missingness</w:t>
            </w:r>
          </w:p>
        </w:tc>
      </w:tr>
      <w:tr>
        <w:trPr>
          <w:jc w:val="center"/>
        </w:trPr>
        <w:tc>
          <w:tcPr>
            <w:tcW w:w="247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Independent variable</w:t>
            </w:r>
          </w:p>
        </w:tc>
        <w:tc>
          <w:tcPr>
            <w:tcW w:w="2101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bmi</w:t>
            </w:r>
          </w:p>
        </w:tc>
        <w:tc>
          <w:tcPr>
            <w:tcW w:w="12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bmi_c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trHeight w:val="343" w:hRule="atLeast"/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Dependent variable</w:t>
            </w: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time_month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event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Sociodemographic characteristics</w:t>
            </w: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age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ethnicit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marital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economic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287</w:t>
            </w:r>
          </w:p>
        </w:tc>
        <w:tc>
          <w:tcPr>
            <w:tcW w:w="1594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21.66%</w:t>
            </w: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educational leve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residence type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Behavioral and lifestyle factors</w:t>
            </w: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smoking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drinking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physical activity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697</w:t>
            </w:r>
          </w:p>
        </w:tc>
        <w:tc>
          <w:tcPr>
            <w:tcW w:w="1594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52.60%</w:t>
            </w: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sleep duration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1594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1.28%</w:t>
            </w:r>
          </w:p>
        </w:tc>
      </w:tr>
      <w:tr>
        <w:trPr>
          <w:jc w:val="center"/>
        </w:trPr>
        <w:tc>
          <w:tcPr>
            <w:tcW w:w="24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Health status</w:t>
            </w:r>
          </w:p>
        </w:tc>
        <w:tc>
          <w:tcPr>
            <w:tcW w:w="21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depressive symptoms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1325</w:t>
            </w:r>
          </w:p>
        </w:tc>
        <w:tc>
          <w:tcPr>
            <w:tcW w:w="100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0.38% </w:t>
            </w:r>
          </w:p>
        </w:tc>
      </w:tr>
    </w:tbl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>
      <w:pPr>
        <w:rPr>
          <w:rStyle w:val="13"/>
          <w:rFonts w:hint="default" w:ascii="Times New Roman Regular" w:hAnsi="Times New Roman Regular" w:cs="Times New Roman Regular"/>
          <w:sz w:val="20"/>
          <w:szCs w:val="20"/>
          <w:lang w:val="en-US"/>
        </w:rPr>
      </w:pPr>
      <w:bookmarkStart w:id="28" w:name="_Toc143659208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Arial"/>
          <w:b w:val="0"/>
          <w:bCs/>
          <w:sz w:val="24"/>
          <w:szCs w:val="24"/>
          <w:lang w:val="en-US"/>
        </w:rPr>
      </w:pPr>
      <w:r>
        <w:rPr>
          <w:rStyle w:val="13"/>
          <w:rFonts w:hint="default" w:ascii="Arial Bold" w:hAnsi="Arial Bold" w:cs="Arial Bold"/>
          <w:b/>
          <w:sz w:val="24"/>
          <w:szCs w:val="24"/>
          <w:lang w:val="en-US"/>
        </w:rPr>
        <w:t>Table S</w:t>
      </w:r>
      <w:r>
        <w:rPr>
          <w:rStyle w:val="13"/>
          <w:rFonts w:hint="default" w:ascii="Arial Bold" w:hAnsi="Arial Bold" w:cs="Arial Bold"/>
          <w:b/>
          <w:sz w:val="24"/>
          <w:szCs w:val="24"/>
          <w:lang w:val="en-US" w:eastAsia="zh-CN"/>
        </w:rPr>
        <w:t>2</w:t>
      </w:r>
      <w:r>
        <w:rPr>
          <w:rStyle w:val="13"/>
          <w:rFonts w:hint="default" w:ascii="Arial Bold" w:hAnsi="Arial Bold" w:cs="Arial Bold"/>
          <w:b/>
          <w:sz w:val="24"/>
          <w:szCs w:val="24"/>
          <w:lang w:val="en-US"/>
        </w:rPr>
        <w:t xml:space="preserve">. </w:t>
      </w:r>
      <w:bookmarkEnd w:id="28"/>
      <w:r>
        <w:rPr>
          <w:rFonts w:hint="default" w:ascii="Arial" w:hAnsi="Arial" w:cs="Arial" w:eastAsiaTheme="minorEastAsia"/>
          <w:b w:val="0"/>
          <w:bCs/>
          <w:kern w:val="2"/>
          <w:sz w:val="24"/>
          <w:szCs w:val="24"/>
          <w:lang w:val="en-US" w:eastAsia="zh-CN" w:bidi="ar-SA"/>
        </w:rPr>
        <w:t>Comparison of Accelerated Failure Time (AFT) models under alternative parametric distributional assumptions</w:t>
      </w:r>
    </w:p>
    <w:tbl>
      <w:tblPr>
        <w:tblStyle w:val="9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445"/>
        <w:gridCol w:w="1445"/>
        <w:gridCol w:w="1518"/>
        <w:gridCol w:w="1531"/>
      </w:tblGrid>
      <w:tr>
        <w:trPr>
          <w:trHeight w:val="413" w:hRule="atLeast"/>
        </w:trPr>
        <w:tc>
          <w:tcPr>
            <w:tcW w:w="1514" w:type="pct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data distribution</w:t>
            </w:r>
          </w:p>
        </w:tc>
        <w:tc>
          <w:tcPr>
            <w:tcW w:w="848" w:type="pct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  <w:t>AIC</w:t>
            </w:r>
          </w:p>
        </w:tc>
        <w:tc>
          <w:tcPr>
            <w:tcW w:w="848" w:type="pct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BIC</w:t>
            </w:r>
          </w:p>
        </w:tc>
        <w:tc>
          <w:tcPr>
            <w:tcW w:w="891" w:type="pct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Rank(AIC)</w:t>
            </w:r>
          </w:p>
        </w:tc>
        <w:tc>
          <w:tcPr>
            <w:tcW w:w="898" w:type="pct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Rank(BIC)</w:t>
            </w:r>
          </w:p>
        </w:tc>
      </w:tr>
      <w:tr>
        <w:trPr>
          <w:trHeight w:val="341" w:hRule="atLeast"/>
        </w:trPr>
        <w:tc>
          <w:tcPr>
            <w:tcW w:w="1514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Log-normal</w:t>
            </w:r>
          </w:p>
        </w:tc>
        <w:tc>
          <w:tcPr>
            <w:tcW w:w="848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1487.11</w:t>
            </w:r>
          </w:p>
        </w:tc>
        <w:tc>
          <w:tcPr>
            <w:tcW w:w="848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1492.30</w:t>
            </w:r>
          </w:p>
        </w:tc>
        <w:tc>
          <w:tcPr>
            <w:tcW w:w="891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898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15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  <w:t>Log-logistic</w:t>
            </w:r>
          </w:p>
        </w:tc>
        <w:tc>
          <w:tcPr>
            <w:tcW w:w="8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1492.43</w:t>
            </w:r>
          </w:p>
        </w:tc>
        <w:tc>
          <w:tcPr>
            <w:tcW w:w="8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1497.62</w:t>
            </w:r>
          </w:p>
        </w:tc>
        <w:tc>
          <w:tcPr>
            <w:tcW w:w="8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</w:tr>
      <w:tr>
        <w:trPr>
          <w:trHeight w:val="330" w:hRule="atLeast"/>
        </w:trPr>
        <w:tc>
          <w:tcPr>
            <w:tcW w:w="15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  <w:t>Weibull</w:t>
            </w:r>
          </w:p>
        </w:tc>
        <w:tc>
          <w:tcPr>
            <w:tcW w:w="8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1493.03</w:t>
            </w:r>
          </w:p>
        </w:tc>
        <w:tc>
          <w:tcPr>
            <w:tcW w:w="8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1498.22</w:t>
            </w:r>
          </w:p>
        </w:tc>
        <w:tc>
          <w:tcPr>
            <w:tcW w:w="8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</w:tr>
      <w:tr>
        <w:trPr>
          <w:trHeight w:val="341" w:hRule="atLeast"/>
        </w:trPr>
        <w:tc>
          <w:tcPr>
            <w:tcW w:w="15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  <w:t>Exponential</w:t>
            </w:r>
          </w:p>
        </w:tc>
        <w:tc>
          <w:tcPr>
            <w:tcW w:w="8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1502.74</w:t>
            </w:r>
          </w:p>
        </w:tc>
        <w:tc>
          <w:tcPr>
            <w:tcW w:w="8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1507.93</w:t>
            </w:r>
          </w:p>
        </w:tc>
        <w:tc>
          <w:tcPr>
            <w:tcW w:w="8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AIC: Akaike Information Criterion, BIC: Bayesian Information Criterion</w:t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</w:pPr>
      <w:bookmarkStart w:id="29" w:name="_Toc644512567"/>
      <w:r>
        <w:rPr>
          <w:rStyle w:val="13"/>
          <w:rFonts w:hint="default" w:ascii="Arial Bold" w:hAnsi="Arial Bold" w:cs="Arial Bold"/>
          <w:b/>
          <w:bCs/>
          <w:sz w:val="24"/>
          <w:szCs w:val="24"/>
          <w:lang w:val="en-US"/>
        </w:rPr>
        <w:t>Table S</w:t>
      </w:r>
      <w:r>
        <w:rPr>
          <w:rStyle w:val="13"/>
          <w:rFonts w:hint="default" w:ascii="Arial Bold" w:hAnsi="Arial Bold" w:cs="Arial Bold"/>
          <w:b/>
          <w:bCs/>
          <w:sz w:val="24"/>
          <w:szCs w:val="24"/>
          <w:lang w:val="en-US" w:eastAsia="zh-CN"/>
        </w:rPr>
        <w:t>3</w:t>
      </w:r>
      <w:r>
        <w:rPr>
          <w:rStyle w:val="13"/>
          <w:rFonts w:hint="default" w:ascii="Arial Bold" w:hAnsi="Arial Bold" w:cs="Arial Bold"/>
          <w:b/>
          <w:bCs/>
          <w:sz w:val="24"/>
          <w:szCs w:val="24"/>
        </w:rPr>
        <w:t xml:space="preserve">. </w:t>
      </w:r>
      <w:bookmarkEnd w:id="29"/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Missing Values and Proportions for Variables in the BMI change pattern subsample (n=579)</w:t>
      </w:r>
    </w:p>
    <w:tbl>
      <w:tblPr>
        <w:tblStyle w:val="9"/>
        <w:tblpPr w:leftFromText="180" w:rightFromText="180" w:vertAnchor="text" w:horzAnchor="page" w:tblpX="1897" w:tblpY="209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2101"/>
        <w:gridCol w:w="1295"/>
        <w:gridCol w:w="1007"/>
        <w:gridCol w:w="1594"/>
      </w:tblGrid>
      <w:tr>
        <w:trPr>
          <w:jc w:val="center"/>
        </w:trPr>
        <w:tc>
          <w:tcPr>
            <w:tcW w:w="247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variable type</w:t>
            </w:r>
          </w:p>
        </w:tc>
        <w:tc>
          <w:tcPr>
            <w:tcW w:w="21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variable name</w:t>
            </w:r>
          </w:p>
        </w:tc>
        <w:tc>
          <w:tcPr>
            <w:tcW w:w="129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population</w:t>
            </w:r>
          </w:p>
        </w:tc>
        <w:tc>
          <w:tcPr>
            <w:tcW w:w="100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missing values</w:t>
            </w:r>
          </w:p>
        </w:tc>
        <w:tc>
          <w:tcPr>
            <w:tcW w:w="159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/>
                <w:bCs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/>
                <w:bCs/>
                <w:sz w:val="20"/>
                <w:szCs w:val="20"/>
                <w:lang w:val="en-US" w:eastAsia="zh-CN"/>
              </w:rPr>
              <w:t>proportion of missingness</w:t>
            </w:r>
          </w:p>
        </w:tc>
      </w:tr>
      <w:tr>
        <w:trPr>
          <w:jc w:val="center"/>
        </w:trPr>
        <w:tc>
          <w:tcPr>
            <w:tcW w:w="247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Independent variable</w:t>
            </w:r>
          </w:p>
        </w:tc>
        <w:tc>
          <w:tcPr>
            <w:tcW w:w="2101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bmi</w:t>
            </w:r>
          </w:p>
        </w:tc>
        <w:tc>
          <w:tcPr>
            <w:tcW w:w="12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bmi_c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trHeight w:val="343" w:hRule="atLeast"/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Dependent variable</w:t>
            </w: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time_month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event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Sociodemographic characteristics</w:t>
            </w: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age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ethnicit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marital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economic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97</w:t>
            </w:r>
          </w:p>
        </w:tc>
        <w:tc>
          <w:tcPr>
            <w:tcW w:w="15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16.75%</w:t>
            </w: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educational leve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residence type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Behavioral and lifestyle factors</w:t>
            </w: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smoking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drinking status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physical activity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312</w:t>
            </w:r>
          </w:p>
        </w:tc>
        <w:tc>
          <w:tcPr>
            <w:tcW w:w="15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53.89%</w:t>
            </w:r>
          </w:p>
        </w:tc>
      </w:tr>
      <w:tr>
        <w:trPr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</w:p>
        </w:tc>
        <w:tc>
          <w:tcPr>
            <w:tcW w:w="2101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sleep duration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5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strike w:val="0"/>
                <w:d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1.55%</w:t>
            </w:r>
          </w:p>
        </w:tc>
      </w:tr>
      <w:tr>
        <w:trPr>
          <w:jc w:val="center"/>
        </w:trPr>
        <w:tc>
          <w:tcPr>
            <w:tcW w:w="2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</w:rPr>
            </w:pPr>
            <w:r>
              <w:rPr>
                <w:rFonts w:hint="default" w:ascii="Arial Regular" w:hAnsi="Arial Regular" w:cs="Arial Regular"/>
                <w:sz w:val="20"/>
                <w:szCs w:val="20"/>
                <w:lang w:val="en-US" w:eastAsia="zh-CN"/>
              </w:rPr>
              <w:t>Health status</w:t>
            </w:r>
          </w:p>
        </w:tc>
        <w:tc>
          <w:tcPr>
            <w:tcW w:w="21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 Regular" w:hAnsi="Arial Regular" w:eastAsia="Songti SC" w:cs="Arial Regular"/>
                <w:b w:val="0"/>
                <w:color w:val="auto"/>
                <w:sz w:val="20"/>
                <w:szCs w:val="20"/>
                <w:lang w:val="en-US" w:eastAsia="zh-CN"/>
              </w:rPr>
              <w:t>depressive symptoms</w:t>
            </w:r>
          </w:p>
        </w:tc>
        <w:tc>
          <w:tcPr>
            <w:tcW w:w="12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579</w:t>
            </w:r>
          </w:p>
        </w:tc>
        <w:tc>
          <w:tcPr>
            <w:tcW w:w="10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Arial Regular" w:hAnsi="Arial Regular" w:cs="Arial Regular" w:eastAsia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 Regular" w:hAnsi="Arial Regular" w:cs="Arial Regular"/>
                <w:b w:val="0"/>
                <w:bCs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0.17% </w:t>
            </w:r>
          </w:p>
        </w:tc>
      </w:tr>
    </w:tbl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</w:pPr>
      <w:bookmarkStart w:id="30" w:name="_Toc415198101"/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 xml:space="preserve">Table S4. </w:t>
      </w:r>
      <w:bookmarkEnd w:id="30"/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Accelerated failure time model for time to T2DM (Log-normal distribution, underweight individuals excluded, n=1290)</w:t>
      </w:r>
    </w:p>
    <w:tbl>
      <w:tblPr>
        <w:tblStyle w:val="8"/>
        <w:tblW w:w="747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667"/>
        <w:gridCol w:w="2058"/>
        <w:gridCol w:w="1452"/>
      </w:tblGrid>
      <w:tr>
        <w:trPr>
          <w:trHeight w:val="628" w:hRule="atLeast"/>
          <w:jc w:val="center"/>
        </w:trPr>
        <w:tc>
          <w:tcPr>
            <w:tcW w:w="130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</w:t>
            </w:r>
          </w:p>
        </w:tc>
        <w:tc>
          <w:tcPr>
            <w:tcW w:w="2667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BMI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ref: underweight/normal weight</w:t>
            </w:r>
          </w:p>
        </w:tc>
        <w:tc>
          <w:tcPr>
            <w:tcW w:w="2058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  <w:t xml:space="preserve">TR (95% </w:t>
            </w:r>
            <w:r>
              <w:rPr>
                <w:rFonts w:hint="default" w:ascii="Arial Regular" w:hAnsi="Arial Regular" w:cs="Arial Regular"/>
                <w:i w:val="0"/>
                <w:iCs/>
                <w:color w:val="000000"/>
                <w:sz w:val="20"/>
                <w:szCs w:val="20"/>
              </w:rPr>
              <w:t>CI</w:t>
            </w: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>
        <w:trPr>
          <w:trHeight w:val="337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1</w:t>
            </w:r>
          </w:p>
        </w:tc>
        <w:tc>
          <w:tcPr>
            <w:tcW w:w="266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0.586 (0.423-0.811)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0.356 (0.244-0.520)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2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0.571 (0.411-0.794)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0.346 (0.235-0.508)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3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0.577 (0.416-0.799)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0.353 (0.240-0.517)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4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0.575 (0.414-0.798)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37" w:hRule="atLeast"/>
          <w:jc w:val="center"/>
        </w:trPr>
        <w:tc>
          <w:tcPr>
            <w:tcW w:w="1300" w:type="dxa"/>
            <w:vMerge w:val="continue"/>
            <w:tcBorders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0.353 (0.247-0.505)</w:t>
            </w: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status, physical activity and sleep duration. Model 4 further incorporated depressive symptoms.</w:t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Arial Bold" w:hAnsi="Arial Bold" w:eastAsia="Songti SC" w:cs="Arial Bold"/>
          <w:b/>
          <w:sz w:val="24"/>
          <w:szCs w:val="24"/>
          <w:lang w:val="en-US"/>
        </w:rPr>
      </w:pPr>
      <w:bookmarkStart w:id="31" w:name="_Toc1060114404"/>
      <w:r>
        <w:rPr>
          <w:rStyle w:val="13"/>
          <w:rFonts w:hint="default" w:ascii="Arial Bold" w:hAnsi="Arial Bold" w:cs="Arial Bold"/>
          <w:b/>
          <w:sz w:val="24"/>
          <w:szCs w:val="24"/>
          <w:lang w:val="en-US"/>
        </w:rPr>
        <w:t>Table S5</w:t>
      </w:r>
      <w:r>
        <w:rPr>
          <w:rStyle w:val="13"/>
          <w:rFonts w:hint="default" w:ascii="Arial Bold" w:hAnsi="Arial Bold" w:cs="Arial Bold"/>
          <w:b/>
          <w:sz w:val="24"/>
          <w:szCs w:val="24"/>
        </w:rPr>
        <w:t>.</w:t>
      </w:r>
      <w:r>
        <w:rPr>
          <w:rStyle w:val="13"/>
          <w:rFonts w:hint="default" w:ascii="Arial Bold" w:hAnsi="Arial Bold" w:cs="Arial Bold"/>
          <w:b/>
          <w:sz w:val="24"/>
          <w:szCs w:val="24"/>
          <w:lang w:val="en-US"/>
        </w:rPr>
        <w:t xml:space="preserve"> </w:t>
      </w:r>
      <w:bookmarkEnd w:id="31"/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Accelerated failure time model for time to T2DM (Log-normal distribution, Physical activity excluded, n=1325</w:t>
      </w:r>
      <w:r>
        <w:rPr>
          <w:rFonts w:hint="default" w:ascii="Arial" w:hAnsi="Arial" w:eastAsia="Songti SC" w:cs="Arial"/>
          <w:b w:val="0"/>
          <w:bCs/>
          <w:sz w:val="24"/>
          <w:szCs w:val="24"/>
          <w:lang w:val="en-US"/>
        </w:rPr>
        <w:t>)</w:t>
      </w:r>
    </w:p>
    <w:tbl>
      <w:tblPr>
        <w:tblStyle w:val="8"/>
        <w:tblW w:w="747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667"/>
        <w:gridCol w:w="2058"/>
        <w:gridCol w:w="1452"/>
      </w:tblGrid>
      <w:tr>
        <w:trPr>
          <w:trHeight w:val="628" w:hRule="atLeast"/>
          <w:jc w:val="center"/>
        </w:trPr>
        <w:tc>
          <w:tcPr>
            <w:tcW w:w="130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</w:t>
            </w:r>
          </w:p>
        </w:tc>
        <w:tc>
          <w:tcPr>
            <w:tcW w:w="2667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BMI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ref: underweight/normal weight</w:t>
            </w:r>
          </w:p>
        </w:tc>
        <w:tc>
          <w:tcPr>
            <w:tcW w:w="2058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  <w:t xml:space="preserve">TR (95% </w:t>
            </w:r>
            <w:r>
              <w:rPr>
                <w:rFonts w:hint="default" w:ascii="Arial Regular" w:hAnsi="Arial Regular" w:cs="Arial Regular"/>
                <w:i w:val="0"/>
                <w:iCs/>
                <w:color w:val="000000"/>
                <w:sz w:val="20"/>
                <w:szCs w:val="20"/>
              </w:rPr>
              <w:t>CI</w:t>
            </w: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>
        <w:trPr>
          <w:trHeight w:val="337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1</w:t>
            </w:r>
          </w:p>
        </w:tc>
        <w:tc>
          <w:tcPr>
            <w:tcW w:w="266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0.586 (0.423-0.811)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0.356 (0.244-0.520)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2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0.573 (0.412-0.797)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0.344 (0.234-0.505)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3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0.577 (0.416-0.800)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0.351 (0.239-0.513)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27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Model 4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0.576 (0.414-0.799)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rPr>
          <w:trHeight w:val="337" w:hRule="atLeast"/>
          <w:jc w:val="center"/>
        </w:trPr>
        <w:tc>
          <w:tcPr>
            <w:tcW w:w="1300" w:type="dxa"/>
            <w:vMerge w:val="continue"/>
            <w:tcBorders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obeses</w:t>
            </w:r>
          </w:p>
        </w:tc>
        <w:tc>
          <w:tcPr>
            <w:tcW w:w="2058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  <w:lang w:val="en-US" w:eastAsia="zh-CN"/>
              </w:rPr>
              <w:t>0.351 (0.247-0.500)</w:t>
            </w: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 Regular" w:hAnsi="Arial Regular" w:cs="Arial Regular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Arial Regular" w:hAnsi="Arial Regular" w:eastAsia="宋体" w:cs="Arial Regular"/>
                <w:i w:val="0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Songti SC" w:cs="Times New Roman Regular"/>
          <w:bCs/>
          <w:i w:val="0"/>
          <w:sz w:val="20"/>
          <w:szCs w:val="20"/>
          <w:lang w:val="en-US" w:eastAsia="zh-CN"/>
        </w:rPr>
        <w:t xml:space="preserve">Notes. Model 1 represented the crude model without adjustment for any variables. Model 2 adjusted sociodemographic factors, including age, ethnicity, economic level, education level, marital status, and residence type. Model 3 further adjusted for behavioral and lifestyle factors—specifically smoking status, drinking status and sleep duration. Model 4 further incorporated depressive symptom.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NewRom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X8imvd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EA74E"/>
    <w:rsid w:val="05BF2AAE"/>
    <w:rsid w:val="07DEFF3D"/>
    <w:rsid w:val="0EBE21BD"/>
    <w:rsid w:val="0EFF04FF"/>
    <w:rsid w:val="0FF76237"/>
    <w:rsid w:val="17F74B08"/>
    <w:rsid w:val="17FB4504"/>
    <w:rsid w:val="1BD2380A"/>
    <w:rsid w:val="1DFD1A5E"/>
    <w:rsid w:val="1E75F82C"/>
    <w:rsid w:val="1FBBC420"/>
    <w:rsid w:val="23DB4B3B"/>
    <w:rsid w:val="277E436B"/>
    <w:rsid w:val="27EF25EA"/>
    <w:rsid w:val="2A2F2163"/>
    <w:rsid w:val="2F8E9098"/>
    <w:rsid w:val="2FB6E1B0"/>
    <w:rsid w:val="2FFDEA40"/>
    <w:rsid w:val="354FA98B"/>
    <w:rsid w:val="35DF49A2"/>
    <w:rsid w:val="37772F92"/>
    <w:rsid w:val="37B66533"/>
    <w:rsid w:val="37BBA181"/>
    <w:rsid w:val="37CF222B"/>
    <w:rsid w:val="3AD7B3D0"/>
    <w:rsid w:val="3B5FC8BE"/>
    <w:rsid w:val="3BABD2B8"/>
    <w:rsid w:val="3BC5AF1B"/>
    <w:rsid w:val="3D7EA1DB"/>
    <w:rsid w:val="3DDF8DFE"/>
    <w:rsid w:val="3DDFC8D9"/>
    <w:rsid w:val="3DFBE283"/>
    <w:rsid w:val="3DFFBC9A"/>
    <w:rsid w:val="3E572CE4"/>
    <w:rsid w:val="3E5F17F6"/>
    <w:rsid w:val="3EFF25A8"/>
    <w:rsid w:val="3F5FE7B9"/>
    <w:rsid w:val="3F7E518D"/>
    <w:rsid w:val="3FB18563"/>
    <w:rsid w:val="3FFE6D3E"/>
    <w:rsid w:val="3FFEFF45"/>
    <w:rsid w:val="45F3EC7E"/>
    <w:rsid w:val="47D603A5"/>
    <w:rsid w:val="4B324B91"/>
    <w:rsid w:val="4D9BB492"/>
    <w:rsid w:val="537E0C5A"/>
    <w:rsid w:val="55EFC109"/>
    <w:rsid w:val="58FB32CC"/>
    <w:rsid w:val="5B7A03F7"/>
    <w:rsid w:val="5BC91622"/>
    <w:rsid w:val="5BEB8FBB"/>
    <w:rsid w:val="5DE1D5C0"/>
    <w:rsid w:val="5E7D00C4"/>
    <w:rsid w:val="5EDD9283"/>
    <w:rsid w:val="5EFD5880"/>
    <w:rsid w:val="5EFFB948"/>
    <w:rsid w:val="5F5BF743"/>
    <w:rsid w:val="5F7EA74E"/>
    <w:rsid w:val="5F9F5055"/>
    <w:rsid w:val="5FB7E079"/>
    <w:rsid w:val="5FBF9B88"/>
    <w:rsid w:val="5FF7D1D2"/>
    <w:rsid w:val="5FFBC0AF"/>
    <w:rsid w:val="5FFF7CA0"/>
    <w:rsid w:val="63FD8BC4"/>
    <w:rsid w:val="65EF0E45"/>
    <w:rsid w:val="65FFD755"/>
    <w:rsid w:val="66B795BF"/>
    <w:rsid w:val="66BBDCA5"/>
    <w:rsid w:val="66CFF9D6"/>
    <w:rsid w:val="66EFAC89"/>
    <w:rsid w:val="66FFA88E"/>
    <w:rsid w:val="677E6470"/>
    <w:rsid w:val="67AE5DD1"/>
    <w:rsid w:val="68F5998A"/>
    <w:rsid w:val="69F90435"/>
    <w:rsid w:val="6AE78627"/>
    <w:rsid w:val="6BB770A0"/>
    <w:rsid w:val="6C5FB28C"/>
    <w:rsid w:val="6DE32719"/>
    <w:rsid w:val="6EED286D"/>
    <w:rsid w:val="6EFA841B"/>
    <w:rsid w:val="6EFA8C27"/>
    <w:rsid w:val="6EFD9631"/>
    <w:rsid w:val="6FFA583A"/>
    <w:rsid w:val="6FFB60B5"/>
    <w:rsid w:val="6FFF217F"/>
    <w:rsid w:val="70A60C29"/>
    <w:rsid w:val="73FFD00D"/>
    <w:rsid w:val="74AFE95F"/>
    <w:rsid w:val="74FF601A"/>
    <w:rsid w:val="751F4746"/>
    <w:rsid w:val="755EE7C8"/>
    <w:rsid w:val="75BD86DA"/>
    <w:rsid w:val="76A7174A"/>
    <w:rsid w:val="76F6B086"/>
    <w:rsid w:val="76FB88EB"/>
    <w:rsid w:val="77B97305"/>
    <w:rsid w:val="77DF8457"/>
    <w:rsid w:val="77E31904"/>
    <w:rsid w:val="77F5A577"/>
    <w:rsid w:val="77F76571"/>
    <w:rsid w:val="77FB1180"/>
    <w:rsid w:val="77FF369B"/>
    <w:rsid w:val="787BE6F5"/>
    <w:rsid w:val="78EFEF62"/>
    <w:rsid w:val="79CF68C4"/>
    <w:rsid w:val="79DFFF45"/>
    <w:rsid w:val="7ABE3EB3"/>
    <w:rsid w:val="7B7771F8"/>
    <w:rsid w:val="7B9FB34C"/>
    <w:rsid w:val="7BB77A2C"/>
    <w:rsid w:val="7BE5E832"/>
    <w:rsid w:val="7BECE513"/>
    <w:rsid w:val="7BF59ED2"/>
    <w:rsid w:val="7CBE4A9F"/>
    <w:rsid w:val="7CD72F02"/>
    <w:rsid w:val="7CDECF36"/>
    <w:rsid w:val="7CF5C904"/>
    <w:rsid w:val="7DBFF58D"/>
    <w:rsid w:val="7DDB7D19"/>
    <w:rsid w:val="7DEAB3A9"/>
    <w:rsid w:val="7DEE2090"/>
    <w:rsid w:val="7DFF08B3"/>
    <w:rsid w:val="7EAF55E9"/>
    <w:rsid w:val="7ECFE754"/>
    <w:rsid w:val="7EF6D752"/>
    <w:rsid w:val="7EFD514B"/>
    <w:rsid w:val="7F3D147A"/>
    <w:rsid w:val="7F3D1C98"/>
    <w:rsid w:val="7F4F4C7B"/>
    <w:rsid w:val="7F5DF9ED"/>
    <w:rsid w:val="7F5FEF98"/>
    <w:rsid w:val="7F678B9A"/>
    <w:rsid w:val="7F7DECC0"/>
    <w:rsid w:val="7FB737D4"/>
    <w:rsid w:val="7FBB0C21"/>
    <w:rsid w:val="7FBB3304"/>
    <w:rsid w:val="7FC78D47"/>
    <w:rsid w:val="7FCD3969"/>
    <w:rsid w:val="7FCDE5F5"/>
    <w:rsid w:val="7FCE321E"/>
    <w:rsid w:val="7FD9988C"/>
    <w:rsid w:val="7FDF016F"/>
    <w:rsid w:val="7FDF7E32"/>
    <w:rsid w:val="7FE7A345"/>
    <w:rsid w:val="7FEC95CE"/>
    <w:rsid w:val="7FF1F42F"/>
    <w:rsid w:val="7FFB5D48"/>
    <w:rsid w:val="7FFF48FE"/>
    <w:rsid w:val="82FF8574"/>
    <w:rsid w:val="8ADB465D"/>
    <w:rsid w:val="8FB56709"/>
    <w:rsid w:val="93E6BF88"/>
    <w:rsid w:val="97B709B6"/>
    <w:rsid w:val="9999E0B1"/>
    <w:rsid w:val="9B5C8A7B"/>
    <w:rsid w:val="9F6D7F87"/>
    <w:rsid w:val="AC577A3A"/>
    <w:rsid w:val="AEFFB8D1"/>
    <w:rsid w:val="AFA3752C"/>
    <w:rsid w:val="AFFE9211"/>
    <w:rsid w:val="AFFEB0D5"/>
    <w:rsid w:val="B4886587"/>
    <w:rsid w:val="B63FFD35"/>
    <w:rsid w:val="B6DF370E"/>
    <w:rsid w:val="B71CFF89"/>
    <w:rsid w:val="B7CA1B55"/>
    <w:rsid w:val="B7D9A7B2"/>
    <w:rsid w:val="B9FF071F"/>
    <w:rsid w:val="BAB55F70"/>
    <w:rsid w:val="BBDF198E"/>
    <w:rsid w:val="BBEF3C7F"/>
    <w:rsid w:val="BBF3A2CE"/>
    <w:rsid w:val="BD520349"/>
    <w:rsid w:val="BD996F47"/>
    <w:rsid w:val="BDFB2C0B"/>
    <w:rsid w:val="BDFF16A1"/>
    <w:rsid w:val="BE194283"/>
    <w:rsid w:val="BE5D89E7"/>
    <w:rsid w:val="BEFDFE23"/>
    <w:rsid w:val="BF3FDF56"/>
    <w:rsid w:val="BF778C57"/>
    <w:rsid w:val="BFD731E4"/>
    <w:rsid w:val="BFDF1630"/>
    <w:rsid w:val="BFEF4A66"/>
    <w:rsid w:val="BFF77D1B"/>
    <w:rsid w:val="BFFFE0FF"/>
    <w:rsid w:val="C75B16C4"/>
    <w:rsid w:val="CFB74408"/>
    <w:rsid w:val="CFFD5EB5"/>
    <w:rsid w:val="D2FDAC12"/>
    <w:rsid w:val="D6EBDC9D"/>
    <w:rsid w:val="D6FA4845"/>
    <w:rsid w:val="D7FC7863"/>
    <w:rsid w:val="DAEDCBEA"/>
    <w:rsid w:val="DBDB6506"/>
    <w:rsid w:val="DBDFA45D"/>
    <w:rsid w:val="DBF6E663"/>
    <w:rsid w:val="DC7BA5D3"/>
    <w:rsid w:val="DEAD0BA6"/>
    <w:rsid w:val="DEBA6FF3"/>
    <w:rsid w:val="DEFF8F7A"/>
    <w:rsid w:val="DFB3CB3C"/>
    <w:rsid w:val="DFCF3474"/>
    <w:rsid w:val="DFE54108"/>
    <w:rsid w:val="DFEFF53E"/>
    <w:rsid w:val="DFF9DF57"/>
    <w:rsid w:val="DFFE9AD7"/>
    <w:rsid w:val="E3FB69B8"/>
    <w:rsid w:val="E5E78ED6"/>
    <w:rsid w:val="E6D9B4FE"/>
    <w:rsid w:val="E6EFC98A"/>
    <w:rsid w:val="E7DF82EA"/>
    <w:rsid w:val="E7F96F2C"/>
    <w:rsid w:val="EBCD3D7B"/>
    <w:rsid w:val="EC7A2F04"/>
    <w:rsid w:val="EDF0AAD5"/>
    <w:rsid w:val="EF7B2BBE"/>
    <w:rsid w:val="EF7F95C0"/>
    <w:rsid w:val="EFAF3E4B"/>
    <w:rsid w:val="EFBDC800"/>
    <w:rsid w:val="EFE9DE5C"/>
    <w:rsid w:val="EFFA8AD2"/>
    <w:rsid w:val="EFFD3DD3"/>
    <w:rsid w:val="EFFF84AD"/>
    <w:rsid w:val="EFFF8911"/>
    <w:rsid w:val="F2D725B6"/>
    <w:rsid w:val="F3EF78E7"/>
    <w:rsid w:val="F53E9130"/>
    <w:rsid w:val="F55FD1CC"/>
    <w:rsid w:val="F5BD7EF4"/>
    <w:rsid w:val="F5FDCE05"/>
    <w:rsid w:val="F67BDBDD"/>
    <w:rsid w:val="F6E7014B"/>
    <w:rsid w:val="F6F5B0CE"/>
    <w:rsid w:val="F74F6575"/>
    <w:rsid w:val="F7AF2668"/>
    <w:rsid w:val="F7B3899E"/>
    <w:rsid w:val="F7BCA82F"/>
    <w:rsid w:val="F7BF3591"/>
    <w:rsid w:val="F7CA47FA"/>
    <w:rsid w:val="F7D12E67"/>
    <w:rsid w:val="F7D71304"/>
    <w:rsid w:val="F7F7E49F"/>
    <w:rsid w:val="F7FDF1F4"/>
    <w:rsid w:val="F7FE4DA2"/>
    <w:rsid w:val="F87BD203"/>
    <w:rsid w:val="FB57D924"/>
    <w:rsid w:val="FBA2D7D1"/>
    <w:rsid w:val="FBBE016C"/>
    <w:rsid w:val="FBBE9C0F"/>
    <w:rsid w:val="FBBF8F20"/>
    <w:rsid w:val="FBF694FA"/>
    <w:rsid w:val="FBF747B9"/>
    <w:rsid w:val="FBFFBC4A"/>
    <w:rsid w:val="FBFFD7C5"/>
    <w:rsid w:val="FC7DCBE0"/>
    <w:rsid w:val="FCFAA5B0"/>
    <w:rsid w:val="FCFDBB78"/>
    <w:rsid w:val="FD13DDE1"/>
    <w:rsid w:val="FD7FDAB4"/>
    <w:rsid w:val="FDAFA3A8"/>
    <w:rsid w:val="FDDF6008"/>
    <w:rsid w:val="FDDFF711"/>
    <w:rsid w:val="FDF18E69"/>
    <w:rsid w:val="FDFC787A"/>
    <w:rsid w:val="FE2BBA73"/>
    <w:rsid w:val="FE7577D3"/>
    <w:rsid w:val="FE7E1029"/>
    <w:rsid w:val="FEE77B74"/>
    <w:rsid w:val="FEE94AE4"/>
    <w:rsid w:val="FEF77805"/>
    <w:rsid w:val="FEFB7DBC"/>
    <w:rsid w:val="FEFE1A9F"/>
    <w:rsid w:val="FEFE6A55"/>
    <w:rsid w:val="FEFF8004"/>
    <w:rsid w:val="FF3D47E4"/>
    <w:rsid w:val="FF779201"/>
    <w:rsid w:val="FF7B9E7C"/>
    <w:rsid w:val="FFAF584A"/>
    <w:rsid w:val="FFB54B7F"/>
    <w:rsid w:val="FFCF5FD6"/>
    <w:rsid w:val="FFD78FD5"/>
    <w:rsid w:val="FFDDF773"/>
    <w:rsid w:val="FFDF87D2"/>
    <w:rsid w:val="FFDFF92C"/>
    <w:rsid w:val="FFE7295E"/>
    <w:rsid w:val="FFEDE72A"/>
    <w:rsid w:val="FFEFC98E"/>
    <w:rsid w:val="FFF450D7"/>
    <w:rsid w:val="FFF76E5C"/>
    <w:rsid w:val="FFF8F80B"/>
    <w:rsid w:val="FFFF0516"/>
    <w:rsid w:val="FF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TimesNewRome"/>
      <w:b/>
      <w:kern w:val="44"/>
      <w:sz w:val="22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宋体" w:cs="宋体"/>
      <w:b/>
      <w:bCs/>
      <w:kern w:val="0"/>
      <w:sz w:val="22"/>
      <w:szCs w:val="36"/>
      <w:lang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  <w:style w:type="paragraph" w:customStyle="1" w:styleId="12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3">
    <w:name w:val="标题 2 Char"/>
    <w:link w:val="3"/>
    <w:uiPriority w:val="0"/>
    <w:rPr>
      <w:rFonts w:hint="default" w:ascii="Times New Roman" w:hAnsi="Times New Roman" w:eastAsia="宋体" w:cs="宋体"/>
      <w:b/>
      <w:bCs/>
      <w:kern w:val="0"/>
      <w:sz w:val="22"/>
      <w:szCs w:val="36"/>
      <w:lang w:bidi="ar"/>
    </w:rPr>
  </w:style>
  <w:style w:type="paragraph" w:customStyle="1" w:styleId="14">
    <w:name w:val="WPSOffice手动目录 2"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0</Words>
  <Characters>0</Characters>
  <Lines>0</Lines>
  <Paragraphs>0</Paragraphs>
  <TotalTime>13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2026-04-11T15:07:00Z</dcterms:created>
  <dc:creator>祁婧</dc:creator>
  <cp:lastModifiedBy>祁婧</cp:lastModifiedBy>
  <dcterms:modified xsi:type="dcterms:W3CDTF">2026-08-07T15:43:52Z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6C8D9A8D746AFA6C417C756A6ADD50A8_43</vt:lpwstr>
  </property>
</Properties>
</file>