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rPr>
          <w:b/>
          <w:sz w:val="30"/>
        </w:rPr>
        <w:t>Additional file 1</w:t>
      </w:r>
    </w:p>
    <w:p>
      <w:pPr>
        <w:jc w:val="left"/>
      </w:pPr>
      <w:r>
        <w:t>Supplementary methods and sensitivity analyses for “Geographic Sensitivity of COVID-19 Outcomes: A Multiscale Analysis of Temporal and Spatial Non-Stationarity in the Contiguous United States”.</w:t>
      </w:r>
    </w:p>
    <w:p>
      <w:pPr>
        <w:jc w:val="left"/>
      </w:pPr>
      <w:r>
        <w:t>This supplement provides model specifications, sensitivity analyses and diagnostics supporting the main results.</w:t>
      </w:r>
    </w:p>
    <w:p>
      <w:pPr>
        <w:pStyle w:val="Heading1"/>
        <w:keepNext/>
        <w:spacing w:before="240" w:after="80"/>
      </w:pPr>
      <w:r>
        <w:rPr>
          <w:b/>
          <w:color w:val="000000"/>
          <w:sz w:val="26"/>
        </w:rPr>
        <w:t>S1. Fixed dispersion in the negative-binomial models</w:t>
      </w:r>
    </w:p>
    <w:p>
      <w:pPr>
        <w:jc w:val="left"/>
      </w:pPr>
      <w:r>
        <w:t>We assessed the sensitivity of the size-only negative-binomial models to estimating the dispersion parameter, α, instead of fixing it at one. The comparison covered January-May 2020, May 2022-March 2023 and cumulative mortality. The largest absolute change in an incidence-rate ratio (IRR) was 0.0095, and all 95% confidence intervals remained on the same side of one (Table S1). Other windows and covariate specifications were not assessed.</w:t>
      </w:r>
    </w:p>
    <w:p>
      <w:pPr>
        <w:keepNext/>
        <w:spacing w:before="160" w:after="80"/>
      </w:pPr>
      <w:r>
        <w:rPr>
          <w:b/>
          <w:sz w:val="20"/>
        </w:rPr>
        <w:t>Table S1. Sensitivity of population-size estimates to dispersion.</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4"/>
        <w:gridCol w:w="1123"/>
        <w:gridCol w:w="749"/>
        <w:gridCol w:w="1512"/>
        <w:gridCol w:w="2592"/>
        <w:gridCol w:w="792"/>
      </w:tblGrid>
      <w:tr>
        <w:trPr>
          <w:cantSplit/>
          <w:tblHeader/>
        </w:trPr>
        <w:tc>
          <w:tcPr>
            <w:tcW w:type="dxa" w:w="1584"/>
            <w:vAlign w:val="center"/>
          </w:tcPr>
          <w:p>
            <w:pPr>
              <w:keepNext/>
              <w:spacing w:line="240" w:lineRule="auto" w:before="60" w:after="60"/>
            </w:pPr>
            <w:r>
              <w:rPr>
                <w:rFonts w:ascii="Times New Roman" w:hAnsi="Times New Roman"/>
                <w:b/>
                <w:color w:val="000000"/>
                <w:sz w:val="18"/>
              </w:rPr>
              <w:t>Model</w:t>
            </w:r>
          </w:p>
        </w:tc>
        <w:tc>
          <w:tcPr>
            <w:tcW w:type="dxa" w:w="1123"/>
            <w:vAlign w:val="center"/>
          </w:tcPr>
          <w:p>
            <w:pPr>
              <w:keepNext/>
              <w:spacing w:line="240" w:lineRule="auto" w:before="60" w:after="60"/>
            </w:pPr>
            <w:r>
              <w:rPr>
                <w:rFonts w:ascii="Times New Roman" w:hAnsi="Times New Roman"/>
                <w:b/>
                <w:color w:val="000000"/>
                <w:sz w:val="18"/>
              </w:rPr>
              <w:t>Dispersion</w:t>
            </w:r>
          </w:p>
        </w:tc>
        <w:tc>
          <w:tcPr>
            <w:tcW w:type="dxa" w:w="749"/>
            <w:vAlign w:val="center"/>
          </w:tcPr>
          <w:p>
            <w:pPr>
              <w:keepNext/>
              <w:spacing w:line="240" w:lineRule="auto" w:before="60" w:after="60"/>
            </w:pPr>
            <w:r>
              <w:rPr>
                <w:rFonts w:ascii="Times New Roman" w:hAnsi="Times New Roman"/>
                <w:b/>
                <w:color w:val="000000"/>
                <w:sz w:val="18"/>
              </w:rPr>
              <w:t>α</w:t>
            </w:r>
          </w:p>
        </w:tc>
        <w:tc>
          <w:tcPr>
            <w:tcW w:type="dxa" w:w="1512"/>
            <w:vAlign w:val="center"/>
          </w:tcPr>
          <w:p>
            <w:pPr>
              <w:keepNext/>
              <w:spacing w:line="240" w:lineRule="auto" w:before="60" w:after="60"/>
            </w:pPr>
            <w:r>
              <w:rPr>
                <w:rFonts w:ascii="Times New Roman" w:hAnsi="Times New Roman"/>
                <w:b/>
                <w:color w:val="000000"/>
                <w:sz w:val="18"/>
              </w:rPr>
              <w:t>IRR per SD of log(population)</w:t>
            </w:r>
          </w:p>
        </w:tc>
        <w:tc>
          <w:tcPr>
            <w:tcW w:type="dxa" w:w="2592"/>
            <w:vAlign w:val="center"/>
          </w:tcPr>
          <w:p>
            <w:pPr>
              <w:keepNext/>
              <w:spacing w:line="240" w:lineRule="auto" w:before="60" w:after="60"/>
            </w:pPr>
            <w:r>
              <w:rPr>
                <w:rFonts w:ascii="Times New Roman" w:hAnsi="Times New Roman"/>
                <w:b/>
                <w:color w:val="000000"/>
                <w:sz w:val="18"/>
              </w:rPr>
              <w:t>95% CI</w:t>
            </w:r>
          </w:p>
        </w:tc>
        <w:tc>
          <w:tcPr>
            <w:tcW w:type="dxa" w:w="792"/>
            <w:vAlign w:val="center"/>
          </w:tcPr>
          <w:p>
            <w:pPr>
              <w:keepNext/>
              <w:spacing w:line="240" w:lineRule="auto" w:before="60" w:after="60"/>
            </w:pPr>
            <w:r>
              <w:rPr>
                <w:rFonts w:ascii="Times New Roman" w:hAnsi="Times New Roman"/>
                <w:b/>
                <w:color w:val="000000"/>
                <w:sz w:val="18"/>
              </w:rPr>
              <w:t>P</w:t>
            </w:r>
          </w:p>
        </w:tc>
      </w:tr>
      <w:tr>
        <w:trPr>
          <w:cantSplit/>
        </w:trPr>
        <w:tc>
          <w:tcPr>
            <w:tcW w:type="dxa" w:w="1584"/>
            <w:vAlign w:val="center"/>
          </w:tcPr>
          <w:p>
            <w:pPr>
              <w:keepNext/>
              <w:spacing w:line="240" w:lineRule="auto" w:before="60" w:after="60"/>
            </w:pPr>
            <w:r>
              <w:rPr>
                <w:rFonts w:ascii="Times New Roman" w:hAnsi="Times New Roman"/>
                <w:color w:val="000000"/>
                <w:sz w:val="18"/>
              </w:rPr>
              <w:t>Jan-May 2020</w:t>
            </w:r>
          </w:p>
        </w:tc>
        <w:tc>
          <w:tcPr>
            <w:tcW w:type="dxa" w:w="1123"/>
            <w:vAlign w:val="center"/>
          </w:tcPr>
          <w:p>
            <w:pPr>
              <w:keepNext/>
              <w:spacing w:line="240" w:lineRule="auto" w:before="60" w:after="60"/>
            </w:pPr>
            <w:r>
              <w:rPr>
                <w:rFonts w:ascii="Times New Roman" w:hAnsi="Times New Roman"/>
                <w:color w:val="000000"/>
                <w:sz w:val="18"/>
              </w:rPr>
              <w:t>fixed 1.0</w:t>
            </w:r>
          </w:p>
        </w:tc>
        <w:tc>
          <w:tcPr>
            <w:tcW w:type="dxa" w:w="749"/>
            <w:vAlign w:val="center"/>
          </w:tcPr>
          <w:p>
            <w:pPr>
              <w:keepNext/>
              <w:spacing w:line="240" w:lineRule="auto" w:before="60" w:after="60"/>
            </w:pPr>
            <w:r>
              <w:rPr>
                <w:rFonts w:ascii="Times New Roman" w:hAnsi="Times New Roman"/>
                <w:color w:val="000000"/>
                <w:sz w:val="18"/>
              </w:rPr>
              <w:t>1.000</w:t>
            </w:r>
          </w:p>
        </w:tc>
        <w:tc>
          <w:tcPr>
            <w:tcW w:type="dxa" w:w="1512"/>
            <w:vAlign w:val="center"/>
          </w:tcPr>
          <w:p>
            <w:pPr>
              <w:keepNext/>
              <w:spacing w:line="240" w:lineRule="auto" w:before="60" w:after="60"/>
            </w:pPr>
            <w:r>
              <w:rPr>
                <w:rFonts w:ascii="Times New Roman" w:hAnsi="Times New Roman"/>
                <w:color w:val="000000"/>
                <w:sz w:val="18"/>
              </w:rPr>
              <w:t>1.4783</w:t>
            </w:r>
          </w:p>
        </w:tc>
        <w:tc>
          <w:tcPr>
            <w:tcW w:type="dxa" w:w="2592"/>
            <w:vAlign w:val="center"/>
          </w:tcPr>
          <w:p>
            <w:pPr>
              <w:keepNext/>
              <w:spacing w:line="240" w:lineRule="auto" w:before="60" w:after="60"/>
            </w:pPr>
            <w:r>
              <w:rPr>
                <w:rFonts w:ascii="Times New Roman" w:hAnsi="Times New Roman"/>
                <w:color w:val="000000"/>
                <w:sz w:val="18"/>
              </w:rPr>
              <w:t>1.4098 to 1.5501</w:t>
            </w:r>
          </w:p>
        </w:tc>
        <w:tc>
          <w:tcPr>
            <w:tcW w:type="dxa" w:w="792"/>
            <w:vAlign w:val="center"/>
          </w:tcPr>
          <w:p>
            <w:pPr>
              <w:keepNext/>
              <w:spacing w:line="240" w:lineRule="auto" w:before="60" w:after="60"/>
            </w:pPr>
            <w:r>
              <w:rPr>
                <w:rFonts w:ascii="Times New Roman" w:hAnsi="Times New Roman"/>
                <w:color w:val="000000"/>
                <w:sz w:val="18"/>
              </w:rPr>
              <w:t>&lt;0.001</w:t>
            </w:r>
          </w:p>
        </w:tc>
      </w:tr>
      <w:tr>
        <w:trPr>
          <w:cantSplit/>
        </w:trPr>
        <w:tc>
          <w:tcPr>
            <w:tcW w:type="dxa" w:w="1584"/>
            <w:vAlign w:val="center"/>
          </w:tcPr>
          <w:p>
            <w:pPr>
              <w:keepNext/>
              <w:spacing w:line="240" w:lineRule="auto" w:before="60" w:after="60"/>
            </w:pPr>
            <w:r>
              <w:rPr>
                <w:rFonts w:ascii="Times New Roman" w:hAnsi="Times New Roman"/>
                <w:color w:val="000000"/>
                <w:sz w:val="18"/>
              </w:rPr>
              <w:t>Jan-May 2020</w:t>
            </w:r>
          </w:p>
        </w:tc>
        <w:tc>
          <w:tcPr>
            <w:tcW w:type="dxa" w:w="1123"/>
            <w:vAlign w:val="center"/>
          </w:tcPr>
          <w:p>
            <w:pPr>
              <w:keepNext/>
              <w:spacing w:line="240" w:lineRule="auto" w:before="60" w:after="60"/>
            </w:pPr>
            <w:r>
              <w:rPr>
                <w:rFonts w:ascii="Times New Roman" w:hAnsi="Times New Roman"/>
                <w:color w:val="000000"/>
                <w:sz w:val="18"/>
              </w:rPr>
              <w:t>estimated</w:t>
            </w:r>
          </w:p>
        </w:tc>
        <w:tc>
          <w:tcPr>
            <w:tcW w:type="dxa" w:w="749"/>
            <w:vAlign w:val="center"/>
          </w:tcPr>
          <w:p>
            <w:pPr>
              <w:keepNext/>
              <w:spacing w:line="240" w:lineRule="auto" w:before="60" w:after="60"/>
            </w:pPr>
            <w:r>
              <w:rPr>
                <w:rFonts w:ascii="Times New Roman" w:hAnsi="Times New Roman"/>
                <w:color w:val="000000"/>
                <w:sz w:val="18"/>
              </w:rPr>
              <w:t>2.261</w:t>
            </w:r>
          </w:p>
        </w:tc>
        <w:tc>
          <w:tcPr>
            <w:tcW w:type="dxa" w:w="1512"/>
            <w:vAlign w:val="center"/>
          </w:tcPr>
          <w:p>
            <w:pPr>
              <w:keepNext/>
              <w:spacing w:line="240" w:lineRule="auto" w:before="60" w:after="60"/>
            </w:pPr>
            <w:r>
              <w:rPr>
                <w:rFonts w:ascii="Times New Roman" w:hAnsi="Times New Roman"/>
                <w:color w:val="000000"/>
                <w:sz w:val="18"/>
              </w:rPr>
              <w:t>1.4837</w:t>
            </w:r>
          </w:p>
        </w:tc>
        <w:tc>
          <w:tcPr>
            <w:tcW w:type="dxa" w:w="2592"/>
            <w:vAlign w:val="center"/>
          </w:tcPr>
          <w:p>
            <w:pPr>
              <w:keepNext/>
              <w:spacing w:line="240" w:lineRule="auto" w:before="60" w:after="60"/>
            </w:pPr>
            <w:r>
              <w:rPr>
                <w:rFonts w:ascii="Times New Roman" w:hAnsi="Times New Roman"/>
                <w:color w:val="000000"/>
                <w:sz w:val="18"/>
              </w:rPr>
              <w:t>1.3900 to 1.5837</w:t>
            </w:r>
          </w:p>
        </w:tc>
        <w:tc>
          <w:tcPr>
            <w:tcW w:type="dxa" w:w="792"/>
            <w:vAlign w:val="center"/>
          </w:tcPr>
          <w:p>
            <w:pPr>
              <w:keepNext/>
              <w:spacing w:line="240" w:lineRule="auto" w:before="60" w:after="60"/>
            </w:pPr>
            <w:r>
              <w:rPr>
                <w:rFonts w:ascii="Times New Roman" w:hAnsi="Times New Roman"/>
                <w:color w:val="000000"/>
                <w:sz w:val="18"/>
              </w:rPr>
              <w:t>&lt;0.001</w:t>
            </w:r>
          </w:p>
        </w:tc>
      </w:tr>
      <w:tr>
        <w:trPr>
          <w:cantSplit/>
        </w:trPr>
        <w:tc>
          <w:tcPr>
            <w:tcW w:type="dxa" w:w="1584"/>
            <w:vAlign w:val="center"/>
          </w:tcPr>
          <w:p>
            <w:pPr>
              <w:keepNext/>
              <w:spacing w:line="240" w:lineRule="auto" w:before="60" w:after="60"/>
            </w:pPr>
            <w:r>
              <w:rPr>
                <w:rFonts w:ascii="Times New Roman" w:hAnsi="Times New Roman"/>
                <w:color w:val="000000"/>
                <w:sz w:val="18"/>
              </w:rPr>
              <w:t>May 2022-Mar 2023</w:t>
            </w:r>
          </w:p>
        </w:tc>
        <w:tc>
          <w:tcPr>
            <w:tcW w:type="dxa" w:w="1123"/>
            <w:vAlign w:val="center"/>
          </w:tcPr>
          <w:p>
            <w:pPr>
              <w:keepNext/>
              <w:spacing w:line="240" w:lineRule="auto" w:before="60" w:after="60"/>
            </w:pPr>
            <w:r>
              <w:rPr>
                <w:rFonts w:ascii="Times New Roman" w:hAnsi="Times New Roman"/>
                <w:color w:val="000000"/>
                <w:sz w:val="18"/>
              </w:rPr>
              <w:t>fixed 1.0</w:t>
            </w:r>
          </w:p>
        </w:tc>
        <w:tc>
          <w:tcPr>
            <w:tcW w:type="dxa" w:w="749"/>
            <w:vAlign w:val="center"/>
          </w:tcPr>
          <w:p>
            <w:pPr>
              <w:keepNext/>
              <w:spacing w:line="240" w:lineRule="auto" w:before="60" w:after="60"/>
            </w:pPr>
            <w:r>
              <w:rPr>
                <w:rFonts w:ascii="Times New Roman" w:hAnsi="Times New Roman"/>
                <w:color w:val="000000"/>
                <w:sz w:val="18"/>
              </w:rPr>
              <w:t>1.000</w:t>
            </w:r>
          </w:p>
        </w:tc>
        <w:tc>
          <w:tcPr>
            <w:tcW w:type="dxa" w:w="1512"/>
            <w:vAlign w:val="center"/>
          </w:tcPr>
          <w:p>
            <w:pPr>
              <w:keepNext/>
              <w:spacing w:line="240" w:lineRule="auto" w:before="60" w:after="60"/>
            </w:pPr>
            <w:r>
              <w:rPr>
                <w:rFonts w:ascii="Times New Roman" w:hAnsi="Times New Roman"/>
                <w:color w:val="000000"/>
                <w:sz w:val="18"/>
              </w:rPr>
              <w:t>0.8023</w:t>
            </w:r>
          </w:p>
        </w:tc>
        <w:tc>
          <w:tcPr>
            <w:tcW w:type="dxa" w:w="2592"/>
            <w:vAlign w:val="center"/>
          </w:tcPr>
          <w:p>
            <w:pPr>
              <w:keepNext/>
              <w:spacing w:line="240" w:lineRule="auto" w:before="60" w:after="60"/>
            </w:pPr>
            <w:r>
              <w:rPr>
                <w:rFonts w:ascii="Times New Roman" w:hAnsi="Times New Roman"/>
                <w:color w:val="000000"/>
                <w:sz w:val="18"/>
              </w:rPr>
              <w:t>0.7723 to 0.8335</w:t>
            </w:r>
          </w:p>
        </w:tc>
        <w:tc>
          <w:tcPr>
            <w:tcW w:type="dxa" w:w="792"/>
            <w:vAlign w:val="center"/>
          </w:tcPr>
          <w:p>
            <w:pPr>
              <w:keepNext/>
              <w:spacing w:line="240" w:lineRule="auto" w:before="60" w:after="60"/>
            </w:pPr>
            <w:r>
              <w:rPr>
                <w:rFonts w:ascii="Times New Roman" w:hAnsi="Times New Roman"/>
                <w:color w:val="000000"/>
                <w:sz w:val="18"/>
              </w:rPr>
              <w:t>&lt;0.001</w:t>
            </w:r>
          </w:p>
        </w:tc>
      </w:tr>
      <w:tr>
        <w:trPr>
          <w:cantSplit/>
        </w:trPr>
        <w:tc>
          <w:tcPr>
            <w:tcW w:type="dxa" w:w="1584"/>
            <w:vAlign w:val="center"/>
          </w:tcPr>
          <w:p>
            <w:pPr>
              <w:keepNext/>
              <w:spacing w:line="240" w:lineRule="auto" w:before="60" w:after="60"/>
            </w:pPr>
            <w:r>
              <w:rPr>
                <w:rFonts w:ascii="Times New Roman" w:hAnsi="Times New Roman"/>
                <w:color w:val="000000"/>
                <w:sz w:val="18"/>
              </w:rPr>
              <w:t>May 2022-Mar 2023</w:t>
            </w:r>
          </w:p>
        </w:tc>
        <w:tc>
          <w:tcPr>
            <w:tcW w:type="dxa" w:w="1123"/>
            <w:vAlign w:val="center"/>
          </w:tcPr>
          <w:p>
            <w:pPr>
              <w:keepNext/>
              <w:spacing w:line="240" w:lineRule="auto" w:before="60" w:after="60"/>
            </w:pPr>
            <w:r>
              <w:rPr>
                <w:rFonts w:ascii="Times New Roman" w:hAnsi="Times New Roman"/>
                <w:color w:val="000000"/>
                <w:sz w:val="18"/>
              </w:rPr>
              <w:t>estimated</w:t>
            </w:r>
          </w:p>
        </w:tc>
        <w:tc>
          <w:tcPr>
            <w:tcW w:type="dxa" w:w="749"/>
            <w:vAlign w:val="center"/>
          </w:tcPr>
          <w:p>
            <w:pPr>
              <w:keepNext/>
              <w:spacing w:line="240" w:lineRule="auto" w:before="60" w:after="60"/>
            </w:pPr>
            <w:r>
              <w:rPr>
                <w:rFonts w:ascii="Times New Roman" w:hAnsi="Times New Roman"/>
                <w:color w:val="000000"/>
                <w:sz w:val="18"/>
              </w:rPr>
              <w:t>0.257</w:t>
            </w:r>
          </w:p>
        </w:tc>
        <w:tc>
          <w:tcPr>
            <w:tcW w:type="dxa" w:w="1512"/>
            <w:vAlign w:val="center"/>
          </w:tcPr>
          <w:p>
            <w:pPr>
              <w:keepNext/>
              <w:spacing w:line="240" w:lineRule="auto" w:before="60" w:after="60"/>
            </w:pPr>
            <w:r>
              <w:rPr>
                <w:rFonts w:ascii="Times New Roman" w:hAnsi="Times New Roman"/>
                <w:color w:val="000000"/>
                <w:sz w:val="18"/>
              </w:rPr>
              <w:t>0.8010</w:t>
            </w:r>
          </w:p>
        </w:tc>
        <w:tc>
          <w:tcPr>
            <w:tcW w:type="dxa" w:w="2592"/>
            <w:vAlign w:val="center"/>
          </w:tcPr>
          <w:p>
            <w:pPr>
              <w:keepNext/>
              <w:spacing w:line="240" w:lineRule="auto" w:before="60" w:after="60"/>
            </w:pPr>
            <w:r>
              <w:rPr>
                <w:rFonts w:ascii="Times New Roman" w:hAnsi="Times New Roman"/>
                <w:color w:val="000000"/>
                <w:sz w:val="18"/>
              </w:rPr>
              <w:t>0.7838 to 0.8185</w:t>
            </w:r>
          </w:p>
        </w:tc>
        <w:tc>
          <w:tcPr>
            <w:tcW w:type="dxa" w:w="792"/>
            <w:vAlign w:val="center"/>
          </w:tcPr>
          <w:p>
            <w:pPr>
              <w:keepNext/>
              <w:spacing w:line="240" w:lineRule="auto" w:before="60" w:after="60"/>
            </w:pPr>
            <w:r>
              <w:rPr>
                <w:rFonts w:ascii="Times New Roman" w:hAnsi="Times New Roman"/>
                <w:color w:val="000000"/>
                <w:sz w:val="18"/>
              </w:rPr>
              <w:t>&lt;0.001</w:t>
            </w:r>
          </w:p>
        </w:tc>
      </w:tr>
      <w:tr>
        <w:trPr>
          <w:cantSplit/>
        </w:trPr>
        <w:tc>
          <w:tcPr>
            <w:tcW w:type="dxa" w:w="1584"/>
            <w:vAlign w:val="center"/>
          </w:tcPr>
          <w:p>
            <w:pPr>
              <w:keepNext/>
              <w:spacing w:line="240" w:lineRule="auto" w:before="60" w:after="60"/>
            </w:pPr>
            <w:r>
              <w:rPr>
                <w:rFonts w:ascii="Times New Roman" w:hAnsi="Times New Roman"/>
                <w:color w:val="000000"/>
                <w:sz w:val="18"/>
              </w:rPr>
              <w:t>cumulative, size only</w:t>
            </w:r>
          </w:p>
        </w:tc>
        <w:tc>
          <w:tcPr>
            <w:tcW w:type="dxa" w:w="1123"/>
            <w:vAlign w:val="center"/>
          </w:tcPr>
          <w:p>
            <w:pPr>
              <w:keepNext/>
              <w:spacing w:line="240" w:lineRule="auto" w:before="60" w:after="60"/>
            </w:pPr>
            <w:r>
              <w:rPr>
                <w:rFonts w:ascii="Times New Roman" w:hAnsi="Times New Roman"/>
                <w:color w:val="000000"/>
                <w:sz w:val="18"/>
              </w:rPr>
              <w:t>fixed 1.0</w:t>
            </w:r>
          </w:p>
        </w:tc>
        <w:tc>
          <w:tcPr>
            <w:tcW w:type="dxa" w:w="749"/>
            <w:vAlign w:val="center"/>
          </w:tcPr>
          <w:p>
            <w:pPr>
              <w:keepNext/>
              <w:spacing w:line="240" w:lineRule="auto" w:before="60" w:after="60"/>
            </w:pPr>
            <w:r>
              <w:rPr>
                <w:rFonts w:ascii="Times New Roman" w:hAnsi="Times New Roman"/>
                <w:color w:val="000000"/>
                <w:sz w:val="18"/>
              </w:rPr>
              <w:t>1.000</w:t>
            </w:r>
          </w:p>
        </w:tc>
        <w:tc>
          <w:tcPr>
            <w:tcW w:type="dxa" w:w="1512"/>
            <w:vAlign w:val="center"/>
          </w:tcPr>
          <w:p>
            <w:pPr>
              <w:keepNext/>
              <w:spacing w:line="240" w:lineRule="auto" w:before="60" w:after="60"/>
            </w:pPr>
            <w:r>
              <w:rPr>
                <w:rFonts w:ascii="Times New Roman" w:hAnsi="Times New Roman"/>
                <w:color w:val="000000"/>
                <w:sz w:val="18"/>
              </w:rPr>
              <w:t>0.8664</w:t>
            </w:r>
          </w:p>
        </w:tc>
        <w:tc>
          <w:tcPr>
            <w:tcW w:type="dxa" w:w="2592"/>
            <w:vAlign w:val="center"/>
          </w:tcPr>
          <w:p>
            <w:pPr>
              <w:keepNext/>
              <w:spacing w:line="240" w:lineRule="auto" w:before="60" w:after="60"/>
            </w:pPr>
            <w:r>
              <w:rPr>
                <w:rFonts w:ascii="Times New Roman" w:hAnsi="Times New Roman"/>
                <w:color w:val="000000"/>
                <w:sz w:val="18"/>
              </w:rPr>
              <w:t>0.8359 to 0.8981</w:t>
            </w:r>
          </w:p>
        </w:tc>
        <w:tc>
          <w:tcPr>
            <w:tcW w:type="dxa" w:w="792"/>
            <w:vAlign w:val="center"/>
          </w:tcPr>
          <w:p>
            <w:pPr>
              <w:keepNext/>
              <w:spacing w:line="240" w:lineRule="auto" w:before="60" w:after="60"/>
            </w:pPr>
            <w:r>
              <w:rPr>
                <w:rFonts w:ascii="Times New Roman" w:hAnsi="Times New Roman"/>
                <w:color w:val="000000"/>
                <w:sz w:val="18"/>
              </w:rPr>
              <w:t>&lt;0.001</w:t>
            </w:r>
          </w:p>
        </w:tc>
      </w:tr>
      <w:tr>
        <w:trPr>
          <w:cantSplit/>
        </w:trPr>
        <w:tc>
          <w:tcPr>
            <w:tcW w:type="dxa" w:w="1584"/>
            <w:vAlign w:val="center"/>
          </w:tcPr>
          <w:p>
            <w:pPr>
              <w:keepNext/>
              <w:spacing w:line="240" w:lineRule="auto" w:before="60" w:after="60"/>
            </w:pPr>
            <w:r>
              <w:rPr>
                <w:rFonts w:ascii="Times New Roman" w:hAnsi="Times New Roman"/>
                <w:color w:val="000000"/>
                <w:sz w:val="18"/>
              </w:rPr>
              <w:t>cumulative, size only</w:t>
            </w:r>
          </w:p>
        </w:tc>
        <w:tc>
          <w:tcPr>
            <w:tcW w:type="dxa" w:w="1123"/>
            <w:vAlign w:val="center"/>
          </w:tcPr>
          <w:p>
            <w:pPr>
              <w:keepNext/>
              <w:spacing w:line="240" w:lineRule="auto" w:before="60" w:after="60"/>
            </w:pPr>
            <w:r>
              <w:rPr>
                <w:rFonts w:ascii="Times New Roman" w:hAnsi="Times New Roman"/>
                <w:color w:val="000000"/>
                <w:sz w:val="18"/>
              </w:rPr>
              <w:t>estimated</w:t>
            </w:r>
          </w:p>
        </w:tc>
        <w:tc>
          <w:tcPr>
            <w:tcW w:type="dxa" w:w="749"/>
            <w:vAlign w:val="center"/>
          </w:tcPr>
          <w:p>
            <w:pPr>
              <w:keepNext/>
              <w:spacing w:line="240" w:lineRule="auto" w:before="60" w:after="60"/>
            </w:pPr>
            <w:r>
              <w:rPr>
                <w:rFonts w:ascii="Times New Roman" w:hAnsi="Times New Roman"/>
                <w:color w:val="000000"/>
                <w:sz w:val="18"/>
              </w:rPr>
              <w:t>0.125</w:t>
            </w:r>
          </w:p>
        </w:tc>
        <w:tc>
          <w:tcPr>
            <w:tcW w:type="dxa" w:w="1512"/>
            <w:vAlign w:val="center"/>
          </w:tcPr>
          <w:p>
            <w:pPr>
              <w:keepNext/>
              <w:spacing w:line="240" w:lineRule="auto" w:before="60" w:after="60"/>
            </w:pPr>
            <w:r>
              <w:rPr>
                <w:rFonts w:ascii="Times New Roman" w:hAnsi="Times New Roman"/>
                <w:color w:val="000000"/>
                <w:sz w:val="18"/>
              </w:rPr>
              <w:t>0.8569</w:t>
            </w:r>
          </w:p>
        </w:tc>
        <w:tc>
          <w:tcPr>
            <w:tcW w:type="dxa" w:w="2592"/>
            <w:vAlign w:val="center"/>
          </w:tcPr>
          <w:p>
            <w:pPr>
              <w:keepNext/>
              <w:spacing w:line="240" w:lineRule="auto" w:before="60" w:after="60"/>
            </w:pPr>
            <w:r>
              <w:rPr>
                <w:rFonts w:ascii="Times New Roman" w:hAnsi="Times New Roman"/>
                <w:color w:val="000000"/>
                <w:sz w:val="18"/>
              </w:rPr>
              <w:t>0.8453 to 0.8687</w:t>
            </w:r>
          </w:p>
        </w:tc>
        <w:tc>
          <w:tcPr>
            <w:tcW w:type="dxa" w:w="792"/>
            <w:vAlign w:val="center"/>
          </w:tcPr>
          <w:p>
            <w:pPr>
              <w:keepNext/>
              <w:spacing w:line="240" w:lineRule="auto" w:before="60" w:after="60"/>
            </w:pPr>
            <w:r>
              <w:rPr>
                <w:rFonts w:ascii="Times New Roman" w:hAnsi="Times New Roman"/>
                <w:color w:val="000000"/>
                <w:sz w:val="18"/>
              </w:rPr>
              <w:t>&lt;0.001</w:t>
            </w:r>
          </w:p>
        </w:tc>
      </w:tr>
    </w:tbl>
    <w:p>
      <w:pPr>
        <w:keepLines/>
        <w:spacing w:line="240" w:lineRule="auto" w:before="80"/>
      </w:pPr>
      <w:r>
        <w:rPr>
          <w:sz w:val="18"/>
        </w:rPr>
        <w:t>IRRs are per standard deviation (SD) of log(population), with a population offset. Cumulative estimates use the final-month death count. Using each county's maximum count, as in the predictive and spatial analyses, gives a fixed-dispersion IRR of 0.866 (95% CI 0.835 to 0.897).</w:t>
      </w:r>
    </w:p>
    <w:p>
      <w:pPr>
        <w:pStyle w:val="Heading1"/>
        <w:keepNext/>
        <w:spacing w:before="240" w:after="80"/>
      </w:pPr>
      <w:r>
        <w:rPr>
          <w:b/>
          <w:color w:val="000000"/>
          <w:sz w:val="26"/>
        </w:rPr>
        <w:t>S2. Zero-death counties and the continuity correction</w:t>
      </w:r>
    </w:p>
    <w:p>
      <w:pPr>
        <w:jc w:val="left"/>
      </w:pPr>
      <w:r>
        <w:t>For the spatial models, adding 0.5 to the death count before calculating the log death rate retains counties with no recorded deaths. These counties comprised 43.2% of the sample in January-May 2020 and 2.3% to 14.2% in later windows (Table S2). Wave-specific spatial estimates may therefore depend on the continuity correction; sensitivity to alternative corrections was not assessed. The negative-binomial count models require no correction.</w:t>
      </w:r>
    </w:p>
    <w:p>
      <w:pPr>
        <w:keepNext/>
        <w:spacing w:before="160" w:after="80"/>
      </w:pPr>
      <w:r>
        <w:rPr>
          <w:b/>
          <w:sz w:val="20"/>
        </w:rPr>
        <w:t>Table S2. Counties recording no deaths within each window.</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2736"/>
        <w:gridCol w:w="1728"/>
        <w:gridCol w:w="1584"/>
      </w:tblGrid>
      <w:tr>
        <w:trPr>
          <w:cantSplit/>
          <w:tblHeader/>
        </w:trPr>
        <w:tc>
          <w:tcPr>
            <w:tcW w:type="dxa" w:w="2304"/>
            <w:vAlign w:val="center"/>
          </w:tcPr>
          <w:p>
            <w:pPr>
              <w:keepNext/>
              <w:spacing w:line="240" w:lineRule="auto" w:before="60" w:after="60"/>
            </w:pPr>
            <w:r>
              <w:rPr>
                <w:rFonts w:ascii="Times New Roman" w:hAnsi="Times New Roman"/>
                <w:b/>
                <w:color w:val="000000"/>
                <w:sz w:val="18"/>
              </w:rPr>
              <w:t>Window</w:t>
            </w:r>
          </w:p>
        </w:tc>
        <w:tc>
          <w:tcPr>
            <w:tcW w:type="dxa" w:w="2736"/>
            <w:vAlign w:val="center"/>
          </w:tcPr>
          <w:p>
            <w:pPr>
              <w:keepNext/>
              <w:spacing w:line="240" w:lineRule="auto" w:before="60" w:after="60"/>
            </w:pPr>
            <w:r>
              <w:rPr>
                <w:rFonts w:ascii="Times New Roman" w:hAnsi="Times New Roman"/>
                <w:b/>
                <w:color w:val="000000"/>
                <w:sz w:val="18"/>
              </w:rPr>
              <w:t>Counties with no recorded deaths</w:t>
            </w:r>
          </w:p>
        </w:tc>
        <w:tc>
          <w:tcPr>
            <w:tcW w:type="dxa" w:w="1728"/>
            <w:vAlign w:val="center"/>
          </w:tcPr>
          <w:p>
            <w:pPr>
              <w:keepNext/>
              <w:spacing w:line="240" w:lineRule="auto" w:before="60" w:after="60"/>
            </w:pPr>
            <w:r>
              <w:rPr>
                <w:rFonts w:ascii="Times New Roman" w:hAnsi="Times New Roman"/>
                <w:b/>
                <w:color w:val="000000"/>
                <w:sz w:val="18"/>
              </w:rPr>
              <w:t>Percent of 3103</w:t>
            </w:r>
          </w:p>
        </w:tc>
        <w:tc>
          <w:tcPr>
            <w:tcW w:type="dxa" w:w="1584"/>
            <w:vAlign w:val="center"/>
          </w:tcPr>
          <w:p>
            <w:pPr>
              <w:keepNext/>
              <w:spacing w:line="240" w:lineRule="auto" w:before="60" w:after="60"/>
            </w:pPr>
            <w:r>
              <w:rPr>
                <w:rFonts w:ascii="Times New Roman" w:hAnsi="Times New Roman"/>
                <w:b/>
                <w:color w:val="000000"/>
                <w:sz w:val="18"/>
              </w:rPr>
              <w:t>Deaths in window</w:t>
            </w:r>
          </w:p>
        </w:tc>
      </w:tr>
      <w:tr>
        <w:trPr>
          <w:cantSplit/>
        </w:trPr>
        <w:tc>
          <w:tcPr>
            <w:tcW w:type="dxa" w:w="2304"/>
            <w:vAlign w:val="center"/>
          </w:tcPr>
          <w:p>
            <w:pPr>
              <w:keepNext/>
              <w:spacing w:line="240" w:lineRule="auto" w:before="60" w:after="60"/>
            </w:pPr>
            <w:r>
              <w:rPr>
                <w:rFonts w:ascii="Times New Roman" w:hAnsi="Times New Roman"/>
                <w:color w:val="000000"/>
                <w:sz w:val="18"/>
              </w:rPr>
              <w:t>Jan-May 2020</w:t>
            </w:r>
          </w:p>
        </w:tc>
        <w:tc>
          <w:tcPr>
            <w:tcW w:type="dxa" w:w="2736"/>
            <w:vAlign w:val="center"/>
          </w:tcPr>
          <w:p>
            <w:pPr>
              <w:keepNext/>
              <w:spacing w:line="240" w:lineRule="auto" w:before="60" w:after="60"/>
            </w:pPr>
            <w:r>
              <w:rPr>
                <w:rFonts w:ascii="Times New Roman" w:hAnsi="Times New Roman"/>
                <w:color w:val="000000"/>
                <w:sz w:val="18"/>
              </w:rPr>
              <w:t>1341</w:t>
            </w:r>
          </w:p>
        </w:tc>
        <w:tc>
          <w:tcPr>
            <w:tcW w:type="dxa" w:w="1728"/>
            <w:vAlign w:val="center"/>
          </w:tcPr>
          <w:p>
            <w:pPr>
              <w:keepNext/>
              <w:spacing w:line="240" w:lineRule="auto" w:before="60" w:after="60"/>
            </w:pPr>
            <w:r>
              <w:rPr>
                <w:rFonts w:ascii="Times New Roman" w:hAnsi="Times New Roman"/>
                <w:color w:val="000000"/>
                <w:sz w:val="18"/>
              </w:rPr>
              <w:t>43.2%</w:t>
            </w:r>
          </w:p>
        </w:tc>
        <w:tc>
          <w:tcPr>
            <w:tcW w:type="dxa" w:w="1584"/>
            <w:vAlign w:val="center"/>
          </w:tcPr>
          <w:p>
            <w:pPr>
              <w:keepNext/>
              <w:spacing w:line="240" w:lineRule="auto" w:before="60" w:after="60"/>
            </w:pPr>
            <w:r>
              <w:rPr>
                <w:rFonts w:ascii="Times New Roman" w:hAnsi="Times New Roman"/>
                <w:color w:val="000000"/>
                <w:sz w:val="18"/>
              </w:rPr>
              <w:t>82995</w:t>
            </w:r>
          </w:p>
        </w:tc>
      </w:tr>
      <w:tr>
        <w:trPr>
          <w:cantSplit/>
        </w:trPr>
        <w:tc>
          <w:tcPr>
            <w:tcW w:type="dxa" w:w="2304"/>
            <w:vAlign w:val="center"/>
          </w:tcPr>
          <w:p>
            <w:pPr>
              <w:keepNext/>
              <w:spacing w:line="240" w:lineRule="auto" w:before="60" w:after="60"/>
            </w:pPr>
            <w:r>
              <w:rPr>
                <w:rFonts w:ascii="Times New Roman" w:hAnsi="Times New Roman"/>
                <w:color w:val="000000"/>
                <w:sz w:val="18"/>
              </w:rPr>
              <w:t>Jun-Oct 2020</w:t>
            </w:r>
          </w:p>
        </w:tc>
        <w:tc>
          <w:tcPr>
            <w:tcW w:type="dxa" w:w="2736"/>
            <w:vAlign w:val="center"/>
          </w:tcPr>
          <w:p>
            <w:pPr>
              <w:keepNext/>
              <w:spacing w:line="240" w:lineRule="auto" w:before="60" w:after="60"/>
            </w:pPr>
            <w:r>
              <w:rPr>
                <w:rFonts w:ascii="Times New Roman" w:hAnsi="Times New Roman"/>
                <w:color w:val="000000"/>
                <w:sz w:val="18"/>
              </w:rPr>
              <w:t>355</w:t>
            </w:r>
          </w:p>
        </w:tc>
        <w:tc>
          <w:tcPr>
            <w:tcW w:type="dxa" w:w="1728"/>
            <w:vAlign w:val="center"/>
          </w:tcPr>
          <w:p>
            <w:pPr>
              <w:keepNext/>
              <w:spacing w:line="240" w:lineRule="auto" w:before="60" w:after="60"/>
            </w:pPr>
            <w:r>
              <w:rPr>
                <w:rFonts w:ascii="Times New Roman" w:hAnsi="Times New Roman"/>
                <w:color w:val="000000"/>
                <w:sz w:val="18"/>
              </w:rPr>
              <w:t>11.4%</w:t>
            </w:r>
          </w:p>
        </w:tc>
        <w:tc>
          <w:tcPr>
            <w:tcW w:type="dxa" w:w="1584"/>
            <w:vAlign w:val="center"/>
          </w:tcPr>
          <w:p>
            <w:pPr>
              <w:keepNext/>
              <w:spacing w:line="240" w:lineRule="auto" w:before="60" w:after="60"/>
            </w:pPr>
            <w:r>
              <w:rPr>
                <w:rFonts w:ascii="Times New Roman" w:hAnsi="Times New Roman"/>
                <w:color w:val="000000"/>
                <w:sz w:val="18"/>
              </w:rPr>
              <w:t>121976</w:t>
            </w:r>
          </w:p>
        </w:tc>
      </w:tr>
      <w:tr>
        <w:trPr>
          <w:cantSplit/>
        </w:trPr>
        <w:tc>
          <w:tcPr>
            <w:tcW w:type="dxa" w:w="2304"/>
            <w:vAlign w:val="center"/>
          </w:tcPr>
          <w:p>
            <w:pPr>
              <w:keepNext/>
              <w:spacing w:line="240" w:lineRule="auto" w:before="60" w:after="60"/>
            </w:pPr>
            <w:r>
              <w:rPr>
                <w:rFonts w:ascii="Times New Roman" w:hAnsi="Times New Roman"/>
                <w:color w:val="000000"/>
                <w:sz w:val="18"/>
              </w:rPr>
              <w:t>Nov 2020-Mar 2021</w:t>
            </w:r>
          </w:p>
        </w:tc>
        <w:tc>
          <w:tcPr>
            <w:tcW w:type="dxa" w:w="2736"/>
            <w:vAlign w:val="center"/>
          </w:tcPr>
          <w:p>
            <w:pPr>
              <w:keepNext/>
              <w:spacing w:line="240" w:lineRule="auto" w:before="60" w:after="60"/>
            </w:pPr>
            <w:r>
              <w:rPr>
                <w:rFonts w:ascii="Times New Roman" w:hAnsi="Times New Roman"/>
                <w:color w:val="000000"/>
                <w:sz w:val="18"/>
              </w:rPr>
              <w:t>70</w:t>
            </w:r>
          </w:p>
        </w:tc>
        <w:tc>
          <w:tcPr>
            <w:tcW w:type="dxa" w:w="1728"/>
            <w:vAlign w:val="center"/>
          </w:tcPr>
          <w:p>
            <w:pPr>
              <w:keepNext/>
              <w:spacing w:line="240" w:lineRule="auto" w:before="60" w:after="60"/>
            </w:pPr>
            <w:r>
              <w:rPr>
                <w:rFonts w:ascii="Times New Roman" w:hAnsi="Times New Roman"/>
                <w:color w:val="000000"/>
                <w:sz w:val="18"/>
              </w:rPr>
              <w:t>2.3%</w:t>
            </w:r>
          </w:p>
        </w:tc>
        <w:tc>
          <w:tcPr>
            <w:tcW w:type="dxa" w:w="1584"/>
            <w:vAlign w:val="center"/>
          </w:tcPr>
          <w:p>
            <w:pPr>
              <w:keepNext/>
              <w:spacing w:line="240" w:lineRule="auto" w:before="60" w:after="60"/>
            </w:pPr>
            <w:r>
              <w:rPr>
                <w:rFonts w:ascii="Times New Roman" w:hAnsi="Times New Roman"/>
                <w:color w:val="000000"/>
                <w:sz w:val="18"/>
              </w:rPr>
              <w:t>311199</w:t>
            </w:r>
          </w:p>
        </w:tc>
      </w:tr>
      <w:tr>
        <w:trPr>
          <w:cantSplit/>
        </w:trPr>
        <w:tc>
          <w:tcPr>
            <w:tcW w:type="dxa" w:w="2304"/>
            <w:vAlign w:val="center"/>
          </w:tcPr>
          <w:p>
            <w:pPr>
              <w:keepNext/>
              <w:spacing w:line="240" w:lineRule="auto" w:before="60" w:after="60"/>
            </w:pPr>
            <w:r>
              <w:rPr>
                <w:rFonts w:ascii="Times New Roman" w:hAnsi="Times New Roman"/>
                <w:color w:val="000000"/>
                <w:sz w:val="18"/>
              </w:rPr>
              <w:t>Apr-Jul 2021</w:t>
            </w:r>
          </w:p>
        </w:tc>
        <w:tc>
          <w:tcPr>
            <w:tcW w:type="dxa" w:w="2736"/>
            <w:vAlign w:val="center"/>
          </w:tcPr>
          <w:p>
            <w:pPr>
              <w:keepNext/>
              <w:spacing w:line="240" w:lineRule="auto" w:before="60" w:after="60"/>
            </w:pPr>
            <w:r>
              <w:rPr>
                <w:rFonts w:ascii="Times New Roman" w:hAnsi="Times New Roman"/>
                <w:color w:val="000000"/>
                <w:sz w:val="18"/>
              </w:rPr>
              <w:t>440</w:t>
            </w:r>
          </w:p>
        </w:tc>
        <w:tc>
          <w:tcPr>
            <w:tcW w:type="dxa" w:w="1728"/>
            <w:vAlign w:val="center"/>
          </w:tcPr>
          <w:p>
            <w:pPr>
              <w:keepNext/>
              <w:spacing w:line="240" w:lineRule="auto" w:before="60" w:after="60"/>
            </w:pPr>
            <w:r>
              <w:rPr>
                <w:rFonts w:ascii="Times New Roman" w:hAnsi="Times New Roman"/>
                <w:color w:val="000000"/>
                <w:sz w:val="18"/>
              </w:rPr>
              <w:t>14.2%</w:t>
            </w:r>
          </w:p>
        </w:tc>
        <w:tc>
          <w:tcPr>
            <w:tcW w:type="dxa" w:w="1584"/>
            <w:vAlign w:val="center"/>
          </w:tcPr>
          <w:p>
            <w:pPr>
              <w:keepNext/>
              <w:spacing w:line="240" w:lineRule="auto" w:before="60" w:after="60"/>
            </w:pPr>
            <w:r>
              <w:rPr>
                <w:rFonts w:ascii="Times New Roman" w:hAnsi="Times New Roman"/>
                <w:color w:val="000000"/>
                <w:sz w:val="18"/>
              </w:rPr>
              <w:t>56981</w:t>
            </w:r>
          </w:p>
        </w:tc>
      </w:tr>
      <w:tr>
        <w:trPr>
          <w:cantSplit/>
        </w:trPr>
        <w:tc>
          <w:tcPr>
            <w:tcW w:type="dxa" w:w="2304"/>
            <w:vAlign w:val="center"/>
          </w:tcPr>
          <w:p>
            <w:pPr>
              <w:keepNext/>
              <w:spacing w:line="240" w:lineRule="auto" w:before="60" w:after="60"/>
            </w:pPr>
            <w:r>
              <w:rPr>
                <w:rFonts w:ascii="Times New Roman" w:hAnsi="Times New Roman"/>
                <w:color w:val="000000"/>
                <w:sz w:val="18"/>
              </w:rPr>
              <w:t>Aug-Dec 2021</w:t>
            </w:r>
          </w:p>
        </w:tc>
        <w:tc>
          <w:tcPr>
            <w:tcW w:type="dxa" w:w="2736"/>
            <w:vAlign w:val="center"/>
          </w:tcPr>
          <w:p>
            <w:pPr>
              <w:keepNext/>
              <w:spacing w:line="240" w:lineRule="auto" w:before="60" w:after="60"/>
            </w:pPr>
            <w:r>
              <w:rPr>
                <w:rFonts w:ascii="Times New Roman" w:hAnsi="Times New Roman"/>
                <w:color w:val="000000"/>
                <w:sz w:val="18"/>
              </w:rPr>
              <w:t>104</w:t>
            </w:r>
          </w:p>
        </w:tc>
        <w:tc>
          <w:tcPr>
            <w:tcW w:type="dxa" w:w="1728"/>
            <w:vAlign w:val="center"/>
          </w:tcPr>
          <w:p>
            <w:pPr>
              <w:keepNext/>
              <w:spacing w:line="240" w:lineRule="auto" w:before="60" w:after="60"/>
            </w:pPr>
            <w:r>
              <w:rPr>
                <w:rFonts w:ascii="Times New Roman" w:hAnsi="Times New Roman"/>
                <w:color w:val="000000"/>
                <w:sz w:val="18"/>
              </w:rPr>
              <w:t>3.4%</w:t>
            </w:r>
          </w:p>
        </w:tc>
        <w:tc>
          <w:tcPr>
            <w:tcW w:type="dxa" w:w="1584"/>
            <w:vAlign w:val="center"/>
          </w:tcPr>
          <w:p>
            <w:pPr>
              <w:keepNext/>
              <w:spacing w:line="240" w:lineRule="auto" w:before="60" w:after="60"/>
            </w:pPr>
            <w:r>
              <w:rPr>
                <w:rFonts w:ascii="Times New Roman" w:hAnsi="Times New Roman"/>
                <w:color w:val="000000"/>
                <w:sz w:val="18"/>
              </w:rPr>
              <w:t>207761</w:t>
            </w:r>
          </w:p>
        </w:tc>
      </w:tr>
      <w:tr>
        <w:trPr>
          <w:cantSplit/>
        </w:trPr>
        <w:tc>
          <w:tcPr>
            <w:tcW w:type="dxa" w:w="2304"/>
            <w:vAlign w:val="center"/>
          </w:tcPr>
          <w:p>
            <w:pPr>
              <w:keepNext/>
              <w:spacing w:line="240" w:lineRule="auto" w:before="60" w:after="60"/>
            </w:pPr>
            <w:r>
              <w:rPr>
                <w:rFonts w:ascii="Times New Roman" w:hAnsi="Times New Roman"/>
                <w:color w:val="000000"/>
                <w:sz w:val="18"/>
              </w:rPr>
              <w:t>Jan-Apr 2022</w:t>
            </w:r>
          </w:p>
        </w:tc>
        <w:tc>
          <w:tcPr>
            <w:tcW w:type="dxa" w:w="2736"/>
            <w:vAlign w:val="center"/>
          </w:tcPr>
          <w:p>
            <w:pPr>
              <w:keepNext/>
              <w:spacing w:line="240" w:lineRule="auto" w:before="60" w:after="60"/>
            </w:pPr>
            <w:r>
              <w:rPr>
                <w:rFonts w:ascii="Times New Roman" w:hAnsi="Times New Roman"/>
                <w:color w:val="000000"/>
                <w:sz w:val="18"/>
              </w:rPr>
              <w:t>126</w:t>
            </w:r>
          </w:p>
        </w:tc>
        <w:tc>
          <w:tcPr>
            <w:tcW w:type="dxa" w:w="1728"/>
            <w:vAlign w:val="center"/>
          </w:tcPr>
          <w:p>
            <w:pPr>
              <w:keepNext/>
              <w:spacing w:line="240" w:lineRule="auto" w:before="60" w:after="60"/>
            </w:pPr>
            <w:r>
              <w:rPr>
                <w:rFonts w:ascii="Times New Roman" w:hAnsi="Times New Roman"/>
                <w:color w:val="000000"/>
                <w:sz w:val="18"/>
              </w:rPr>
              <w:t>4.1%</w:t>
            </w:r>
          </w:p>
        </w:tc>
        <w:tc>
          <w:tcPr>
            <w:tcW w:type="dxa" w:w="1584"/>
            <w:vAlign w:val="center"/>
          </w:tcPr>
          <w:p>
            <w:pPr>
              <w:keepNext/>
              <w:spacing w:line="240" w:lineRule="auto" w:before="60" w:after="60"/>
            </w:pPr>
            <w:r>
              <w:rPr>
                <w:rFonts w:ascii="Times New Roman" w:hAnsi="Times New Roman"/>
                <w:color w:val="000000"/>
                <w:sz w:val="18"/>
              </w:rPr>
              <w:t>159637</w:t>
            </w:r>
          </w:p>
        </w:tc>
      </w:tr>
      <w:tr>
        <w:trPr>
          <w:cantSplit/>
        </w:trPr>
        <w:tc>
          <w:tcPr>
            <w:tcW w:type="dxa" w:w="2304"/>
            <w:vAlign w:val="center"/>
          </w:tcPr>
          <w:p>
            <w:pPr>
              <w:keepNext/>
              <w:spacing w:line="240" w:lineRule="auto" w:before="60" w:after="60"/>
            </w:pPr>
            <w:r>
              <w:rPr>
                <w:rFonts w:ascii="Times New Roman" w:hAnsi="Times New Roman"/>
                <w:color w:val="000000"/>
                <w:sz w:val="18"/>
              </w:rPr>
              <w:t>May 2022-Mar 2023</w:t>
            </w:r>
          </w:p>
        </w:tc>
        <w:tc>
          <w:tcPr>
            <w:tcW w:type="dxa" w:w="2736"/>
            <w:vAlign w:val="center"/>
          </w:tcPr>
          <w:p>
            <w:pPr>
              <w:keepNext/>
              <w:spacing w:line="240" w:lineRule="auto" w:before="60" w:after="60"/>
            </w:pPr>
            <w:r>
              <w:rPr>
                <w:rFonts w:ascii="Times New Roman" w:hAnsi="Times New Roman"/>
                <w:color w:val="000000"/>
                <w:sz w:val="18"/>
              </w:rPr>
              <w:t>143</w:t>
            </w:r>
          </w:p>
        </w:tc>
        <w:tc>
          <w:tcPr>
            <w:tcW w:type="dxa" w:w="1728"/>
            <w:vAlign w:val="center"/>
          </w:tcPr>
          <w:p>
            <w:pPr>
              <w:keepNext/>
              <w:spacing w:line="240" w:lineRule="auto" w:before="60" w:after="60"/>
            </w:pPr>
            <w:r>
              <w:rPr>
                <w:rFonts w:ascii="Times New Roman" w:hAnsi="Times New Roman"/>
                <w:color w:val="000000"/>
                <w:sz w:val="18"/>
              </w:rPr>
              <w:t>4.6%</w:t>
            </w:r>
          </w:p>
        </w:tc>
        <w:tc>
          <w:tcPr>
            <w:tcW w:type="dxa" w:w="1584"/>
            <w:vAlign w:val="center"/>
          </w:tcPr>
          <w:p>
            <w:pPr>
              <w:keepNext w:val="0"/>
              <w:spacing w:line="240" w:lineRule="auto" w:before="60" w:after="60"/>
            </w:pPr>
            <w:r>
              <w:rPr>
                <w:rFonts w:ascii="Times New Roman" w:hAnsi="Times New Roman"/>
                <w:color w:val="000000"/>
                <w:sz w:val="18"/>
              </w:rPr>
              <w:t>135323</w:t>
            </w:r>
          </w:p>
        </w:tc>
      </w:tr>
    </w:tbl>
    <w:p>
      <w:pPr>
        <w:pStyle w:val="Heading1"/>
        <w:keepNext/>
        <w:spacing w:before="240" w:after="80"/>
      </w:pPr>
      <w:r>
        <w:rPr>
          <w:b/>
          <w:color w:val="000000"/>
          <w:sz w:val="26"/>
        </w:rPr>
        <w:t>S3. Sensitivity of the wave estimates to window placement</w:t>
      </w:r>
    </w:p>
    <w:p>
      <w:pPr>
        <w:jc w:val="left"/>
      </w:pPr>
      <w:r>
        <w:t>Monthly records contain cumulative deaths through the end of the labelled month. Deaths within each window were calculated as the final month's cumulative count minus that of the month preceding the first month, with negative differences set to zero. For January-May 2020, the baseline is January 2020, when no deaths were recorded. This rule defines the endpoints for all seven windows in Table S3.</w:t>
      </w:r>
    </w:p>
    <w:p>
      <w:pPr>
        <w:jc w:val="left"/>
      </w:pPr>
      <w:r>
        <w:t>We shifted both endpoints of each calendar window together by one month and refitted the size-only model. The panel permits only a later shift for the first window and an earlier shift for the last. The direction of the population-size association was unchanged in six windows. The exception was June-October 2020: shifting it earlier to include May increased the IRR from 0.867 to 1.035 (Table S3).</w:t>
      </w:r>
    </w:p>
    <w:p>
      <w:pPr>
        <w:keepNext/>
        <w:spacing w:before="160" w:after="80"/>
      </w:pPr>
      <w:r>
        <w:rPr>
          <w:b/>
          <w:sz w:val="20"/>
        </w:rPr>
        <w:t>Table S3. Sensitivity of population-size estimates to window placement.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1584"/>
        <w:gridCol w:w="1872"/>
        <w:gridCol w:w="1872"/>
      </w:tblGrid>
      <w:tr>
        <w:trPr>
          <w:cantSplit/>
          <w:tblHeader/>
        </w:trPr>
        <w:tc>
          <w:tcPr>
            <w:tcW w:type="dxa" w:w="3024"/>
            <w:vAlign w:val="center"/>
          </w:tcPr>
          <w:p>
            <w:pPr>
              <w:keepNext/>
              <w:spacing w:line="240" w:lineRule="auto" w:before="60" w:after="60"/>
            </w:pPr>
            <w:r>
              <w:rPr>
                <w:rFonts w:ascii="Times New Roman" w:hAnsi="Times New Roman"/>
                <w:b/>
                <w:color w:val="000000"/>
                <w:sz w:val="18"/>
              </w:rPr>
              <w:t>Window</w:t>
            </w:r>
          </w:p>
        </w:tc>
        <w:tc>
          <w:tcPr>
            <w:tcW w:type="dxa" w:w="1584"/>
            <w:vAlign w:val="center"/>
          </w:tcPr>
          <w:p>
            <w:pPr>
              <w:keepNext/>
              <w:spacing w:line="240" w:lineRule="auto" w:before="60" w:after="60"/>
            </w:pPr>
            <w:r>
              <w:rPr>
                <w:rFonts w:ascii="Times New Roman" w:hAnsi="Times New Roman"/>
                <w:b/>
                <w:color w:val="000000"/>
                <w:sz w:val="18"/>
              </w:rPr>
              <w:t>-1 month</w:t>
            </w:r>
          </w:p>
        </w:tc>
        <w:tc>
          <w:tcPr>
            <w:tcW w:type="dxa" w:w="1872"/>
            <w:vAlign w:val="center"/>
          </w:tcPr>
          <w:p>
            <w:pPr>
              <w:keepNext/>
              <w:spacing w:line="240" w:lineRule="auto" w:before="60" w:after="60"/>
            </w:pPr>
            <w:r>
              <w:rPr>
                <w:rFonts w:ascii="Times New Roman" w:hAnsi="Times New Roman"/>
                <w:b/>
                <w:color w:val="000000"/>
                <w:sz w:val="18"/>
              </w:rPr>
              <w:t>as specified</w:t>
            </w:r>
          </w:p>
        </w:tc>
        <w:tc>
          <w:tcPr>
            <w:tcW w:type="dxa" w:w="1872"/>
            <w:vAlign w:val="center"/>
          </w:tcPr>
          <w:p>
            <w:pPr>
              <w:keepNext/>
              <w:spacing w:line="240" w:lineRule="auto" w:before="60" w:after="60"/>
            </w:pPr>
            <w:r>
              <w:rPr>
                <w:rFonts w:ascii="Times New Roman" w:hAnsi="Times New Roman"/>
                <w:b/>
                <w:color w:val="000000"/>
                <w:sz w:val="18"/>
              </w:rPr>
              <w:t>+1 month</w:t>
            </w:r>
          </w:p>
        </w:tc>
      </w:tr>
      <w:tr>
        <w:trPr>
          <w:cantSplit/>
        </w:trPr>
        <w:tc>
          <w:tcPr>
            <w:tcW w:type="dxa" w:w="3024"/>
            <w:vAlign w:val="center"/>
          </w:tcPr>
          <w:p>
            <w:pPr>
              <w:keepNext/>
              <w:spacing w:line="240" w:lineRule="auto" w:before="60" w:after="60"/>
            </w:pPr>
            <w:r>
              <w:rPr>
                <w:rFonts w:ascii="Times New Roman" w:hAnsi="Times New Roman"/>
                <w:color w:val="000000"/>
                <w:sz w:val="18"/>
              </w:rPr>
              <w:t>Jan-May 2020</w:t>
            </w:r>
          </w:p>
        </w:tc>
        <w:tc>
          <w:tcPr>
            <w:tcW w:type="dxa" w:w="1584"/>
            <w:vAlign w:val="center"/>
          </w:tcPr>
          <w:p>
            <w:pPr>
              <w:keepNext/>
              <w:spacing w:line="240" w:lineRule="auto" w:before="60" w:after="60"/>
            </w:pPr>
            <w:r>
              <w:rPr>
                <w:rFonts w:ascii="Times New Roman" w:hAnsi="Times New Roman"/>
                <w:color w:val="000000"/>
                <w:sz w:val="18"/>
              </w:rPr>
              <w:t>NA</w:t>
            </w:r>
          </w:p>
        </w:tc>
        <w:tc>
          <w:tcPr>
            <w:tcW w:type="dxa" w:w="1872"/>
            <w:vAlign w:val="center"/>
          </w:tcPr>
          <w:p>
            <w:pPr>
              <w:keepNext/>
              <w:spacing w:line="240" w:lineRule="auto" w:before="60" w:after="60"/>
            </w:pPr>
            <w:r>
              <w:rPr>
                <w:rFonts w:ascii="Times New Roman" w:hAnsi="Times New Roman"/>
                <w:color w:val="000000"/>
                <w:sz w:val="18"/>
              </w:rPr>
              <w:t>1.478</w:t>
            </w:r>
          </w:p>
        </w:tc>
        <w:tc>
          <w:tcPr>
            <w:tcW w:type="dxa" w:w="1872"/>
            <w:vAlign w:val="center"/>
          </w:tcPr>
          <w:p>
            <w:pPr>
              <w:keepNext/>
              <w:spacing w:line="240" w:lineRule="auto" w:before="60" w:after="60"/>
            </w:pPr>
            <w:r>
              <w:rPr>
                <w:rFonts w:ascii="Times New Roman" w:hAnsi="Times New Roman"/>
                <w:color w:val="000000"/>
                <w:sz w:val="18"/>
              </w:rPr>
              <w:t>1.407</w:t>
            </w:r>
          </w:p>
        </w:tc>
      </w:tr>
      <w:tr>
        <w:trPr>
          <w:cantSplit/>
        </w:trPr>
        <w:tc>
          <w:tcPr>
            <w:tcW w:type="dxa" w:w="3024"/>
            <w:vAlign w:val="center"/>
          </w:tcPr>
          <w:p>
            <w:pPr>
              <w:keepNext/>
              <w:spacing w:line="240" w:lineRule="auto" w:before="60" w:after="60"/>
            </w:pPr>
            <w:r>
              <w:rPr>
                <w:rFonts w:ascii="Times New Roman" w:hAnsi="Times New Roman"/>
                <w:color w:val="000000"/>
                <w:sz w:val="18"/>
              </w:rPr>
              <w:t>Jun-Oct 2020</w:t>
            </w:r>
          </w:p>
        </w:tc>
        <w:tc>
          <w:tcPr>
            <w:tcW w:type="dxa" w:w="1584"/>
            <w:vAlign w:val="center"/>
          </w:tcPr>
          <w:p>
            <w:pPr>
              <w:keepNext/>
              <w:spacing w:line="240" w:lineRule="auto" w:before="60" w:after="60"/>
            </w:pPr>
            <w:r>
              <w:rPr>
                <w:rFonts w:ascii="Times New Roman" w:hAnsi="Times New Roman"/>
                <w:color w:val="000000"/>
                <w:sz w:val="18"/>
              </w:rPr>
              <w:t>1.035</w:t>
            </w:r>
          </w:p>
        </w:tc>
        <w:tc>
          <w:tcPr>
            <w:tcW w:type="dxa" w:w="1872"/>
            <w:vAlign w:val="center"/>
          </w:tcPr>
          <w:p>
            <w:pPr>
              <w:keepNext/>
              <w:spacing w:line="240" w:lineRule="auto" w:before="60" w:after="60"/>
            </w:pPr>
            <w:r>
              <w:rPr>
                <w:rFonts w:ascii="Times New Roman" w:hAnsi="Times New Roman"/>
                <w:color w:val="000000"/>
                <w:sz w:val="18"/>
              </w:rPr>
              <w:t>0.867</w:t>
            </w:r>
          </w:p>
        </w:tc>
        <w:tc>
          <w:tcPr>
            <w:tcW w:type="dxa" w:w="1872"/>
            <w:vAlign w:val="center"/>
          </w:tcPr>
          <w:p>
            <w:pPr>
              <w:keepNext/>
              <w:spacing w:line="240" w:lineRule="auto" w:before="60" w:after="60"/>
            </w:pPr>
            <w:r>
              <w:rPr>
                <w:rFonts w:ascii="Times New Roman" w:hAnsi="Times New Roman"/>
                <w:color w:val="000000"/>
                <w:sz w:val="18"/>
              </w:rPr>
              <w:t>0.768</w:t>
            </w:r>
          </w:p>
        </w:tc>
      </w:tr>
      <w:tr>
        <w:trPr>
          <w:cantSplit/>
        </w:trPr>
        <w:tc>
          <w:tcPr>
            <w:tcW w:type="dxa" w:w="3024"/>
            <w:vAlign w:val="center"/>
          </w:tcPr>
          <w:p>
            <w:pPr>
              <w:keepNext/>
              <w:spacing w:line="240" w:lineRule="auto" w:before="60" w:after="60"/>
            </w:pPr>
            <w:r>
              <w:rPr>
                <w:rFonts w:ascii="Times New Roman" w:hAnsi="Times New Roman"/>
                <w:color w:val="000000"/>
                <w:sz w:val="18"/>
              </w:rPr>
              <w:t>Nov 2020-Mar 2021</w:t>
            </w:r>
          </w:p>
        </w:tc>
        <w:tc>
          <w:tcPr>
            <w:tcW w:type="dxa" w:w="1584"/>
            <w:vAlign w:val="center"/>
          </w:tcPr>
          <w:p>
            <w:pPr>
              <w:keepNext/>
              <w:spacing w:line="240" w:lineRule="auto" w:before="60" w:after="60"/>
            </w:pPr>
            <w:r>
              <w:rPr>
                <w:rFonts w:ascii="Times New Roman" w:hAnsi="Times New Roman"/>
                <w:color w:val="000000"/>
                <w:sz w:val="18"/>
              </w:rPr>
              <w:t>0.802</w:t>
            </w:r>
          </w:p>
        </w:tc>
        <w:tc>
          <w:tcPr>
            <w:tcW w:type="dxa" w:w="1872"/>
            <w:vAlign w:val="center"/>
          </w:tcPr>
          <w:p>
            <w:pPr>
              <w:keepNext/>
              <w:spacing w:line="240" w:lineRule="auto" w:before="60" w:after="60"/>
            </w:pPr>
            <w:r>
              <w:rPr>
                <w:rFonts w:ascii="Times New Roman" w:hAnsi="Times New Roman"/>
                <w:color w:val="000000"/>
                <w:sz w:val="18"/>
              </w:rPr>
              <w:t>0.828</w:t>
            </w:r>
          </w:p>
        </w:tc>
        <w:tc>
          <w:tcPr>
            <w:tcW w:type="dxa" w:w="1872"/>
            <w:vAlign w:val="center"/>
          </w:tcPr>
          <w:p>
            <w:pPr>
              <w:keepNext/>
              <w:spacing w:line="240" w:lineRule="auto" w:before="60" w:after="60"/>
            </w:pPr>
            <w:r>
              <w:rPr>
                <w:rFonts w:ascii="Times New Roman" w:hAnsi="Times New Roman"/>
                <w:color w:val="000000"/>
                <w:sz w:val="18"/>
              </w:rPr>
              <w:t>0.852</w:t>
            </w:r>
          </w:p>
        </w:tc>
      </w:tr>
      <w:tr>
        <w:trPr>
          <w:cantSplit/>
        </w:trPr>
        <w:tc>
          <w:tcPr>
            <w:tcW w:type="dxa" w:w="3024"/>
            <w:vAlign w:val="center"/>
          </w:tcPr>
          <w:p>
            <w:pPr>
              <w:keepNext/>
              <w:spacing w:line="240" w:lineRule="auto" w:before="60" w:after="60"/>
            </w:pPr>
            <w:r>
              <w:rPr>
                <w:rFonts w:ascii="Times New Roman" w:hAnsi="Times New Roman"/>
                <w:color w:val="000000"/>
                <w:sz w:val="18"/>
              </w:rPr>
              <w:t>Apr-Jul 2021</w:t>
            </w:r>
          </w:p>
        </w:tc>
        <w:tc>
          <w:tcPr>
            <w:tcW w:type="dxa" w:w="1584"/>
            <w:vAlign w:val="center"/>
          </w:tcPr>
          <w:p>
            <w:pPr>
              <w:keepNext/>
              <w:spacing w:line="240" w:lineRule="auto" w:before="60" w:after="60"/>
            </w:pPr>
            <w:r>
              <w:rPr>
                <w:rFonts w:ascii="Times New Roman" w:hAnsi="Times New Roman"/>
                <w:color w:val="000000"/>
                <w:sz w:val="18"/>
              </w:rPr>
              <w:t>0.851</w:t>
            </w:r>
          </w:p>
        </w:tc>
        <w:tc>
          <w:tcPr>
            <w:tcW w:type="dxa" w:w="1872"/>
            <w:vAlign w:val="center"/>
          </w:tcPr>
          <w:p>
            <w:pPr>
              <w:keepNext/>
              <w:spacing w:line="240" w:lineRule="auto" w:before="60" w:after="60"/>
            </w:pPr>
            <w:r>
              <w:rPr>
                <w:rFonts w:ascii="Times New Roman" w:hAnsi="Times New Roman"/>
                <w:color w:val="000000"/>
                <w:sz w:val="18"/>
              </w:rPr>
              <w:t>0.823</w:t>
            </w:r>
          </w:p>
        </w:tc>
        <w:tc>
          <w:tcPr>
            <w:tcW w:type="dxa" w:w="1872"/>
            <w:vAlign w:val="center"/>
          </w:tcPr>
          <w:p>
            <w:pPr>
              <w:keepNext/>
              <w:spacing w:line="240" w:lineRule="auto" w:before="60" w:after="60"/>
            </w:pPr>
            <w:r>
              <w:rPr>
                <w:rFonts w:ascii="Times New Roman" w:hAnsi="Times New Roman"/>
                <w:color w:val="000000"/>
                <w:sz w:val="18"/>
              </w:rPr>
              <w:t>0.865</w:t>
            </w:r>
          </w:p>
        </w:tc>
      </w:tr>
      <w:tr>
        <w:trPr>
          <w:cantSplit/>
        </w:trPr>
        <w:tc>
          <w:tcPr>
            <w:tcW w:type="dxa" w:w="3024"/>
            <w:vAlign w:val="center"/>
          </w:tcPr>
          <w:p>
            <w:pPr>
              <w:keepNext/>
              <w:spacing w:line="240" w:lineRule="auto" w:before="60" w:after="60"/>
            </w:pPr>
            <w:r>
              <w:rPr>
                <w:rFonts w:ascii="Times New Roman" w:hAnsi="Times New Roman"/>
                <w:color w:val="000000"/>
                <w:sz w:val="18"/>
              </w:rPr>
              <w:t>Aug-Dec 2021</w:t>
            </w:r>
          </w:p>
        </w:tc>
        <w:tc>
          <w:tcPr>
            <w:tcW w:type="dxa" w:w="1584"/>
            <w:vAlign w:val="center"/>
          </w:tcPr>
          <w:p>
            <w:pPr>
              <w:keepNext/>
              <w:spacing w:line="240" w:lineRule="auto" w:before="60" w:after="60"/>
            </w:pPr>
            <w:r>
              <w:rPr>
                <w:rFonts w:ascii="Times New Roman" w:hAnsi="Times New Roman"/>
                <w:color w:val="000000"/>
                <w:sz w:val="18"/>
              </w:rPr>
              <w:t>0.836</w:t>
            </w:r>
          </w:p>
        </w:tc>
        <w:tc>
          <w:tcPr>
            <w:tcW w:type="dxa" w:w="1872"/>
            <w:vAlign w:val="center"/>
          </w:tcPr>
          <w:p>
            <w:pPr>
              <w:keepNext/>
              <w:spacing w:line="240" w:lineRule="auto" w:before="60" w:after="60"/>
            </w:pPr>
            <w:r>
              <w:rPr>
                <w:rFonts w:ascii="Times New Roman" w:hAnsi="Times New Roman"/>
                <w:color w:val="000000"/>
                <w:sz w:val="18"/>
              </w:rPr>
              <w:t>0.843</w:t>
            </w:r>
          </w:p>
        </w:tc>
        <w:tc>
          <w:tcPr>
            <w:tcW w:type="dxa" w:w="1872"/>
            <w:vAlign w:val="center"/>
          </w:tcPr>
          <w:p>
            <w:pPr>
              <w:keepNext/>
              <w:spacing w:line="240" w:lineRule="auto" w:before="60" w:after="60"/>
            </w:pPr>
            <w:r>
              <w:rPr>
                <w:rFonts w:ascii="Times New Roman" w:hAnsi="Times New Roman"/>
                <w:color w:val="000000"/>
                <w:sz w:val="18"/>
              </w:rPr>
              <w:t>0.862</w:t>
            </w:r>
          </w:p>
        </w:tc>
      </w:tr>
      <w:tr>
        <w:trPr>
          <w:cantSplit/>
        </w:trPr>
        <w:tc>
          <w:tcPr>
            <w:tcW w:type="dxa" w:w="3024"/>
            <w:vAlign w:val="center"/>
          </w:tcPr>
          <w:p>
            <w:pPr>
              <w:keepNext/>
              <w:spacing w:line="240" w:lineRule="auto" w:before="60" w:after="60"/>
            </w:pPr>
            <w:r>
              <w:rPr>
                <w:rFonts w:ascii="Times New Roman" w:hAnsi="Times New Roman"/>
                <w:color w:val="000000"/>
                <w:sz w:val="18"/>
              </w:rPr>
              <w:t>Jan-Apr 2022</w:t>
            </w:r>
          </w:p>
        </w:tc>
        <w:tc>
          <w:tcPr>
            <w:tcW w:type="dxa" w:w="1584"/>
            <w:vAlign w:val="center"/>
          </w:tcPr>
          <w:p>
            <w:pPr>
              <w:keepNext/>
              <w:spacing w:line="240" w:lineRule="auto" w:before="60" w:after="60"/>
            </w:pPr>
            <w:r>
              <w:rPr>
                <w:rFonts w:ascii="Times New Roman" w:hAnsi="Times New Roman"/>
                <w:color w:val="000000"/>
                <w:sz w:val="18"/>
              </w:rPr>
              <w:t>0.887</w:t>
            </w:r>
          </w:p>
        </w:tc>
        <w:tc>
          <w:tcPr>
            <w:tcW w:type="dxa" w:w="1872"/>
            <w:vAlign w:val="center"/>
          </w:tcPr>
          <w:p>
            <w:pPr>
              <w:keepNext/>
              <w:spacing w:line="240" w:lineRule="auto" w:before="60" w:after="60"/>
            </w:pPr>
            <w:r>
              <w:rPr>
                <w:rFonts w:ascii="Times New Roman" w:hAnsi="Times New Roman"/>
                <w:color w:val="000000"/>
                <w:sz w:val="18"/>
              </w:rPr>
              <w:t>0.883</w:t>
            </w:r>
          </w:p>
        </w:tc>
        <w:tc>
          <w:tcPr>
            <w:tcW w:type="dxa" w:w="1872"/>
            <w:vAlign w:val="center"/>
          </w:tcPr>
          <w:p>
            <w:pPr>
              <w:keepNext/>
              <w:spacing w:line="240" w:lineRule="auto" w:before="60" w:after="60"/>
            </w:pPr>
            <w:r>
              <w:rPr>
                <w:rFonts w:ascii="Times New Roman" w:hAnsi="Times New Roman"/>
                <w:color w:val="000000"/>
                <w:sz w:val="18"/>
              </w:rPr>
              <w:t>0.845</w:t>
            </w:r>
          </w:p>
        </w:tc>
      </w:tr>
      <w:tr>
        <w:trPr>
          <w:cantSplit/>
        </w:trPr>
        <w:tc>
          <w:tcPr>
            <w:tcW w:type="dxa" w:w="3024"/>
            <w:vAlign w:val="center"/>
          </w:tcPr>
          <w:p>
            <w:pPr>
              <w:keepNext/>
              <w:spacing w:line="240" w:lineRule="auto" w:before="60" w:after="60"/>
            </w:pPr>
            <w:r>
              <w:rPr>
                <w:rFonts w:ascii="Times New Roman" w:hAnsi="Times New Roman"/>
                <w:color w:val="000000"/>
                <w:sz w:val="18"/>
              </w:rPr>
              <w:t>May 2022-Mar 2023</w:t>
            </w:r>
          </w:p>
        </w:tc>
        <w:tc>
          <w:tcPr>
            <w:tcW w:type="dxa" w:w="1584"/>
            <w:vAlign w:val="center"/>
          </w:tcPr>
          <w:p>
            <w:pPr>
              <w:keepNext/>
              <w:spacing w:line="240" w:lineRule="auto" w:before="60" w:after="60"/>
            </w:pPr>
            <w:r>
              <w:rPr>
                <w:rFonts w:ascii="Times New Roman" w:hAnsi="Times New Roman"/>
                <w:color w:val="000000"/>
                <w:sz w:val="18"/>
              </w:rPr>
              <w:t>0.793</w:t>
            </w:r>
          </w:p>
        </w:tc>
        <w:tc>
          <w:tcPr>
            <w:tcW w:type="dxa" w:w="1872"/>
            <w:vAlign w:val="center"/>
          </w:tcPr>
          <w:p>
            <w:pPr>
              <w:keepNext/>
              <w:spacing w:line="240" w:lineRule="auto" w:before="60" w:after="60"/>
            </w:pPr>
            <w:r>
              <w:rPr>
                <w:rFonts w:ascii="Times New Roman" w:hAnsi="Times New Roman"/>
                <w:color w:val="000000"/>
                <w:sz w:val="18"/>
              </w:rPr>
              <w:t>0.802</w:t>
            </w:r>
          </w:p>
        </w:tc>
        <w:tc>
          <w:tcPr>
            <w:tcW w:type="dxa" w:w="1872"/>
            <w:vAlign w:val="center"/>
          </w:tcPr>
          <w:p>
            <w:pPr>
              <w:keepNext/>
              <w:spacing w:line="240" w:lineRule="auto" w:before="60" w:after="60"/>
            </w:pPr>
            <w:r>
              <w:rPr>
                <w:rFonts w:ascii="Times New Roman" w:hAnsi="Times New Roman"/>
                <w:color w:val="000000"/>
                <w:sz w:val="18"/>
              </w:rPr>
              <w:t>NA</w:t>
            </w:r>
          </w:p>
        </w:tc>
      </w:tr>
    </w:tbl>
    <w:p>
      <w:pPr>
        <w:keepLines/>
        <w:spacing w:line="240" w:lineRule="auto" w:before="80"/>
      </w:pPr>
      <w:r>
        <w:rPr>
          <w:sz w:val="18"/>
        </w:rPr>
        <w:t>IRRs are per SD of log(population) in a size-only negative-binomial model with a population offset. NA indicates a shift outside the available panel. Values describe point estimates; confidence intervals are not shown.</w:t>
      </w:r>
    </w:p>
    <w:p>
      <w:pPr>
        <w:pStyle w:val="Heading1"/>
        <w:keepNext/>
        <w:spacing w:before="240" w:after="80"/>
      </w:pPr>
      <w:r>
        <w:rPr>
          <w:b/>
          <w:color w:val="000000"/>
          <w:sz w:val="26"/>
        </w:rPr>
        <w:t>S4. Permutation completeness and null thresholds</w:t>
      </w:r>
    </w:p>
    <w:p>
      <w:pPr>
        <w:jc w:val="left"/>
      </w:pPr>
      <w:r>
        <w:t>The coordinate-permutation test yielded 950 of 1,000 planned replicates. Fifty were not obtained because some computing jobs reached the 12-hour limit; numerical nonconvergence was not established. Completion time may depend on fitting difficulty, so the missing replicates cannot be assumed to have the same distribution as those obtained.</w:t>
      </w:r>
    </w:p>
    <w:p>
      <w:pPr>
        <w:jc w:val="left"/>
      </w:pPr>
      <w:r>
        <w:t>Among the 950 completed replicates, none exceeded the observed surface SD for ultraviolet exposure and one exceeded it for household composition and disability. Table S4 varies the assumed number of exceedances among the 50 missing replicates. Assuming four additional exceedances for each surface leaves both Holm-adjusted P values below 0.05; assuming five raises both above 0.05.</w:t>
      </w:r>
    </w:p>
    <w:p>
      <w:pPr>
        <w:keepNext/>
        <w:spacing w:before="160" w:after="80"/>
      </w:pPr>
      <w:r>
        <w:rPr>
          <w:b/>
          <w:sz w:val="20"/>
        </w:rPr>
        <w:t>Table S4. Sensitivity to exceedances among the 50 missing permutations.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088"/>
        <w:gridCol w:w="2520"/>
        <w:gridCol w:w="1584"/>
      </w:tblGrid>
      <w:tr>
        <w:trPr>
          <w:cantSplit/>
          <w:tblHeader/>
        </w:trPr>
        <w:tc>
          <w:tcPr>
            <w:tcW w:type="dxa" w:w="2160"/>
            <w:vAlign w:val="center"/>
          </w:tcPr>
          <w:p>
            <w:pPr>
              <w:keepNext/>
              <w:spacing w:line="240" w:lineRule="auto" w:before="60" w:after="60"/>
            </w:pPr>
            <w:r>
              <w:rPr>
                <w:rFonts w:ascii="Times New Roman" w:hAnsi="Times New Roman"/>
                <w:b/>
                <w:color w:val="000000"/>
                <w:sz w:val="18"/>
              </w:rPr>
              <w:t>Missing replicates assumed to exceed</w:t>
            </w:r>
          </w:p>
        </w:tc>
        <w:tc>
          <w:tcPr>
            <w:tcW w:type="dxa" w:w="2088"/>
            <w:vAlign w:val="center"/>
          </w:tcPr>
          <w:p>
            <w:pPr>
              <w:keepNext/>
              <w:spacing w:line="240" w:lineRule="auto" w:before="60" w:after="60"/>
            </w:pPr>
            <w:r>
              <w:rPr>
                <w:rFonts w:ascii="Times New Roman" w:hAnsi="Times New Roman"/>
                <w:b/>
                <w:color w:val="000000"/>
                <w:sz w:val="18"/>
              </w:rPr>
              <w:t>Ultraviolet exposure, Holm P</w:t>
            </w:r>
          </w:p>
        </w:tc>
        <w:tc>
          <w:tcPr>
            <w:tcW w:type="dxa" w:w="2520"/>
            <w:vAlign w:val="center"/>
          </w:tcPr>
          <w:p>
            <w:pPr>
              <w:keepNext/>
              <w:spacing w:line="240" w:lineRule="auto" w:before="60" w:after="60"/>
            </w:pPr>
            <w:r>
              <w:rPr>
                <w:rFonts w:ascii="Times New Roman" w:hAnsi="Times New Roman"/>
                <w:b/>
                <w:color w:val="000000"/>
                <w:sz w:val="18"/>
              </w:rPr>
              <w:t>Composition and disability, Holm P</w:t>
            </w:r>
          </w:p>
        </w:tc>
        <w:tc>
          <w:tcPr>
            <w:tcW w:type="dxa" w:w="1584"/>
            <w:vAlign w:val="center"/>
          </w:tcPr>
          <w:p>
            <w:pPr>
              <w:keepNext/>
              <w:spacing w:line="240" w:lineRule="auto" w:before="60" w:after="60"/>
            </w:pPr>
            <w:r>
              <w:rPr>
                <w:rFonts w:ascii="Times New Roman" w:hAnsi="Times New Roman"/>
                <w:b/>
                <w:color w:val="000000"/>
                <w:sz w:val="18"/>
              </w:rPr>
              <w:t>Both still significant</w:t>
            </w:r>
          </w:p>
        </w:tc>
      </w:tr>
      <w:tr>
        <w:trPr>
          <w:cantSplit/>
        </w:trPr>
        <w:tc>
          <w:tcPr>
            <w:tcW w:type="dxa" w:w="2160"/>
            <w:vAlign w:val="center"/>
          </w:tcPr>
          <w:p>
            <w:pPr>
              <w:keepNext/>
              <w:spacing w:line="240" w:lineRule="auto" w:before="60" w:after="60"/>
            </w:pPr>
            <w:r>
              <w:rPr>
                <w:rFonts w:ascii="Times New Roman" w:hAnsi="Times New Roman"/>
                <w:color w:val="000000"/>
                <w:sz w:val="18"/>
              </w:rPr>
              <w:t>0</w:t>
            </w:r>
          </w:p>
        </w:tc>
        <w:tc>
          <w:tcPr>
            <w:tcW w:type="dxa" w:w="2088"/>
            <w:vAlign w:val="center"/>
          </w:tcPr>
          <w:p>
            <w:pPr>
              <w:keepNext/>
              <w:spacing w:line="240" w:lineRule="auto" w:before="60" w:after="60"/>
            </w:pPr>
            <w:r>
              <w:rPr>
                <w:rFonts w:ascii="Times New Roman" w:hAnsi="Times New Roman"/>
                <w:color w:val="000000"/>
                <w:sz w:val="18"/>
              </w:rPr>
              <w:t>0.0090</w:t>
            </w:r>
          </w:p>
        </w:tc>
        <w:tc>
          <w:tcPr>
            <w:tcW w:type="dxa" w:w="2520"/>
            <w:vAlign w:val="center"/>
          </w:tcPr>
          <w:p>
            <w:pPr>
              <w:keepNext/>
              <w:spacing w:line="240" w:lineRule="auto" w:before="60" w:after="60"/>
            </w:pPr>
            <w:r>
              <w:rPr>
                <w:rFonts w:ascii="Times New Roman" w:hAnsi="Times New Roman"/>
                <w:color w:val="000000"/>
                <w:sz w:val="18"/>
              </w:rPr>
              <w:t>0.0160</w:t>
            </w:r>
          </w:p>
        </w:tc>
        <w:tc>
          <w:tcPr>
            <w:tcW w:type="dxa" w:w="1584"/>
            <w:vAlign w:val="center"/>
          </w:tcPr>
          <w:p>
            <w:pPr>
              <w:keepNext/>
              <w:spacing w:line="240" w:lineRule="auto" w:before="60" w:after="60"/>
            </w:pPr>
            <w:r>
              <w:rPr>
                <w:rFonts w:ascii="Times New Roman" w:hAnsi="Times New Roman"/>
                <w:color w:val="000000"/>
                <w:sz w:val="18"/>
              </w:rPr>
              <w:t>yes</w:t>
            </w:r>
          </w:p>
        </w:tc>
      </w:tr>
      <w:tr>
        <w:trPr>
          <w:cantSplit/>
        </w:trPr>
        <w:tc>
          <w:tcPr>
            <w:tcW w:type="dxa" w:w="2160"/>
            <w:vAlign w:val="center"/>
          </w:tcPr>
          <w:p>
            <w:pPr>
              <w:keepNext/>
              <w:spacing w:line="240" w:lineRule="auto" w:before="60" w:after="60"/>
            </w:pPr>
            <w:r>
              <w:rPr>
                <w:rFonts w:ascii="Times New Roman" w:hAnsi="Times New Roman"/>
                <w:color w:val="000000"/>
                <w:sz w:val="18"/>
              </w:rPr>
              <w:t>1</w:t>
            </w:r>
          </w:p>
        </w:tc>
        <w:tc>
          <w:tcPr>
            <w:tcW w:type="dxa" w:w="2088"/>
            <w:vAlign w:val="center"/>
          </w:tcPr>
          <w:p>
            <w:pPr>
              <w:keepNext/>
              <w:spacing w:line="240" w:lineRule="auto" w:before="60" w:after="60"/>
            </w:pPr>
            <w:r>
              <w:rPr>
                <w:rFonts w:ascii="Times New Roman" w:hAnsi="Times New Roman"/>
                <w:color w:val="000000"/>
                <w:sz w:val="18"/>
              </w:rPr>
              <w:t>0.0180</w:t>
            </w:r>
          </w:p>
        </w:tc>
        <w:tc>
          <w:tcPr>
            <w:tcW w:type="dxa" w:w="2520"/>
            <w:vAlign w:val="center"/>
          </w:tcPr>
          <w:p>
            <w:pPr>
              <w:keepNext/>
              <w:spacing w:line="240" w:lineRule="auto" w:before="60" w:after="60"/>
            </w:pPr>
            <w:r>
              <w:rPr>
                <w:rFonts w:ascii="Times New Roman" w:hAnsi="Times New Roman"/>
                <w:color w:val="000000"/>
                <w:sz w:val="18"/>
              </w:rPr>
              <w:t>0.0240</w:t>
            </w:r>
          </w:p>
        </w:tc>
        <w:tc>
          <w:tcPr>
            <w:tcW w:type="dxa" w:w="1584"/>
            <w:vAlign w:val="center"/>
          </w:tcPr>
          <w:p>
            <w:pPr>
              <w:keepNext/>
              <w:spacing w:line="240" w:lineRule="auto" w:before="60" w:after="60"/>
            </w:pPr>
            <w:r>
              <w:rPr>
                <w:rFonts w:ascii="Times New Roman" w:hAnsi="Times New Roman"/>
                <w:color w:val="000000"/>
                <w:sz w:val="18"/>
              </w:rPr>
              <w:t>yes</w:t>
            </w:r>
          </w:p>
        </w:tc>
      </w:tr>
      <w:tr>
        <w:trPr>
          <w:cantSplit/>
        </w:trPr>
        <w:tc>
          <w:tcPr>
            <w:tcW w:type="dxa" w:w="2160"/>
            <w:vAlign w:val="center"/>
          </w:tcPr>
          <w:p>
            <w:pPr>
              <w:keepNext/>
              <w:spacing w:line="240" w:lineRule="auto" w:before="60" w:after="60"/>
            </w:pPr>
            <w:r>
              <w:rPr>
                <w:rFonts w:ascii="Times New Roman" w:hAnsi="Times New Roman"/>
                <w:color w:val="000000"/>
                <w:sz w:val="18"/>
              </w:rPr>
              <w:t>2</w:t>
            </w:r>
          </w:p>
        </w:tc>
        <w:tc>
          <w:tcPr>
            <w:tcW w:type="dxa" w:w="2088"/>
            <w:vAlign w:val="center"/>
          </w:tcPr>
          <w:p>
            <w:pPr>
              <w:keepNext/>
              <w:spacing w:line="240" w:lineRule="auto" w:before="60" w:after="60"/>
            </w:pPr>
            <w:r>
              <w:rPr>
                <w:rFonts w:ascii="Times New Roman" w:hAnsi="Times New Roman"/>
                <w:color w:val="000000"/>
                <w:sz w:val="18"/>
              </w:rPr>
              <w:t>0.0270</w:t>
            </w:r>
          </w:p>
        </w:tc>
        <w:tc>
          <w:tcPr>
            <w:tcW w:type="dxa" w:w="2520"/>
            <w:vAlign w:val="center"/>
          </w:tcPr>
          <w:p>
            <w:pPr>
              <w:keepNext/>
              <w:spacing w:line="240" w:lineRule="auto" w:before="60" w:after="60"/>
            </w:pPr>
            <w:r>
              <w:rPr>
                <w:rFonts w:ascii="Times New Roman" w:hAnsi="Times New Roman"/>
                <w:color w:val="000000"/>
                <w:sz w:val="18"/>
              </w:rPr>
              <w:t>0.0320</w:t>
            </w:r>
          </w:p>
        </w:tc>
        <w:tc>
          <w:tcPr>
            <w:tcW w:type="dxa" w:w="1584"/>
            <w:vAlign w:val="center"/>
          </w:tcPr>
          <w:p>
            <w:pPr>
              <w:keepNext/>
              <w:spacing w:line="240" w:lineRule="auto" w:before="60" w:after="60"/>
            </w:pPr>
            <w:r>
              <w:rPr>
                <w:rFonts w:ascii="Times New Roman" w:hAnsi="Times New Roman"/>
                <w:color w:val="000000"/>
                <w:sz w:val="18"/>
              </w:rPr>
              <w:t>yes</w:t>
            </w:r>
          </w:p>
        </w:tc>
      </w:tr>
      <w:tr>
        <w:trPr>
          <w:cantSplit/>
        </w:trPr>
        <w:tc>
          <w:tcPr>
            <w:tcW w:type="dxa" w:w="2160"/>
            <w:vAlign w:val="center"/>
          </w:tcPr>
          <w:p>
            <w:pPr>
              <w:keepNext/>
              <w:spacing w:line="240" w:lineRule="auto" w:before="60" w:after="60"/>
            </w:pPr>
            <w:r>
              <w:rPr>
                <w:rFonts w:ascii="Times New Roman" w:hAnsi="Times New Roman"/>
                <w:color w:val="000000"/>
                <w:sz w:val="18"/>
              </w:rPr>
              <w:t>3</w:t>
            </w:r>
          </w:p>
        </w:tc>
        <w:tc>
          <w:tcPr>
            <w:tcW w:type="dxa" w:w="2088"/>
            <w:vAlign w:val="center"/>
          </w:tcPr>
          <w:p>
            <w:pPr>
              <w:keepNext/>
              <w:spacing w:line="240" w:lineRule="auto" w:before="60" w:after="60"/>
            </w:pPr>
            <w:r>
              <w:rPr>
                <w:rFonts w:ascii="Times New Roman" w:hAnsi="Times New Roman"/>
                <w:color w:val="000000"/>
                <w:sz w:val="18"/>
              </w:rPr>
              <w:t>0.0360</w:t>
            </w:r>
          </w:p>
        </w:tc>
        <w:tc>
          <w:tcPr>
            <w:tcW w:type="dxa" w:w="2520"/>
            <w:vAlign w:val="center"/>
          </w:tcPr>
          <w:p>
            <w:pPr>
              <w:keepNext/>
              <w:spacing w:line="240" w:lineRule="auto" w:before="60" w:after="60"/>
            </w:pPr>
            <w:r>
              <w:rPr>
                <w:rFonts w:ascii="Times New Roman" w:hAnsi="Times New Roman"/>
                <w:color w:val="000000"/>
                <w:sz w:val="18"/>
              </w:rPr>
              <w:t>0.0400</w:t>
            </w:r>
          </w:p>
        </w:tc>
        <w:tc>
          <w:tcPr>
            <w:tcW w:type="dxa" w:w="1584"/>
            <w:vAlign w:val="center"/>
          </w:tcPr>
          <w:p>
            <w:pPr>
              <w:keepNext/>
              <w:spacing w:line="240" w:lineRule="auto" w:before="60" w:after="60"/>
            </w:pPr>
            <w:r>
              <w:rPr>
                <w:rFonts w:ascii="Times New Roman" w:hAnsi="Times New Roman"/>
                <w:color w:val="000000"/>
                <w:sz w:val="18"/>
              </w:rPr>
              <w:t>yes</w:t>
            </w:r>
          </w:p>
        </w:tc>
      </w:tr>
      <w:tr>
        <w:trPr>
          <w:cantSplit/>
        </w:trPr>
        <w:tc>
          <w:tcPr>
            <w:tcW w:type="dxa" w:w="2160"/>
            <w:vAlign w:val="center"/>
          </w:tcPr>
          <w:p>
            <w:pPr>
              <w:keepNext/>
              <w:spacing w:line="240" w:lineRule="auto" w:before="60" w:after="60"/>
            </w:pPr>
            <w:r>
              <w:rPr>
                <w:rFonts w:ascii="Times New Roman" w:hAnsi="Times New Roman"/>
                <w:color w:val="000000"/>
                <w:sz w:val="18"/>
              </w:rPr>
              <w:t>4</w:t>
            </w:r>
          </w:p>
        </w:tc>
        <w:tc>
          <w:tcPr>
            <w:tcW w:type="dxa" w:w="2088"/>
            <w:vAlign w:val="center"/>
          </w:tcPr>
          <w:p>
            <w:pPr>
              <w:keepNext/>
              <w:spacing w:line="240" w:lineRule="auto" w:before="60" w:after="60"/>
            </w:pPr>
            <w:r>
              <w:rPr>
                <w:rFonts w:ascii="Times New Roman" w:hAnsi="Times New Roman"/>
                <w:color w:val="000000"/>
                <w:sz w:val="18"/>
              </w:rPr>
              <w:t>0.0450</w:t>
            </w:r>
          </w:p>
        </w:tc>
        <w:tc>
          <w:tcPr>
            <w:tcW w:type="dxa" w:w="2520"/>
            <w:vAlign w:val="center"/>
          </w:tcPr>
          <w:p>
            <w:pPr>
              <w:keepNext/>
              <w:spacing w:line="240" w:lineRule="auto" w:before="60" w:after="60"/>
            </w:pPr>
            <w:r>
              <w:rPr>
                <w:rFonts w:ascii="Times New Roman" w:hAnsi="Times New Roman"/>
                <w:color w:val="000000"/>
                <w:sz w:val="18"/>
              </w:rPr>
              <w:t>0.0480</w:t>
            </w:r>
          </w:p>
        </w:tc>
        <w:tc>
          <w:tcPr>
            <w:tcW w:type="dxa" w:w="1584"/>
            <w:vAlign w:val="center"/>
          </w:tcPr>
          <w:p>
            <w:pPr>
              <w:keepNext/>
              <w:spacing w:line="240" w:lineRule="auto" w:before="60" w:after="60"/>
            </w:pPr>
            <w:r>
              <w:rPr>
                <w:rFonts w:ascii="Times New Roman" w:hAnsi="Times New Roman"/>
                <w:color w:val="000000"/>
                <w:sz w:val="18"/>
              </w:rPr>
              <w:t>yes</w:t>
            </w:r>
          </w:p>
        </w:tc>
      </w:tr>
      <w:tr>
        <w:trPr>
          <w:cantSplit/>
        </w:trPr>
        <w:tc>
          <w:tcPr>
            <w:tcW w:type="dxa" w:w="2160"/>
            <w:vAlign w:val="center"/>
          </w:tcPr>
          <w:p>
            <w:pPr>
              <w:keepNext/>
              <w:spacing w:line="240" w:lineRule="auto" w:before="60" w:after="60"/>
            </w:pPr>
            <w:r>
              <w:rPr>
                <w:rFonts w:ascii="Times New Roman" w:hAnsi="Times New Roman"/>
                <w:color w:val="000000"/>
                <w:sz w:val="18"/>
              </w:rPr>
              <w:t>5</w:t>
            </w:r>
          </w:p>
        </w:tc>
        <w:tc>
          <w:tcPr>
            <w:tcW w:type="dxa" w:w="2088"/>
            <w:vAlign w:val="center"/>
          </w:tcPr>
          <w:p>
            <w:pPr>
              <w:keepNext/>
              <w:spacing w:line="240" w:lineRule="auto" w:before="60" w:after="60"/>
            </w:pPr>
            <w:r>
              <w:rPr>
                <w:rFonts w:ascii="Times New Roman" w:hAnsi="Times New Roman"/>
                <w:color w:val="000000"/>
                <w:sz w:val="18"/>
              </w:rPr>
              <w:t>0.0539</w:t>
            </w:r>
          </w:p>
        </w:tc>
        <w:tc>
          <w:tcPr>
            <w:tcW w:type="dxa" w:w="2520"/>
            <w:vAlign w:val="center"/>
          </w:tcPr>
          <w:p>
            <w:pPr>
              <w:keepNext/>
              <w:spacing w:line="240" w:lineRule="auto" w:before="60" w:after="60"/>
            </w:pPr>
            <w:r>
              <w:rPr>
                <w:rFonts w:ascii="Times New Roman" w:hAnsi="Times New Roman"/>
                <w:color w:val="000000"/>
                <w:sz w:val="18"/>
              </w:rPr>
              <w:t>0.0559</w:t>
            </w:r>
          </w:p>
        </w:tc>
        <w:tc>
          <w:tcPr>
            <w:tcW w:type="dxa" w:w="1584"/>
            <w:vAlign w:val="center"/>
          </w:tcPr>
          <w:p>
            <w:pPr>
              <w:keepNext/>
              <w:spacing w:line="240" w:lineRule="auto" w:before="60" w:after="60"/>
            </w:pPr>
            <w:r>
              <w:rPr>
                <w:rFonts w:ascii="Times New Roman" w:hAnsi="Times New Roman"/>
                <w:color w:val="000000"/>
                <w:sz w:val="18"/>
              </w:rPr>
              <w:t>no</w:t>
            </w:r>
          </w:p>
        </w:tc>
      </w:tr>
      <w:tr>
        <w:trPr>
          <w:cantSplit/>
        </w:trPr>
        <w:tc>
          <w:tcPr>
            <w:tcW w:type="dxa" w:w="2160"/>
            <w:vAlign w:val="center"/>
          </w:tcPr>
          <w:p>
            <w:pPr>
              <w:keepNext/>
              <w:spacing w:line="240" w:lineRule="auto" w:before="60" w:after="60"/>
            </w:pPr>
            <w:r>
              <w:rPr>
                <w:rFonts w:ascii="Times New Roman" w:hAnsi="Times New Roman"/>
                <w:color w:val="000000"/>
                <w:sz w:val="18"/>
              </w:rPr>
              <w:t>6</w:t>
            </w:r>
          </w:p>
        </w:tc>
        <w:tc>
          <w:tcPr>
            <w:tcW w:type="dxa" w:w="2088"/>
            <w:vAlign w:val="center"/>
          </w:tcPr>
          <w:p>
            <w:pPr>
              <w:keepNext/>
              <w:spacing w:line="240" w:lineRule="auto" w:before="60" w:after="60"/>
            </w:pPr>
            <w:r>
              <w:rPr>
                <w:rFonts w:ascii="Times New Roman" w:hAnsi="Times New Roman"/>
                <w:color w:val="000000"/>
                <w:sz w:val="18"/>
              </w:rPr>
              <w:t>0.0629</w:t>
            </w:r>
          </w:p>
        </w:tc>
        <w:tc>
          <w:tcPr>
            <w:tcW w:type="dxa" w:w="2520"/>
            <w:vAlign w:val="center"/>
          </w:tcPr>
          <w:p>
            <w:pPr>
              <w:keepNext/>
              <w:spacing w:line="240" w:lineRule="auto" w:before="60" w:after="60"/>
            </w:pPr>
            <w:r>
              <w:rPr>
                <w:rFonts w:ascii="Times New Roman" w:hAnsi="Times New Roman"/>
                <w:color w:val="000000"/>
                <w:sz w:val="18"/>
              </w:rPr>
              <w:t>0.0639</w:t>
            </w:r>
          </w:p>
        </w:tc>
        <w:tc>
          <w:tcPr>
            <w:tcW w:type="dxa" w:w="1584"/>
            <w:vAlign w:val="center"/>
          </w:tcPr>
          <w:p>
            <w:pPr>
              <w:keepNext/>
              <w:spacing w:line="240" w:lineRule="auto" w:before="60" w:after="60"/>
            </w:pPr>
            <w:r>
              <w:rPr>
                <w:rFonts w:ascii="Times New Roman" w:hAnsi="Times New Roman"/>
                <w:color w:val="000000"/>
                <w:sz w:val="18"/>
              </w:rPr>
              <w:t>no</w:t>
            </w:r>
          </w:p>
        </w:tc>
      </w:tr>
      <w:tr>
        <w:trPr>
          <w:cantSplit/>
        </w:trPr>
        <w:tc>
          <w:tcPr>
            <w:tcW w:type="dxa" w:w="2160"/>
            <w:vAlign w:val="center"/>
          </w:tcPr>
          <w:p>
            <w:pPr>
              <w:keepNext/>
              <w:spacing w:line="240" w:lineRule="auto" w:before="60" w:after="60"/>
            </w:pPr>
            <w:r>
              <w:rPr>
                <w:rFonts w:ascii="Times New Roman" w:hAnsi="Times New Roman"/>
                <w:color w:val="000000"/>
                <w:sz w:val="18"/>
              </w:rPr>
              <w:t>8</w:t>
            </w:r>
          </w:p>
        </w:tc>
        <w:tc>
          <w:tcPr>
            <w:tcW w:type="dxa" w:w="2088"/>
            <w:vAlign w:val="center"/>
          </w:tcPr>
          <w:p>
            <w:pPr>
              <w:keepNext/>
              <w:spacing w:line="240" w:lineRule="auto" w:before="60" w:after="60"/>
            </w:pPr>
            <w:r>
              <w:rPr>
                <w:rFonts w:ascii="Times New Roman" w:hAnsi="Times New Roman"/>
                <w:color w:val="000000"/>
                <w:sz w:val="18"/>
              </w:rPr>
              <w:t>0.0809</w:t>
            </w:r>
          </w:p>
        </w:tc>
        <w:tc>
          <w:tcPr>
            <w:tcW w:type="dxa" w:w="2520"/>
            <w:vAlign w:val="center"/>
          </w:tcPr>
          <w:p>
            <w:pPr>
              <w:keepNext/>
              <w:spacing w:line="240" w:lineRule="auto" w:before="60" w:after="60"/>
            </w:pPr>
            <w:r>
              <w:rPr>
                <w:rFonts w:ascii="Times New Roman" w:hAnsi="Times New Roman"/>
                <w:color w:val="000000"/>
                <w:sz w:val="18"/>
              </w:rPr>
              <w:t>0.0809</w:t>
            </w:r>
          </w:p>
        </w:tc>
        <w:tc>
          <w:tcPr>
            <w:tcW w:type="dxa" w:w="1584"/>
            <w:vAlign w:val="center"/>
          </w:tcPr>
          <w:p>
            <w:pPr>
              <w:keepNext/>
              <w:spacing w:line="240" w:lineRule="auto" w:before="60" w:after="60"/>
            </w:pPr>
            <w:r>
              <w:rPr>
                <w:rFonts w:ascii="Times New Roman" w:hAnsi="Times New Roman"/>
                <w:color w:val="000000"/>
                <w:sz w:val="18"/>
              </w:rPr>
              <w:t>no</w:t>
            </w:r>
          </w:p>
        </w:tc>
      </w:tr>
      <w:tr>
        <w:trPr>
          <w:cantSplit/>
        </w:trPr>
        <w:tc>
          <w:tcPr>
            <w:tcW w:type="dxa" w:w="2160"/>
            <w:vAlign w:val="center"/>
          </w:tcPr>
          <w:p>
            <w:pPr>
              <w:keepNext/>
              <w:spacing w:line="240" w:lineRule="auto" w:before="60" w:after="60"/>
            </w:pPr>
            <w:r>
              <w:rPr>
                <w:rFonts w:ascii="Times New Roman" w:hAnsi="Times New Roman"/>
                <w:color w:val="000000"/>
                <w:sz w:val="18"/>
              </w:rPr>
              <w:t>10</w:t>
            </w:r>
          </w:p>
        </w:tc>
        <w:tc>
          <w:tcPr>
            <w:tcW w:type="dxa" w:w="2088"/>
            <w:vAlign w:val="center"/>
          </w:tcPr>
          <w:p>
            <w:pPr>
              <w:keepNext/>
              <w:spacing w:line="240" w:lineRule="auto" w:before="60" w:after="60"/>
            </w:pPr>
            <w:r>
              <w:rPr>
                <w:rFonts w:ascii="Times New Roman" w:hAnsi="Times New Roman"/>
                <w:color w:val="000000"/>
                <w:sz w:val="18"/>
              </w:rPr>
              <w:t>0.0989</w:t>
            </w:r>
          </w:p>
        </w:tc>
        <w:tc>
          <w:tcPr>
            <w:tcW w:type="dxa" w:w="2520"/>
            <w:vAlign w:val="center"/>
          </w:tcPr>
          <w:p>
            <w:pPr>
              <w:keepNext/>
              <w:spacing w:line="240" w:lineRule="auto" w:before="60" w:after="60"/>
            </w:pPr>
            <w:r>
              <w:rPr>
                <w:rFonts w:ascii="Times New Roman" w:hAnsi="Times New Roman"/>
                <w:color w:val="000000"/>
                <w:sz w:val="18"/>
              </w:rPr>
              <w:t>0.0989</w:t>
            </w:r>
          </w:p>
        </w:tc>
        <w:tc>
          <w:tcPr>
            <w:tcW w:type="dxa" w:w="1584"/>
            <w:vAlign w:val="center"/>
          </w:tcPr>
          <w:p>
            <w:pPr>
              <w:keepNext/>
              <w:spacing w:line="240" w:lineRule="auto" w:before="60" w:after="60"/>
            </w:pPr>
            <w:r>
              <w:rPr>
                <w:rFonts w:ascii="Times New Roman" w:hAnsi="Times New Roman"/>
                <w:color w:val="000000"/>
                <w:sz w:val="18"/>
              </w:rPr>
              <w:t>no</w:t>
            </w:r>
          </w:p>
        </w:tc>
      </w:tr>
    </w:tbl>
    <w:p>
      <w:pPr>
        <w:keepLines/>
        <w:spacing w:line="240" w:lineRule="auto" w:before="80"/>
      </w:pPr>
      <w:r>
        <w:rPr>
          <w:sz w:val="18"/>
        </w:rPr>
        <w:t>Exceedance counts shown are illustrative rather than exhaustive. Each row applies the stated additional exceedance count to both surfaces, using the planned total of 1,000 permutations. The main analysis and Table S7 use the 950 completed permutations; hence the zero-additional-exceedance P value for household composition and disability is 0.0160 here and 0.017 there.</w:t>
      </w:r>
    </w:p>
    <w:p>
      <w:pPr>
        <w:jc w:val="left"/>
      </w:pPr>
      <w:r>
        <w:t>Table S5 reports each surface's null median and 95th percentile. These summarize the coordinate-permutation reference distribution; they do not estimate statistical power. The population-size surface has an observed SD of 0.1312 against a null 95th percentile of 0.2273. Failure to reject this null does not establish spatial stationarity. Statistical significance in the main analysis is assessed using Holm-adjusted P values, not the unadjusted percentile alone.</w:t>
      </w:r>
    </w:p>
    <w:p>
      <w:pPr>
        <w:keepNext/>
        <w:spacing w:before="160" w:after="80"/>
      </w:pPr>
      <w:r>
        <w:rPr>
          <w:b/>
          <w:sz w:val="20"/>
        </w:rPr>
        <w:t>Table S5. Distribution of surface SDs under coordinate permutation.</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1224"/>
        <w:gridCol w:w="1296"/>
        <w:gridCol w:w="1512"/>
        <w:gridCol w:w="1584"/>
      </w:tblGrid>
      <w:tr>
        <w:trPr>
          <w:cantSplit/>
          <w:tblHeader/>
        </w:trPr>
        <w:tc>
          <w:tcPr>
            <w:tcW w:type="dxa" w:w="2736"/>
            <w:vAlign w:val="center"/>
          </w:tcPr>
          <w:p>
            <w:pPr>
              <w:keepNext/>
              <w:spacing w:line="240" w:lineRule="auto" w:before="60" w:after="60"/>
            </w:pPr>
            <w:r>
              <w:rPr>
                <w:rFonts w:ascii="Times New Roman" w:hAnsi="Times New Roman"/>
                <w:b/>
                <w:color w:val="000000"/>
                <w:sz w:val="18"/>
              </w:rPr>
              <w:t>Coefficient surface</w:t>
            </w:r>
          </w:p>
        </w:tc>
        <w:tc>
          <w:tcPr>
            <w:tcW w:type="dxa" w:w="1224"/>
            <w:vAlign w:val="center"/>
          </w:tcPr>
          <w:p>
            <w:pPr>
              <w:keepNext/>
              <w:spacing w:line="240" w:lineRule="auto" w:before="60" w:after="60"/>
            </w:pPr>
            <w:r>
              <w:rPr>
                <w:rFonts w:ascii="Times New Roman" w:hAnsi="Times New Roman"/>
                <w:b/>
                <w:color w:val="000000"/>
                <w:sz w:val="18"/>
              </w:rPr>
              <w:t>Observed SD</w:t>
            </w:r>
          </w:p>
        </w:tc>
        <w:tc>
          <w:tcPr>
            <w:tcW w:type="dxa" w:w="1296"/>
            <w:vAlign w:val="center"/>
          </w:tcPr>
          <w:p>
            <w:pPr>
              <w:keepNext/>
              <w:spacing w:line="240" w:lineRule="auto" w:before="60" w:after="60"/>
            </w:pPr>
            <w:r>
              <w:rPr>
                <w:rFonts w:ascii="Times New Roman" w:hAnsi="Times New Roman"/>
                <w:b/>
                <w:color w:val="000000"/>
                <w:sz w:val="18"/>
              </w:rPr>
              <w:t>Null median</w:t>
            </w:r>
          </w:p>
        </w:tc>
        <w:tc>
          <w:tcPr>
            <w:tcW w:type="dxa" w:w="1512"/>
            <w:vAlign w:val="center"/>
          </w:tcPr>
          <w:p>
            <w:pPr>
              <w:keepNext/>
              <w:spacing w:line="240" w:lineRule="auto" w:before="60" w:after="60"/>
            </w:pPr>
            <w:r>
              <w:rPr>
                <w:rFonts w:ascii="Times New Roman" w:hAnsi="Times New Roman"/>
                <w:b/>
                <w:color w:val="000000"/>
                <w:sz w:val="18"/>
              </w:rPr>
              <w:t>Null 95th percentile</w:t>
            </w:r>
          </w:p>
        </w:tc>
        <w:tc>
          <w:tcPr>
            <w:tcW w:type="dxa" w:w="1584"/>
            <w:vAlign w:val="center"/>
          </w:tcPr>
          <w:p>
            <w:pPr>
              <w:keepNext/>
              <w:spacing w:line="240" w:lineRule="auto" w:before="60" w:after="60"/>
            </w:pPr>
            <w:r>
              <w:rPr>
                <w:rFonts w:ascii="Times New Roman" w:hAnsi="Times New Roman"/>
                <w:b/>
                <w:color w:val="000000"/>
                <w:sz w:val="18"/>
              </w:rPr>
              <w:t>Observed / null 95th</w:t>
            </w:r>
          </w:p>
        </w:tc>
      </w:tr>
      <w:tr>
        <w:trPr>
          <w:cantSplit/>
        </w:trPr>
        <w:tc>
          <w:tcPr>
            <w:tcW w:type="dxa" w:w="2736"/>
            <w:vAlign w:val="center"/>
          </w:tcPr>
          <w:p>
            <w:pPr>
              <w:keepNext/>
              <w:spacing w:line="240" w:lineRule="auto" w:before="60" w:after="60"/>
            </w:pPr>
            <w:r>
              <w:rPr>
                <w:rFonts w:ascii="Times New Roman" w:hAnsi="Times New Roman"/>
                <w:color w:val="000000"/>
                <w:sz w:val="18"/>
              </w:rPr>
              <w:t>Ultraviolet exposure</w:t>
            </w:r>
          </w:p>
        </w:tc>
        <w:tc>
          <w:tcPr>
            <w:tcW w:type="dxa" w:w="1224"/>
            <w:vAlign w:val="center"/>
          </w:tcPr>
          <w:p>
            <w:pPr>
              <w:keepNext/>
              <w:spacing w:line="240" w:lineRule="auto" w:before="60" w:after="60"/>
            </w:pPr>
            <w:r>
              <w:rPr>
                <w:rFonts w:ascii="Times New Roman" w:hAnsi="Times New Roman"/>
                <w:color w:val="000000"/>
                <w:sz w:val="18"/>
              </w:rPr>
              <w:t>0.6302</w:t>
            </w:r>
          </w:p>
        </w:tc>
        <w:tc>
          <w:tcPr>
            <w:tcW w:type="dxa" w:w="1296"/>
            <w:vAlign w:val="center"/>
          </w:tcPr>
          <w:p>
            <w:pPr>
              <w:keepNext/>
              <w:spacing w:line="240" w:lineRule="auto" w:before="60" w:after="60"/>
            </w:pPr>
            <w:r>
              <w:rPr>
                <w:rFonts w:ascii="Times New Roman" w:hAnsi="Times New Roman"/>
                <w:color w:val="000000"/>
                <w:sz w:val="18"/>
              </w:rPr>
              <w:t>0.0117</w:t>
            </w:r>
          </w:p>
        </w:tc>
        <w:tc>
          <w:tcPr>
            <w:tcW w:type="dxa" w:w="1512"/>
            <w:vAlign w:val="center"/>
          </w:tcPr>
          <w:p>
            <w:pPr>
              <w:keepNext/>
              <w:spacing w:line="240" w:lineRule="auto" w:before="60" w:after="60"/>
            </w:pPr>
            <w:r>
              <w:rPr>
                <w:rFonts w:ascii="Times New Roman" w:hAnsi="Times New Roman"/>
                <w:color w:val="000000"/>
                <w:sz w:val="18"/>
              </w:rPr>
              <w:t>0.0597</w:t>
            </w:r>
          </w:p>
        </w:tc>
        <w:tc>
          <w:tcPr>
            <w:tcW w:type="dxa" w:w="1584"/>
            <w:vAlign w:val="center"/>
          </w:tcPr>
          <w:p>
            <w:pPr>
              <w:keepNext/>
              <w:spacing w:line="240" w:lineRule="auto" w:before="60" w:after="60"/>
            </w:pPr>
            <w:r>
              <w:rPr>
                <w:rFonts w:ascii="Times New Roman" w:hAnsi="Times New Roman"/>
                <w:color w:val="000000"/>
                <w:sz w:val="18"/>
              </w:rPr>
              <w:t>10.558</w:t>
            </w:r>
          </w:p>
        </w:tc>
      </w:tr>
      <w:tr>
        <w:trPr>
          <w:cantSplit/>
        </w:trPr>
        <w:tc>
          <w:tcPr>
            <w:tcW w:type="dxa" w:w="2736"/>
            <w:vAlign w:val="center"/>
          </w:tcPr>
          <w:p>
            <w:pPr>
              <w:keepNext/>
              <w:spacing w:line="240" w:lineRule="auto" w:before="60" w:after="60"/>
            </w:pPr>
            <w:r>
              <w:rPr>
                <w:rFonts w:ascii="Times New Roman" w:hAnsi="Times New Roman"/>
                <w:color w:val="000000"/>
                <w:sz w:val="18"/>
              </w:rPr>
              <w:t>Household composition and disability</w:t>
            </w:r>
          </w:p>
        </w:tc>
        <w:tc>
          <w:tcPr>
            <w:tcW w:type="dxa" w:w="1224"/>
            <w:vAlign w:val="center"/>
          </w:tcPr>
          <w:p>
            <w:pPr>
              <w:keepNext/>
              <w:spacing w:line="240" w:lineRule="auto" w:before="60" w:after="60"/>
            </w:pPr>
            <w:r>
              <w:rPr>
                <w:rFonts w:ascii="Times New Roman" w:hAnsi="Times New Roman"/>
                <w:color w:val="000000"/>
                <w:sz w:val="18"/>
              </w:rPr>
              <w:t>0.0919</w:t>
            </w:r>
          </w:p>
        </w:tc>
        <w:tc>
          <w:tcPr>
            <w:tcW w:type="dxa" w:w="1296"/>
            <w:vAlign w:val="center"/>
          </w:tcPr>
          <w:p>
            <w:pPr>
              <w:keepNext/>
              <w:spacing w:line="240" w:lineRule="auto" w:before="60" w:after="60"/>
            </w:pPr>
            <w:r>
              <w:rPr>
                <w:rFonts w:ascii="Times New Roman" w:hAnsi="Times New Roman"/>
                <w:color w:val="000000"/>
                <w:sz w:val="18"/>
              </w:rPr>
              <w:t>0.0030</w:t>
            </w:r>
          </w:p>
        </w:tc>
        <w:tc>
          <w:tcPr>
            <w:tcW w:type="dxa" w:w="1512"/>
            <w:vAlign w:val="center"/>
          </w:tcPr>
          <w:p>
            <w:pPr>
              <w:keepNext/>
              <w:spacing w:line="240" w:lineRule="auto" w:before="60" w:after="60"/>
            </w:pPr>
            <w:r>
              <w:rPr>
                <w:rFonts w:ascii="Times New Roman" w:hAnsi="Times New Roman"/>
                <w:color w:val="000000"/>
                <w:sz w:val="18"/>
              </w:rPr>
              <w:t>0.0274</w:t>
            </w:r>
          </w:p>
        </w:tc>
        <w:tc>
          <w:tcPr>
            <w:tcW w:type="dxa" w:w="1584"/>
            <w:vAlign w:val="center"/>
          </w:tcPr>
          <w:p>
            <w:pPr>
              <w:keepNext/>
              <w:spacing w:line="240" w:lineRule="auto" w:before="60" w:after="60"/>
            </w:pPr>
            <w:r>
              <w:rPr>
                <w:rFonts w:ascii="Times New Roman" w:hAnsi="Times New Roman"/>
                <w:color w:val="000000"/>
                <w:sz w:val="18"/>
              </w:rPr>
              <w:t>3.356</w:t>
            </w:r>
          </w:p>
        </w:tc>
      </w:tr>
      <w:tr>
        <w:trPr>
          <w:cantSplit/>
        </w:trPr>
        <w:tc>
          <w:tcPr>
            <w:tcW w:type="dxa" w:w="2736"/>
            <w:vAlign w:val="center"/>
          </w:tcPr>
          <w:p>
            <w:pPr>
              <w:keepNext/>
              <w:spacing w:line="240" w:lineRule="auto" w:before="60" w:after="60"/>
            </w:pPr>
            <w:r>
              <w:rPr>
                <w:rFonts w:ascii="Times New Roman" w:hAnsi="Times New Roman"/>
                <w:color w:val="000000"/>
                <w:sz w:val="18"/>
              </w:rPr>
              <w:t>Physical inactivity</w:t>
            </w:r>
          </w:p>
        </w:tc>
        <w:tc>
          <w:tcPr>
            <w:tcW w:type="dxa" w:w="1224"/>
            <w:vAlign w:val="center"/>
          </w:tcPr>
          <w:p>
            <w:pPr>
              <w:keepNext/>
              <w:spacing w:line="240" w:lineRule="auto" w:before="60" w:after="60"/>
            </w:pPr>
            <w:r>
              <w:rPr>
                <w:rFonts w:ascii="Times New Roman" w:hAnsi="Times New Roman"/>
                <w:color w:val="000000"/>
                <w:sz w:val="18"/>
              </w:rPr>
              <w:t>0.0901</w:t>
            </w:r>
          </w:p>
        </w:tc>
        <w:tc>
          <w:tcPr>
            <w:tcW w:type="dxa" w:w="1296"/>
            <w:vAlign w:val="center"/>
          </w:tcPr>
          <w:p>
            <w:pPr>
              <w:keepNext/>
              <w:spacing w:line="240" w:lineRule="auto" w:before="60" w:after="60"/>
            </w:pPr>
            <w:r>
              <w:rPr>
                <w:rFonts w:ascii="Times New Roman" w:hAnsi="Times New Roman"/>
                <w:color w:val="000000"/>
                <w:sz w:val="18"/>
              </w:rPr>
              <w:t>0.0035</w:t>
            </w:r>
          </w:p>
        </w:tc>
        <w:tc>
          <w:tcPr>
            <w:tcW w:type="dxa" w:w="1512"/>
            <w:vAlign w:val="center"/>
          </w:tcPr>
          <w:p>
            <w:pPr>
              <w:keepNext/>
              <w:spacing w:line="240" w:lineRule="auto" w:before="60" w:after="60"/>
            </w:pPr>
            <w:r>
              <w:rPr>
                <w:rFonts w:ascii="Times New Roman" w:hAnsi="Times New Roman"/>
                <w:color w:val="000000"/>
                <w:sz w:val="18"/>
              </w:rPr>
              <w:t>0.0495</w:t>
            </w:r>
          </w:p>
        </w:tc>
        <w:tc>
          <w:tcPr>
            <w:tcW w:type="dxa" w:w="1584"/>
            <w:vAlign w:val="center"/>
          </w:tcPr>
          <w:p>
            <w:pPr>
              <w:keepNext/>
              <w:spacing w:line="240" w:lineRule="auto" w:before="60" w:after="60"/>
            </w:pPr>
            <w:r>
              <w:rPr>
                <w:rFonts w:ascii="Times New Roman" w:hAnsi="Times New Roman"/>
                <w:color w:val="000000"/>
                <w:sz w:val="18"/>
              </w:rPr>
              <w:t>1.820</w:t>
            </w:r>
          </w:p>
        </w:tc>
      </w:tr>
      <w:tr>
        <w:trPr>
          <w:cantSplit/>
        </w:trPr>
        <w:tc>
          <w:tcPr>
            <w:tcW w:type="dxa" w:w="2736"/>
            <w:vAlign w:val="center"/>
          </w:tcPr>
          <w:p>
            <w:pPr>
              <w:keepNext/>
              <w:spacing w:line="240" w:lineRule="auto" w:before="60" w:after="60"/>
            </w:pPr>
            <w:r>
              <w:rPr>
                <w:rFonts w:ascii="Times New Roman" w:hAnsi="Times New Roman"/>
                <w:color w:val="000000"/>
                <w:sz w:val="18"/>
              </w:rPr>
              <w:t>Infrastructural resilience</w:t>
            </w:r>
          </w:p>
        </w:tc>
        <w:tc>
          <w:tcPr>
            <w:tcW w:type="dxa" w:w="1224"/>
            <w:vAlign w:val="center"/>
          </w:tcPr>
          <w:p>
            <w:pPr>
              <w:keepNext/>
              <w:spacing w:line="240" w:lineRule="auto" w:before="60" w:after="60"/>
            </w:pPr>
            <w:r>
              <w:rPr>
                <w:rFonts w:ascii="Times New Roman" w:hAnsi="Times New Roman"/>
                <w:color w:val="000000"/>
                <w:sz w:val="18"/>
              </w:rPr>
              <w:t>0.0445</w:t>
            </w:r>
          </w:p>
        </w:tc>
        <w:tc>
          <w:tcPr>
            <w:tcW w:type="dxa" w:w="1296"/>
            <w:vAlign w:val="center"/>
          </w:tcPr>
          <w:p>
            <w:pPr>
              <w:keepNext/>
              <w:spacing w:line="240" w:lineRule="auto" w:before="60" w:after="60"/>
            </w:pPr>
            <w:r>
              <w:rPr>
                <w:rFonts w:ascii="Times New Roman" w:hAnsi="Times New Roman"/>
                <w:color w:val="000000"/>
                <w:sz w:val="18"/>
              </w:rPr>
              <w:t>0.0042</w:t>
            </w:r>
          </w:p>
        </w:tc>
        <w:tc>
          <w:tcPr>
            <w:tcW w:type="dxa" w:w="1512"/>
            <w:vAlign w:val="center"/>
          </w:tcPr>
          <w:p>
            <w:pPr>
              <w:keepNext/>
              <w:spacing w:line="240" w:lineRule="auto" w:before="60" w:after="60"/>
            </w:pPr>
            <w:r>
              <w:rPr>
                <w:rFonts w:ascii="Times New Roman" w:hAnsi="Times New Roman"/>
                <w:color w:val="000000"/>
                <w:sz w:val="18"/>
              </w:rPr>
              <w:t>0.0439</w:t>
            </w:r>
          </w:p>
        </w:tc>
        <w:tc>
          <w:tcPr>
            <w:tcW w:type="dxa" w:w="1584"/>
            <w:vAlign w:val="center"/>
          </w:tcPr>
          <w:p>
            <w:pPr>
              <w:keepNext/>
              <w:spacing w:line="240" w:lineRule="auto" w:before="60" w:after="60"/>
            </w:pPr>
            <w:r>
              <w:rPr>
                <w:rFonts w:ascii="Times New Roman" w:hAnsi="Times New Roman"/>
                <w:color w:val="000000"/>
                <w:sz w:val="18"/>
              </w:rPr>
              <w:t>1.013</w:t>
            </w:r>
          </w:p>
        </w:tc>
      </w:tr>
      <w:tr>
        <w:trPr>
          <w:cantSplit/>
        </w:trPr>
        <w:tc>
          <w:tcPr>
            <w:tcW w:type="dxa" w:w="2736"/>
            <w:vAlign w:val="center"/>
          </w:tcPr>
          <w:p>
            <w:pPr>
              <w:keepNext/>
              <w:spacing w:line="240" w:lineRule="auto" w:before="60" w:after="60"/>
            </w:pPr>
            <w:r>
              <w:rPr>
                <w:rFonts w:ascii="Times New Roman" w:hAnsi="Times New Roman"/>
                <w:color w:val="000000"/>
                <w:sz w:val="18"/>
              </w:rPr>
              <w:t>Population aged 65 and over</w:t>
            </w:r>
          </w:p>
        </w:tc>
        <w:tc>
          <w:tcPr>
            <w:tcW w:type="dxa" w:w="1224"/>
            <w:vAlign w:val="center"/>
          </w:tcPr>
          <w:p>
            <w:pPr>
              <w:keepNext/>
              <w:spacing w:line="240" w:lineRule="auto" w:before="60" w:after="60"/>
            </w:pPr>
            <w:r>
              <w:rPr>
                <w:rFonts w:ascii="Times New Roman" w:hAnsi="Times New Roman"/>
                <w:color w:val="000000"/>
                <w:sz w:val="18"/>
              </w:rPr>
              <w:t>0.0311</w:t>
            </w:r>
          </w:p>
        </w:tc>
        <w:tc>
          <w:tcPr>
            <w:tcW w:type="dxa" w:w="1296"/>
            <w:vAlign w:val="center"/>
          </w:tcPr>
          <w:p>
            <w:pPr>
              <w:keepNext/>
              <w:spacing w:line="240" w:lineRule="auto" w:before="60" w:after="60"/>
            </w:pPr>
            <w:r>
              <w:rPr>
                <w:rFonts w:ascii="Times New Roman" w:hAnsi="Times New Roman"/>
                <w:color w:val="000000"/>
                <w:sz w:val="18"/>
              </w:rPr>
              <w:t>0.0052</w:t>
            </w:r>
          </w:p>
        </w:tc>
        <w:tc>
          <w:tcPr>
            <w:tcW w:type="dxa" w:w="1512"/>
            <w:vAlign w:val="center"/>
          </w:tcPr>
          <w:p>
            <w:pPr>
              <w:keepNext/>
              <w:spacing w:line="240" w:lineRule="auto" w:before="60" w:after="60"/>
            </w:pPr>
            <w:r>
              <w:rPr>
                <w:rFonts w:ascii="Times New Roman" w:hAnsi="Times New Roman"/>
                <w:color w:val="000000"/>
                <w:sz w:val="18"/>
              </w:rPr>
              <w:t>0.0526</w:t>
            </w:r>
          </w:p>
        </w:tc>
        <w:tc>
          <w:tcPr>
            <w:tcW w:type="dxa" w:w="1584"/>
            <w:vAlign w:val="center"/>
          </w:tcPr>
          <w:p>
            <w:pPr>
              <w:keepNext/>
              <w:spacing w:line="240" w:lineRule="auto" w:before="60" w:after="60"/>
            </w:pPr>
            <w:r>
              <w:rPr>
                <w:rFonts w:ascii="Times New Roman" w:hAnsi="Times New Roman"/>
                <w:color w:val="000000"/>
                <w:sz w:val="18"/>
              </w:rPr>
              <w:t>0.592</w:t>
            </w:r>
          </w:p>
        </w:tc>
      </w:tr>
      <w:tr>
        <w:trPr>
          <w:cantSplit/>
        </w:trPr>
        <w:tc>
          <w:tcPr>
            <w:tcW w:type="dxa" w:w="2736"/>
            <w:vAlign w:val="center"/>
          </w:tcPr>
          <w:p>
            <w:pPr>
              <w:keepNext/>
              <w:spacing w:line="240" w:lineRule="auto" w:before="60" w:after="60"/>
            </w:pPr>
            <w:r>
              <w:rPr>
                <w:rFonts w:ascii="Times New Roman" w:hAnsi="Times New Roman"/>
                <w:color w:val="000000"/>
                <w:sz w:val="18"/>
              </w:rPr>
              <w:t>Population size</w:t>
            </w:r>
          </w:p>
        </w:tc>
        <w:tc>
          <w:tcPr>
            <w:tcW w:type="dxa" w:w="1224"/>
            <w:vAlign w:val="center"/>
          </w:tcPr>
          <w:p>
            <w:pPr>
              <w:keepNext/>
              <w:spacing w:line="240" w:lineRule="auto" w:before="60" w:after="60"/>
            </w:pPr>
            <w:r>
              <w:rPr>
                <w:rFonts w:ascii="Times New Roman" w:hAnsi="Times New Roman"/>
                <w:color w:val="000000"/>
                <w:sz w:val="18"/>
              </w:rPr>
              <w:t>0.1312</w:t>
            </w:r>
          </w:p>
        </w:tc>
        <w:tc>
          <w:tcPr>
            <w:tcW w:type="dxa" w:w="1296"/>
            <w:vAlign w:val="center"/>
          </w:tcPr>
          <w:p>
            <w:pPr>
              <w:keepNext/>
              <w:spacing w:line="240" w:lineRule="auto" w:before="60" w:after="60"/>
            </w:pPr>
            <w:r>
              <w:rPr>
                <w:rFonts w:ascii="Times New Roman" w:hAnsi="Times New Roman"/>
                <w:color w:val="000000"/>
                <w:sz w:val="18"/>
              </w:rPr>
              <w:t>0.0881</w:t>
            </w:r>
          </w:p>
        </w:tc>
        <w:tc>
          <w:tcPr>
            <w:tcW w:type="dxa" w:w="1512"/>
            <w:vAlign w:val="center"/>
          </w:tcPr>
          <w:p>
            <w:pPr>
              <w:keepNext/>
              <w:spacing w:line="240" w:lineRule="auto" w:before="60" w:after="60"/>
            </w:pPr>
            <w:r>
              <w:rPr>
                <w:rFonts w:ascii="Times New Roman" w:hAnsi="Times New Roman"/>
                <w:color w:val="000000"/>
                <w:sz w:val="18"/>
              </w:rPr>
              <w:t>0.2273</w:t>
            </w:r>
          </w:p>
        </w:tc>
        <w:tc>
          <w:tcPr>
            <w:tcW w:type="dxa" w:w="1584"/>
            <w:vAlign w:val="center"/>
          </w:tcPr>
          <w:p>
            <w:pPr>
              <w:keepNext/>
              <w:spacing w:line="240" w:lineRule="auto" w:before="60" w:after="60"/>
            </w:pPr>
            <w:r>
              <w:rPr>
                <w:rFonts w:ascii="Times New Roman" w:hAnsi="Times New Roman"/>
                <w:color w:val="000000"/>
                <w:sz w:val="18"/>
              </w:rPr>
              <w:t>0.577</w:t>
            </w:r>
          </w:p>
        </w:tc>
      </w:tr>
      <w:tr>
        <w:trPr>
          <w:cantSplit/>
        </w:trPr>
        <w:tc>
          <w:tcPr>
            <w:tcW w:type="dxa" w:w="2736"/>
            <w:vAlign w:val="center"/>
          </w:tcPr>
          <w:p>
            <w:pPr>
              <w:keepNext/>
              <w:spacing w:line="240" w:lineRule="auto" w:before="60" w:after="60"/>
            </w:pPr>
            <w:r>
              <w:rPr>
                <w:rFonts w:ascii="Times New Roman" w:hAnsi="Times New Roman"/>
                <w:color w:val="000000"/>
                <w:sz w:val="18"/>
              </w:rPr>
              <w:t>Environmental resilience</w:t>
            </w:r>
          </w:p>
        </w:tc>
        <w:tc>
          <w:tcPr>
            <w:tcW w:type="dxa" w:w="1224"/>
            <w:vAlign w:val="center"/>
          </w:tcPr>
          <w:p>
            <w:pPr>
              <w:keepNext/>
              <w:spacing w:line="240" w:lineRule="auto" w:before="60" w:after="60"/>
            </w:pPr>
            <w:r>
              <w:rPr>
                <w:rFonts w:ascii="Times New Roman" w:hAnsi="Times New Roman"/>
                <w:color w:val="000000"/>
                <w:sz w:val="18"/>
              </w:rPr>
              <w:t>0.0110</w:t>
            </w:r>
          </w:p>
        </w:tc>
        <w:tc>
          <w:tcPr>
            <w:tcW w:type="dxa" w:w="1296"/>
            <w:vAlign w:val="center"/>
          </w:tcPr>
          <w:p>
            <w:pPr>
              <w:keepNext/>
              <w:spacing w:line="240" w:lineRule="auto" w:before="60" w:after="60"/>
            </w:pPr>
            <w:r>
              <w:rPr>
                <w:rFonts w:ascii="Times New Roman" w:hAnsi="Times New Roman"/>
                <w:color w:val="000000"/>
                <w:sz w:val="18"/>
              </w:rPr>
              <w:t>0.0101</w:t>
            </w:r>
          </w:p>
        </w:tc>
        <w:tc>
          <w:tcPr>
            <w:tcW w:type="dxa" w:w="1512"/>
            <w:vAlign w:val="center"/>
          </w:tcPr>
          <w:p>
            <w:pPr>
              <w:keepNext/>
              <w:spacing w:line="240" w:lineRule="auto" w:before="60" w:after="60"/>
            </w:pPr>
            <w:r>
              <w:rPr>
                <w:rFonts w:ascii="Times New Roman" w:hAnsi="Times New Roman"/>
                <w:color w:val="000000"/>
                <w:sz w:val="18"/>
              </w:rPr>
              <w:t>0.0517</w:t>
            </w:r>
          </w:p>
        </w:tc>
        <w:tc>
          <w:tcPr>
            <w:tcW w:type="dxa" w:w="1584"/>
            <w:vAlign w:val="center"/>
          </w:tcPr>
          <w:p>
            <w:pPr>
              <w:keepNext/>
              <w:spacing w:line="240" w:lineRule="auto" w:before="60" w:after="60"/>
            </w:pPr>
            <w:r>
              <w:rPr>
                <w:rFonts w:ascii="Times New Roman" w:hAnsi="Times New Roman"/>
                <w:color w:val="000000"/>
                <w:sz w:val="18"/>
              </w:rPr>
              <w:t>0.214</w:t>
            </w:r>
          </w:p>
        </w:tc>
      </w:tr>
      <w:tr>
        <w:trPr>
          <w:cantSplit/>
        </w:trPr>
        <w:tc>
          <w:tcPr>
            <w:tcW w:type="dxa" w:w="2736"/>
            <w:vAlign w:val="center"/>
          </w:tcPr>
          <w:p>
            <w:pPr>
              <w:keepNext/>
              <w:spacing w:line="240" w:lineRule="auto" w:before="60" w:after="60"/>
            </w:pPr>
            <w:r>
              <w:rPr>
                <w:rFonts w:ascii="Times New Roman" w:hAnsi="Times New Roman"/>
                <w:color w:val="000000"/>
                <w:sz w:val="18"/>
              </w:rPr>
              <w:t>Adults without a college degree</w:t>
            </w:r>
          </w:p>
        </w:tc>
        <w:tc>
          <w:tcPr>
            <w:tcW w:type="dxa" w:w="1224"/>
            <w:vAlign w:val="center"/>
          </w:tcPr>
          <w:p>
            <w:pPr>
              <w:keepNext/>
              <w:spacing w:line="240" w:lineRule="auto" w:before="60" w:after="60"/>
            </w:pPr>
            <w:r>
              <w:rPr>
                <w:rFonts w:ascii="Times New Roman" w:hAnsi="Times New Roman"/>
                <w:color w:val="000000"/>
                <w:sz w:val="18"/>
              </w:rPr>
              <w:t>0.0084</w:t>
            </w:r>
          </w:p>
        </w:tc>
        <w:tc>
          <w:tcPr>
            <w:tcW w:type="dxa" w:w="1296"/>
            <w:vAlign w:val="center"/>
          </w:tcPr>
          <w:p>
            <w:pPr>
              <w:keepNext/>
              <w:spacing w:line="240" w:lineRule="auto" w:before="60" w:after="60"/>
            </w:pPr>
            <w:r>
              <w:rPr>
                <w:rFonts w:ascii="Times New Roman" w:hAnsi="Times New Roman"/>
                <w:color w:val="000000"/>
                <w:sz w:val="18"/>
              </w:rPr>
              <w:t>0.0292</w:t>
            </w:r>
          </w:p>
        </w:tc>
        <w:tc>
          <w:tcPr>
            <w:tcW w:type="dxa" w:w="1512"/>
            <w:vAlign w:val="center"/>
          </w:tcPr>
          <w:p>
            <w:pPr>
              <w:keepNext/>
              <w:spacing w:line="240" w:lineRule="auto" w:before="60" w:after="60"/>
            </w:pPr>
            <w:r>
              <w:rPr>
                <w:rFonts w:ascii="Times New Roman" w:hAnsi="Times New Roman"/>
                <w:color w:val="000000"/>
                <w:sz w:val="18"/>
              </w:rPr>
              <w:t>0.1217</w:t>
            </w:r>
          </w:p>
        </w:tc>
        <w:tc>
          <w:tcPr>
            <w:tcW w:type="dxa" w:w="1584"/>
            <w:vAlign w:val="center"/>
          </w:tcPr>
          <w:p>
            <w:pPr>
              <w:keepNext/>
              <w:spacing w:line="240" w:lineRule="auto" w:before="60" w:after="60"/>
            </w:pPr>
            <w:r>
              <w:rPr>
                <w:rFonts w:ascii="Times New Roman" w:hAnsi="Times New Roman"/>
                <w:color w:val="000000"/>
                <w:sz w:val="18"/>
              </w:rPr>
              <w:t>0.069</w:t>
            </w:r>
          </w:p>
        </w:tc>
      </w:tr>
      <w:tr>
        <w:trPr>
          <w:cantSplit/>
        </w:trPr>
        <w:tc>
          <w:tcPr>
            <w:tcW w:type="dxa" w:w="2736"/>
            <w:vAlign w:val="center"/>
          </w:tcPr>
          <w:p>
            <w:pPr>
              <w:keepNext/>
              <w:spacing w:line="240" w:lineRule="auto" w:before="60" w:after="60"/>
            </w:pPr>
            <w:r>
              <w:rPr>
                <w:rFonts w:ascii="Times New Roman" w:hAnsi="Times New Roman"/>
                <w:color w:val="000000"/>
                <w:sz w:val="18"/>
              </w:rPr>
              <w:t>Intercept</w:t>
            </w:r>
          </w:p>
        </w:tc>
        <w:tc>
          <w:tcPr>
            <w:tcW w:type="dxa" w:w="1224"/>
            <w:vAlign w:val="center"/>
          </w:tcPr>
          <w:p>
            <w:pPr>
              <w:keepNext/>
              <w:spacing w:line="240" w:lineRule="auto" w:before="60" w:after="60"/>
            </w:pPr>
            <w:r>
              <w:rPr>
                <w:rFonts w:ascii="Times New Roman" w:hAnsi="Times New Roman"/>
                <w:color w:val="000000"/>
                <w:sz w:val="18"/>
              </w:rPr>
              <w:t>0.0023</w:t>
            </w:r>
          </w:p>
        </w:tc>
        <w:tc>
          <w:tcPr>
            <w:tcW w:type="dxa" w:w="1296"/>
            <w:vAlign w:val="center"/>
          </w:tcPr>
          <w:p>
            <w:pPr>
              <w:keepNext/>
              <w:spacing w:line="240" w:lineRule="auto" w:before="60" w:after="60"/>
            </w:pPr>
            <w:r>
              <w:rPr>
                <w:rFonts w:ascii="Times New Roman" w:hAnsi="Times New Roman"/>
                <w:color w:val="000000"/>
                <w:sz w:val="18"/>
              </w:rPr>
              <w:t>0.0049</w:t>
            </w:r>
          </w:p>
        </w:tc>
        <w:tc>
          <w:tcPr>
            <w:tcW w:type="dxa" w:w="1512"/>
            <w:vAlign w:val="center"/>
          </w:tcPr>
          <w:p>
            <w:pPr>
              <w:keepNext/>
              <w:spacing w:line="240" w:lineRule="auto" w:before="60" w:after="60"/>
            </w:pPr>
            <w:r>
              <w:rPr>
                <w:rFonts w:ascii="Times New Roman" w:hAnsi="Times New Roman"/>
                <w:color w:val="000000"/>
                <w:sz w:val="18"/>
              </w:rPr>
              <w:t>0.0366</w:t>
            </w:r>
          </w:p>
        </w:tc>
        <w:tc>
          <w:tcPr>
            <w:tcW w:type="dxa" w:w="1584"/>
            <w:vAlign w:val="center"/>
          </w:tcPr>
          <w:p>
            <w:pPr>
              <w:keepNext/>
              <w:spacing w:line="240" w:lineRule="auto" w:before="60" w:after="60"/>
            </w:pPr>
            <w:r>
              <w:rPr>
                <w:rFonts w:ascii="Times New Roman" w:hAnsi="Times New Roman"/>
                <w:color w:val="000000"/>
                <w:sz w:val="18"/>
              </w:rPr>
              <w:t>0.064</w:t>
            </w:r>
          </w:p>
        </w:tc>
      </w:tr>
    </w:tbl>
    <w:p>
      <w:pPr>
        <w:keepLines/>
        <w:spacing w:line="240" w:lineRule="auto" w:before="80"/>
      </w:pPr>
      <w:r>
        <w:rPr>
          <w:sz w:val="18"/>
        </w:rPr>
        <w:t>A ratio above one indicates that the observed SD exceeds the null 95th percentile; it does not indicate significance after multiplicity adjustment.</w:t>
      </w:r>
    </w:p>
    <w:p>
      <w:pPr>
        <w:pStyle w:val="Heading1"/>
        <w:keepNext/>
        <w:spacing w:before="240" w:after="80"/>
      </w:pPr>
      <w:r>
        <w:rPr>
          <w:b/>
          <w:color w:val="000000"/>
          <w:sz w:val="26"/>
        </w:rPr>
        <w:t>S5. Predictor selection for the spatial models</w:t>
      </w:r>
    </w:p>
    <w:p>
      <w:pPr>
        <w:jc w:val="left"/>
      </w:pPr>
      <w:r>
        <w:t>The spatial models used eight predictors to limit model complexity and local collinearity. Lasso regression of the standardized log death rate on all 44 standardized candidate predictors used five-fold cross-validation to select the penalty. Twenty-six coefficients were nonzero. We retained log(population) and the seven other predictors with the largest absolute coefficients.</w:t>
      </w:r>
    </w:p>
    <w:p>
      <w:pPr>
        <w:jc w:val="left"/>
      </w:pPr>
      <w:r>
        <w:t>The seven retained factors and their lasso coefficients were adults without a college degree (0.272), population aged 65 and over (0.220), physical inactivity (0.181), ultraviolet exposure (0.130), infrastructural resilience (0.123), household composition and disability (0.101), and environmental resilience (-0.094). The coefficient for log(population), retained by design, was 0.011. The next two candidates were smoking (0.083) and half of income on housing (-0.069). Sensitivity to alternative predictor sets was not assessed.</w:t>
      </w:r>
    </w:p>
    <w:p>
      <w:pPr>
        <w:jc w:val="left"/>
      </w:pPr>
      <w:r>
        <w:t>Predictor selection used the full sample before spatial cross-validation, so held-out counties contributed to selecting the design. The same selected predictors were used in all four spatial models. The reported cross-validation therefore does not evaluate the complete selection-and-fitting procedure on independent data; the effect on relative model performance is unknown.</w:t>
      </w:r>
    </w:p>
    <w:p>
      <w:pPr>
        <w:pStyle w:val="Heading1"/>
        <w:keepNext/>
        <w:spacing w:before="240" w:after="80"/>
      </w:pPr>
      <w:r>
        <w:rPr>
          <w:b/>
          <w:color w:val="000000"/>
          <w:sz w:val="26"/>
        </w:rPr>
        <w:t>S6. Bandwidth scale thresholds</w:t>
      </w:r>
    </w:p>
    <w:p>
      <w:pPr>
        <w:jc w:val="left"/>
      </w:pPr>
      <w:r>
        <w:t>Bandwidths were classified as local below 621 counties, regional from 621 through 2,482, and effectively global above 2,482. These descriptive cut-points approximate 20% and 80% of the 3,103-county sample. They are not statistical tests of stationarity. The reported bandwidths are point estimates from corrected Akaike information criterion (AICc) minimization; bandwidth uncertainty was not quantified. Cumulative bandwidths appear in manuscript Table 5, and wave-specific intercept and population-size bandwidths in Table 6.</w:t>
      </w:r>
    </w:p>
    <w:p>
      <w:pPr>
        <w:jc w:val="left"/>
      </w:pPr>
      <w:r>
        <w:t>In April-July 2021, household composition and disability had a bandwidth of 2,443 counties and population size a bandwidth of 561, close to the respective cut-points. Their regional and local labels are sensitive to the classification convention.</w:t>
      </w:r>
    </w:p>
    <w:p>
      <w:pPr>
        <w:pStyle w:val="Heading1"/>
        <w:keepNext/>
        <w:spacing w:before="240" w:after="80"/>
      </w:pPr>
      <w:r>
        <w:rPr>
          <w:b/>
          <w:color w:val="000000"/>
          <w:sz w:val="26"/>
        </w:rPr>
        <w:t>S7. Vaccination coverage and sample exclusions</w:t>
      </w:r>
    </w:p>
    <w:p>
      <w:pPr>
        <w:jc w:val="left"/>
      </w:pPr>
      <w:r>
        <w:t>Vaccination-adjusted models used county-level Centers for Disease Control and Prevention (CDC) series-complete coverage. Counties with unreported coverage were excluded from each window. Exclusions were geographically concentrated, particularly in Texas in the earlier windows, and should not be treated as a random subsample. Table S6 reports the retained sample and population-size estimates.</w:t>
      </w:r>
    </w:p>
    <w:p>
      <w:pPr>
        <w:keepNext/>
        <w:spacing w:before="160" w:after="80"/>
      </w:pPr>
      <w:r>
        <w:rPr>
          <w:b/>
          <w:sz w:val="20"/>
        </w:rPr>
        <w:t>Table S6. Vaccination-adjusted population-size estimates and sample coverage.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1584"/>
        <w:gridCol w:w="1584"/>
        <w:gridCol w:w="1440"/>
        <w:gridCol w:w="1800"/>
      </w:tblGrid>
      <w:tr>
        <w:trPr>
          <w:cantSplit/>
          <w:tblHeader/>
        </w:trPr>
        <w:tc>
          <w:tcPr>
            <w:tcW w:type="dxa" w:w="1944"/>
            <w:vAlign w:val="center"/>
          </w:tcPr>
          <w:p>
            <w:pPr>
              <w:keepNext/>
              <w:spacing w:line="240" w:lineRule="auto" w:before="60" w:after="60"/>
            </w:pPr>
            <w:r>
              <w:rPr>
                <w:rFonts w:ascii="Times New Roman" w:hAnsi="Times New Roman"/>
                <w:b/>
                <w:color w:val="000000"/>
                <w:sz w:val="18"/>
              </w:rPr>
              <w:t>Window</w:t>
            </w:r>
          </w:p>
        </w:tc>
        <w:tc>
          <w:tcPr>
            <w:tcW w:type="dxa" w:w="1584"/>
            <w:vAlign w:val="center"/>
          </w:tcPr>
          <w:p>
            <w:pPr>
              <w:keepNext/>
              <w:spacing w:line="240" w:lineRule="auto" w:before="60" w:after="60"/>
            </w:pPr>
            <w:r>
              <w:rPr>
                <w:rFonts w:ascii="Times New Roman" w:hAnsi="Times New Roman"/>
                <w:b/>
                <w:color w:val="000000"/>
                <w:sz w:val="18"/>
              </w:rPr>
              <w:t>Counties retained</w:t>
            </w:r>
          </w:p>
        </w:tc>
        <w:tc>
          <w:tcPr>
            <w:tcW w:type="dxa" w:w="1584"/>
            <w:vAlign w:val="center"/>
          </w:tcPr>
          <w:p>
            <w:pPr>
              <w:keepNext/>
              <w:spacing w:line="240" w:lineRule="auto" w:before="60" w:after="60"/>
            </w:pPr>
            <w:r>
              <w:rPr>
                <w:rFonts w:ascii="Times New Roman" w:hAnsi="Times New Roman"/>
                <w:b/>
                <w:color w:val="000000"/>
                <w:sz w:val="18"/>
              </w:rPr>
              <w:t>Counties excluded</w:t>
            </w:r>
          </w:p>
        </w:tc>
        <w:tc>
          <w:tcPr>
            <w:tcW w:type="dxa" w:w="1440"/>
            <w:vAlign w:val="center"/>
          </w:tcPr>
          <w:p>
            <w:pPr>
              <w:keepNext/>
              <w:spacing w:line="240" w:lineRule="auto" w:before="60" w:after="60"/>
            </w:pPr>
            <w:r>
              <w:rPr>
                <w:rFonts w:ascii="Times New Roman" w:hAnsi="Times New Roman"/>
                <w:b/>
                <w:color w:val="000000"/>
                <w:sz w:val="18"/>
              </w:rPr>
              <w:t>Mean coverage (%)</w:t>
            </w:r>
          </w:p>
        </w:tc>
        <w:tc>
          <w:tcPr>
            <w:tcW w:type="dxa" w:w="1800"/>
            <w:vAlign w:val="center"/>
          </w:tcPr>
          <w:p>
            <w:pPr>
              <w:keepNext/>
              <w:spacing w:line="240" w:lineRule="auto" w:before="60" w:after="60"/>
            </w:pPr>
            <w:r>
              <w:rPr>
                <w:rFonts w:ascii="Times New Roman" w:hAnsi="Times New Roman"/>
                <w:b/>
                <w:color w:val="000000"/>
                <w:sz w:val="18"/>
              </w:rPr>
              <w:t>IRR per SD of log(population)</w:t>
            </w:r>
          </w:p>
        </w:tc>
      </w:tr>
      <w:tr>
        <w:trPr>
          <w:cantSplit/>
        </w:trPr>
        <w:tc>
          <w:tcPr>
            <w:tcW w:type="dxa" w:w="1944"/>
            <w:vAlign w:val="center"/>
          </w:tcPr>
          <w:p>
            <w:pPr>
              <w:keepNext/>
              <w:spacing w:line="240" w:lineRule="auto" w:before="60" w:after="60"/>
            </w:pPr>
            <w:r>
              <w:rPr>
                <w:rFonts w:ascii="Times New Roman" w:hAnsi="Times New Roman"/>
                <w:color w:val="000000"/>
                <w:sz w:val="18"/>
              </w:rPr>
              <w:t>Apr-Jul 2021</w:t>
            </w:r>
          </w:p>
        </w:tc>
        <w:tc>
          <w:tcPr>
            <w:tcW w:type="dxa" w:w="1584"/>
            <w:vAlign w:val="center"/>
          </w:tcPr>
          <w:p>
            <w:pPr>
              <w:keepNext/>
              <w:spacing w:line="240" w:lineRule="auto" w:before="60" w:after="60"/>
            </w:pPr>
            <w:r>
              <w:rPr>
                <w:rFonts w:ascii="Times New Roman" w:hAnsi="Times New Roman"/>
                <w:color w:val="000000"/>
                <w:sz w:val="18"/>
              </w:rPr>
              <w:t>2777</w:t>
            </w:r>
          </w:p>
        </w:tc>
        <w:tc>
          <w:tcPr>
            <w:tcW w:type="dxa" w:w="1584"/>
            <w:vAlign w:val="center"/>
          </w:tcPr>
          <w:p>
            <w:pPr>
              <w:keepNext/>
              <w:spacing w:line="240" w:lineRule="auto" w:before="60" w:after="60"/>
            </w:pPr>
            <w:r>
              <w:rPr>
                <w:rFonts w:ascii="Times New Roman" w:hAnsi="Times New Roman"/>
                <w:color w:val="000000"/>
                <w:sz w:val="18"/>
              </w:rPr>
              <w:t>326</w:t>
            </w:r>
          </w:p>
        </w:tc>
        <w:tc>
          <w:tcPr>
            <w:tcW w:type="dxa" w:w="1440"/>
            <w:vAlign w:val="center"/>
          </w:tcPr>
          <w:p>
            <w:pPr>
              <w:keepNext/>
              <w:spacing w:line="240" w:lineRule="auto" w:before="60" w:after="60"/>
            </w:pPr>
            <w:r>
              <w:rPr>
                <w:rFonts w:ascii="Times New Roman" w:hAnsi="Times New Roman"/>
                <w:color w:val="000000"/>
                <w:sz w:val="18"/>
              </w:rPr>
              <w:t>6.9</w:t>
            </w:r>
          </w:p>
        </w:tc>
        <w:tc>
          <w:tcPr>
            <w:tcW w:type="dxa" w:w="1800"/>
            <w:vAlign w:val="center"/>
          </w:tcPr>
          <w:p>
            <w:pPr>
              <w:keepNext/>
              <w:spacing w:line="240" w:lineRule="auto" w:before="60" w:after="60"/>
            </w:pPr>
            <w:r>
              <w:rPr>
                <w:rFonts w:ascii="Times New Roman" w:hAnsi="Times New Roman"/>
                <w:color w:val="000000"/>
                <w:sz w:val="18"/>
              </w:rPr>
              <w:t>0.810</w:t>
            </w:r>
          </w:p>
        </w:tc>
      </w:tr>
      <w:tr>
        <w:trPr>
          <w:cantSplit/>
        </w:trPr>
        <w:tc>
          <w:tcPr>
            <w:tcW w:type="dxa" w:w="1944"/>
            <w:vAlign w:val="center"/>
          </w:tcPr>
          <w:p>
            <w:pPr>
              <w:keepNext/>
              <w:spacing w:line="240" w:lineRule="auto" w:before="60" w:after="60"/>
            </w:pPr>
            <w:r>
              <w:rPr>
                <w:rFonts w:ascii="Times New Roman" w:hAnsi="Times New Roman"/>
                <w:color w:val="000000"/>
                <w:sz w:val="18"/>
              </w:rPr>
              <w:t>Aug-Dec 2021</w:t>
            </w:r>
          </w:p>
        </w:tc>
        <w:tc>
          <w:tcPr>
            <w:tcW w:type="dxa" w:w="1584"/>
            <w:vAlign w:val="center"/>
          </w:tcPr>
          <w:p>
            <w:pPr>
              <w:keepNext/>
              <w:spacing w:line="240" w:lineRule="auto" w:before="60" w:after="60"/>
            </w:pPr>
            <w:r>
              <w:rPr>
                <w:rFonts w:ascii="Times New Roman" w:hAnsi="Times New Roman"/>
                <w:color w:val="000000"/>
                <w:sz w:val="18"/>
              </w:rPr>
              <w:t>2831</w:t>
            </w:r>
          </w:p>
        </w:tc>
        <w:tc>
          <w:tcPr>
            <w:tcW w:type="dxa" w:w="1584"/>
            <w:vAlign w:val="center"/>
          </w:tcPr>
          <w:p>
            <w:pPr>
              <w:keepNext/>
              <w:spacing w:line="240" w:lineRule="auto" w:before="60" w:after="60"/>
            </w:pPr>
            <w:r>
              <w:rPr>
                <w:rFonts w:ascii="Times New Roman" w:hAnsi="Times New Roman"/>
                <w:color w:val="000000"/>
                <w:sz w:val="18"/>
              </w:rPr>
              <w:t>272</w:t>
            </w:r>
          </w:p>
        </w:tc>
        <w:tc>
          <w:tcPr>
            <w:tcW w:type="dxa" w:w="1440"/>
            <w:vAlign w:val="center"/>
          </w:tcPr>
          <w:p>
            <w:pPr>
              <w:keepNext/>
              <w:spacing w:line="240" w:lineRule="auto" w:before="60" w:after="60"/>
            </w:pPr>
            <w:r>
              <w:rPr>
                <w:rFonts w:ascii="Times New Roman" w:hAnsi="Times New Roman"/>
                <w:color w:val="000000"/>
                <w:sz w:val="18"/>
              </w:rPr>
              <w:t>33.7</w:t>
            </w:r>
          </w:p>
        </w:tc>
        <w:tc>
          <w:tcPr>
            <w:tcW w:type="dxa" w:w="1800"/>
            <w:vAlign w:val="center"/>
          </w:tcPr>
          <w:p>
            <w:pPr>
              <w:keepNext/>
              <w:spacing w:line="240" w:lineRule="auto" w:before="60" w:after="60"/>
            </w:pPr>
            <w:r>
              <w:rPr>
                <w:rFonts w:ascii="Times New Roman" w:hAnsi="Times New Roman"/>
                <w:color w:val="000000"/>
                <w:sz w:val="18"/>
              </w:rPr>
              <w:t>0.903</w:t>
            </w:r>
          </w:p>
        </w:tc>
      </w:tr>
      <w:tr>
        <w:trPr>
          <w:cantSplit/>
        </w:trPr>
        <w:tc>
          <w:tcPr>
            <w:tcW w:type="dxa" w:w="1944"/>
            <w:vAlign w:val="center"/>
          </w:tcPr>
          <w:p>
            <w:pPr>
              <w:keepNext/>
              <w:spacing w:line="240" w:lineRule="auto" w:before="60" w:after="60"/>
            </w:pPr>
            <w:r>
              <w:rPr>
                <w:rFonts w:ascii="Times New Roman" w:hAnsi="Times New Roman"/>
                <w:color w:val="000000"/>
                <w:sz w:val="18"/>
              </w:rPr>
              <w:t>Jan-Apr 2022</w:t>
            </w:r>
          </w:p>
        </w:tc>
        <w:tc>
          <w:tcPr>
            <w:tcW w:type="dxa" w:w="1584"/>
            <w:vAlign w:val="center"/>
          </w:tcPr>
          <w:p>
            <w:pPr>
              <w:keepNext/>
              <w:spacing w:line="240" w:lineRule="auto" w:before="60" w:after="60"/>
            </w:pPr>
            <w:r>
              <w:rPr>
                <w:rFonts w:ascii="Times New Roman" w:hAnsi="Times New Roman"/>
                <w:color w:val="000000"/>
                <w:sz w:val="18"/>
              </w:rPr>
              <w:t>3091</w:t>
            </w:r>
          </w:p>
        </w:tc>
        <w:tc>
          <w:tcPr>
            <w:tcW w:type="dxa" w:w="1584"/>
            <w:vAlign w:val="center"/>
          </w:tcPr>
          <w:p>
            <w:pPr>
              <w:keepNext/>
              <w:spacing w:line="240" w:lineRule="auto" w:before="60" w:after="60"/>
            </w:pPr>
            <w:r>
              <w:rPr>
                <w:rFonts w:ascii="Times New Roman" w:hAnsi="Times New Roman"/>
                <w:color w:val="000000"/>
                <w:sz w:val="18"/>
              </w:rPr>
              <w:t>12</w:t>
            </w:r>
          </w:p>
        </w:tc>
        <w:tc>
          <w:tcPr>
            <w:tcW w:type="dxa" w:w="1440"/>
            <w:vAlign w:val="center"/>
          </w:tcPr>
          <w:p>
            <w:pPr>
              <w:keepNext/>
              <w:spacing w:line="240" w:lineRule="auto" w:before="60" w:after="60"/>
            </w:pPr>
            <w:r>
              <w:rPr>
                <w:rFonts w:ascii="Times New Roman" w:hAnsi="Times New Roman"/>
                <w:color w:val="000000"/>
                <w:sz w:val="18"/>
              </w:rPr>
              <w:t>45.3</w:t>
            </w:r>
          </w:p>
        </w:tc>
        <w:tc>
          <w:tcPr>
            <w:tcW w:type="dxa" w:w="1800"/>
            <w:vAlign w:val="center"/>
          </w:tcPr>
          <w:p>
            <w:pPr>
              <w:keepNext/>
              <w:spacing w:line="240" w:lineRule="auto" w:before="60" w:after="60"/>
            </w:pPr>
            <w:r>
              <w:rPr>
                <w:rFonts w:ascii="Times New Roman" w:hAnsi="Times New Roman"/>
                <w:color w:val="000000"/>
                <w:sz w:val="18"/>
              </w:rPr>
              <w:t>0.939</w:t>
            </w:r>
          </w:p>
        </w:tc>
      </w:tr>
      <w:tr>
        <w:trPr>
          <w:cantSplit/>
        </w:trPr>
        <w:tc>
          <w:tcPr>
            <w:tcW w:type="dxa" w:w="1944"/>
            <w:vAlign w:val="center"/>
          </w:tcPr>
          <w:p>
            <w:pPr>
              <w:keepNext/>
              <w:spacing w:line="240" w:lineRule="auto" w:before="60" w:after="60"/>
            </w:pPr>
            <w:r>
              <w:rPr>
                <w:rFonts w:ascii="Times New Roman" w:hAnsi="Times New Roman"/>
                <w:color w:val="000000"/>
                <w:sz w:val="18"/>
              </w:rPr>
              <w:t>May 2022-Mar 2023</w:t>
            </w:r>
          </w:p>
        </w:tc>
        <w:tc>
          <w:tcPr>
            <w:tcW w:type="dxa" w:w="1584"/>
            <w:vAlign w:val="center"/>
          </w:tcPr>
          <w:p>
            <w:pPr>
              <w:keepNext/>
              <w:spacing w:line="240" w:lineRule="auto" w:before="60" w:after="60"/>
            </w:pPr>
            <w:r>
              <w:rPr>
                <w:rFonts w:ascii="Times New Roman" w:hAnsi="Times New Roman"/>
                <w:color w:val="000000"/>
                <w:sz w:val="18"/>
              </w:rPr>
              <w:t>3092</w:t>
            </w:r>
          </w:p>
        </w:tc>
        <w:tc>
          <w:tcPr>
            <w:tcW w:type="dxa" w:w="1584"/>
            <w:vAlign w:val="center"/>
          </w:tcPr>
          <w:p>
            <w:pPr>
              <w:keepNext/>
              <w:spacing w:line="240" w:lineRule="auto" w:before="60" w:after="60"/>
            </w:pPr>
            <w:r>
              <w:rPr>
                <w:rFonts w:ascii="Times New Roman" w:hAnsi="Times New Roman"/>
                <w:color w:val="000000"/>
                <w:sz w:val="18"/>
              </w:rPr>
              <w:t>11</w:t>
            </w:r>
          </w:p>
        </w:tc>
        <w:tc>
          <w:tcPr>
            <w:tcW w:type="dxa" w:w="1440"/>
            <w:vAlign w:val="center"/>
          </w:tcPr>
          <w:p>
            <w:pPr>
              <w:keepNext/>
              <w:spacing w:line="240" w:lineRule="auto" w:before="60" w:after="60"/>
            </w:pPr>
            <w:r>
              <w:rPr>
                <w:rFonts w:ascii="Times New Roman" w:hAnsi="Times New Roman"/>
                <w:color w:val="000000"/>
                <w:sz w:val="18"/>
              </w:rPr>
              <w:t>50.8</w:t>
            </w:r>
          </w:p>
        </w:tc>
        <w:tc>
          <w:tcPr>
            <w:tcW w:type="dxa" w:w="1800"/>
            <w:vAlign w:val="center"/>
          </w:tcPr>
          <w:p>
            <w:pPr>
              <w:keepNext/>
              <w:spacing w:line="240" w:lineRule="auto" w:before="60" w:after="60"/>
            </w:pPr>
            <w:r>
              <w:rPr>
                <w:rFonts w:ascii="Times New Roman" w:hAnsi="Times New Roman"/>
                <w:color w:val="000000"/>
                <w:sz w:val="18"/>
              </w:rPr>
              <w:t>0.820</w:t>
            </w:r>
          </w:p>
        </w:tc>
      </w:tr>
    </w:tbl>
    <w:p>
      <w:pPr>
        <w:keepLines/>
        <w:spacing w:line="240" w:lineRule="auto" w:before="80"/>
      </w:pPr>
      <w:r>
        <w:rPr>
          <w:sz w:val="18"/>
        </w:rPr>
        <w:t>Models include log(population), vaccination coverage and a population offset. Coverage snapshots were 1 March 2021, 1 July 2021, 1 December 2021 and 1 April 2022, respectively. Mean coverage is the mean across retained counties. IRRs are per SD of log(population).</w:t>
      </w:r>
    </w:p>
    <w:p>
      <w:pPr>
        <w:pStyle w:val="Heading1"/>
        <w:keepNext/>
        <w:spacing w:before="240" w:after="80"/>
      </w:pPr>
      <w:r>
        <w:rPr>
          <w:b/>
          <w:color w:val="000000"/>
          <w:sz w:val="26"/>
        </w:rPr>
        <w:t>S8. Local identifiability of the coefficient surfaces</w:t>
      </w:r>
    </w:p>
    <w:p>
      <w:pPr>
        <w:jc w:val="left"/>
      </w:pPr>
      <w:r>
        <w:t>Limited covariate variation within a fitted neighbourhood can weaken identification of a local coefficient. Coordinate permutation changes that variation as well as spatial structure. We assessed this issue by comparing variation within observed neighbourhoods with variation in equally sized random samples of counties.</w:t>
      </w:r>
    </w:p>
    <w:p>
      <w:pPr>
        <w:jc w:val="left"/>
      </w:pPr>
      <w:r>
        <w:t>For each covariate, we calculated its unweighted SD among the nearest counties within its cumulative multiscale geographically weighted regression (MGWR) bandwidth, divided by its national SD, and took the median across 3,103 neighbourhoods. The comparison used the median from 300 random samples of the same size drawn without replacement across counties (seed 0). These samples are a covariate-variation diagnostic, separate from the 950 fitted permutations in S4.</w:t>
      </w:r>
    </w:p>
    <w:p>
      <w:pPr>
        <w:keepNext/>
        <w:spacing w:before="160" w:after="80"/>
      </w:pPr>
      <w:r>
        <w:rPr>
          <w:b/>
          <w:sz w:val="20"/>
        </w:rPr>
        <w:t>Table S7. Covariate variation within fitted neighbourhoods and random county samples.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1224"/>
        <w:gridCol w:w="1296"/>
        <w:gridCol w:w="1296"/>
        <w:gridCol w:w="936"/>
        <w:gridCol w:w="936"/>
      </w:tblGrid>
      <w:tr>
        <w:trPr>
          <w:cantSplit/>
          <w:tblHeader/>
        </w:trPr>
        <w:tc>
          <w:tcPr>
            <w:tcW w:type="dxa" w:w="2664"/>
            <w:vAlign w:val="center"/>
          </w:tcPr>
          <w:p>
            <w:pPr>
              <w:keepNext/>
              <w:spacing w:line="240" w:lineRule="auto" w:before="60" w:after="60"/>
            </w:pPr>
            <w:r>
              <w:rPr>
                <w:rFonts w:ascii="Times New Roman" w:hAnsi="Times New Roman"/>
                <w:b/>
                <w:color w:val="000000"/>
                <w:sz w:val="18"/>
              </w:rPr>
              <w:t>Covariate</w:t>
            </w:r>
          </w:p>
        </w:tc>
        <w:tc>
          <w:tcPr>
            <w:tcW w:type="dxa" w:w="1224"/>
            <w:vAlign w:val="center"/>
          </w:tcPr>
          <w:p>
            <w:pPr>
              <w:keepNext/>
              <w:spacing w:line="240" w:lineRule="auto" w:before="60" w:after="60"/>
            </w:pPr>
            <w:r>
              <w:rPr>
                <w:rFonts w:ascii="Times New Roman" w:hAnsi="Times New Roman"/>
                <w:b/>
                <w:color w:val="000000"/>
                <w:sz w:val="18"/>
              </w:rPr>
              <w:t>Bandwidth</w:t>
            </w:r>
          </w:p>
        </w:tc>
        <w:tc>
          <w:tcPr>
            <w:tcW w:type="dxa" w:w="1296"/>
            <w:vAlign w:val="center"/>
          </w:tcPr>
          <w:p>
            <w:pPr>
              <w:keepNext/>
              <w:spacing w:line="240" w:lineRule="auto" w:before="60" w:after="60"/>
            </w:pPr>
            <w:r>
              <w:rPr>
                <w:rFonts w:ascii="Times New Roman" w:hAnsi="Times New Roman"/>
                <w:b/>
                <w:color w:val="000000"/>
                <w:sz w:val="18"/>
              </w:rPr>
              <w:t>Within-kernel SD ratio</w:t>
            </w:r>
          </w:p>
        </w:tc>
        <w:tc>
          <w:tcPr>
            <w:tcW w:type="dxa" w:w="1296"/>
            <w:vAlign w:val="center"/>
          </w:tcPr>
          <w:p>
            <w:pPr>
              <w:keepNext/>
              <w:spacing w:line="240" w:lineRule="auto" w:before="60" w:after="60"/>
            </w:pPr>
            <w:r>
              <w:rPr>
                <w:rFonts w:ascii="Times New Roman" w:hAnsi="Times New Roman"/>
                <w:b/>
                <w:color w:val="000000"/>
                <w:sz w:val="18"/>
              </w:rPr>
              <w:t>Random-sample SD ratio</w:t>
            </w:r>
          </w:p>
        </w:tc>
        <w:tc>
          <w:tcPr>
            <w:tcW w:type="dxa" w:w="936"/>
            <w:vAlign w:val="center"/>
          </w:tcPr>
          <w:p>
            <w:pPr>
              <w:keepNext/>
              <w:spacing w:line="240" w:lineRule="auto" w:before="60" w:after="60"/>
            </w:pPr>
            <w:r>
              <w:rPr>
                <w:rFonts w:ascii="Times New Roman" w:hAnsi="Times New Roman"/>
                <w:b/>
                <w:color w:val="000000"/>
                <w:sz w:val="18"/>
              </w:rPr>
              <w:t>Inflation</w:t>
            </w:r>
          </w:p>
        </w:tc>
        <w:tc>
          <w:tcPr>
            <w:tcW w:type="dxa" w:w="936"/>
            <w:vAlign w:val="center"/>
          </w:tcPr>
          <w:p>
            <w:pPr>
              <w:keepNext/>
              <w:spacing w:line="240" w:lineRule="auto" w:before="60" w:after="60"/>
            </w:pPr>
            <w:r>
              <w:rPr>
                <w:rFonts w:ascii="Times New Roman" w:hAnsi="Times New Roman"/>
                <w:b/>
                <w:color w:val="000000"/>
                <w:sz w:val="18"/>
              </w:rPr>
              <w:t>Holm P</w:t>
            </w:r>
          </w:p>
        </w:tc>
      </w:tr>
      <w:tr>
        <w:trPr>
          <w:cantSplit/>
        </w:trPr>
        <w:tc>
          <w:tcPr>
            <w:tcW w:type="dxa" w:w="2664"/>
            <w:vAlign w:val="center"/>
          </w:tcPr>
          <w:p>
            <w:pPr>
              <w:keepNext/>
              <w:spacing w:line="240" w:lineRule="auto" w:before="60" w:after="60"/>
            </w:pPr>
            <w:r>
              <w:rPr>
                <w:rFonts w:ascii="Times New Roman" w:hAnsi="Times New Roman"/>
                <w:color w:val="000000"/>
                <w:sz w:val="18"/>
              </w:rPr>
              <w:t>Ultraviolet exposure</w:t>
            </w:r>
          </w:p>
        </w:tc>
        <w:tc>
          <w:tcPr>
            <w:tcW w:type="dxa" w:w="1224"/>
            <w:vAlign w:val="center"/>
          </w:tcPr>
          <w:p>
            <w:pPr>
              <w:keepNext/>
              <w:spacing w:line="240" w:lineRule="auto" w:before="60" w:after="60"/>
            </w:pPr>
            <w:r>
              <w:rPr>
                <w:rFonts w:ascii="Times New Roman" w:hAnsi="Times New Roman"/>
                <w:color w:val="000000"/>
                <w:sz w:val="18"/>
              </w:rPr>
              <w:t>37</w:t>
            </w:r>
          </w:p>
        </w:tc>
        <w:tc>
          <w:tcPr>
            <w:tcW w:type="dxa" w:w="1296"/>
            <w:vAlign w:val="center"/>
          </w:tcPr>
          <w:p>
            <w:pPr>
              <w:keepNext/>
              <w:spacing w:line="240" w:lineRule="auto" w:before="60" w:after="60"/>
            </w:pPr>
            <w:r>
              <w:rPr>
                <w:rFonts w:ascii="Times New Roman" w:hAnsi="Times New Roman"/>
                <w:color w:val="000000"/>
                <w:sz w:val="18"/>
              </w:rPr>
              <w:t>0.142</w:t>
            </w:r>
          </w:p>
        </w:tc>
        <w:tc>
          <w:tcPr>
            <w:tcW w:type="dxa" w:w="1296"/>
            <w:vAlign w:val="center"/>
          </w:tcPr>
          <w:p>
            <w:pPr>
              <w:keepNext/>
              <w:spacing w:line="240" w:lineRule="auto" w:before="60" w:after="60"/>
            </w:pPr>
            <w:r>
              <w:rPr>
                <w:rFonts w:ascii="Times New Roman" w:hAnsi="Times New Roman"/>
                <w:color w:val="000000"/>
                <w:sz w:val="18"/>
              </w:rPr>
              <w:t>0.989</w:t>
            </w:r>
          </w:p>
        </w:tc>
        <w:tc>
          <w:tcPr>
            <w:tcW w:type="dxa" w:w="936"/>
            <w:vAlign w:val="center"/>
          </w:tcPr>
          <w:p>
            <w:pPr>
              <w:keepNext/>
              <w:spacing w:line="240" w:lineRule="auto" w:before="60" w:after="60"/>
            </w:pPr>
            <w:r>
              <w:rPr>
                <w:rFonts w:ascii="Times New Roman" w:hAnsi="Times New Roman"/>
                <w:color w:val="000000"/>
                <w:sz w:val="18"/>
              </w:rPr>
              <w:t>6.97×</w:t>
            </w:r>
          </w:p>
        </w:tc>
        <w:tc>
          <w:tcPr>
            <w:tcW w:type="dxa" w:w="936"/>
            <w:vAlign w:val="center"/>
          </w:tcPr>
          <w:p>
            <w:pPr>
              <w:keepNext/>
              <w:spacing w:line="240" w:lineRule="auto" w:before="60" w:after="60"/>
            </w:pPr>
            <w:r>
              <w:rPr>
                <w:rFonts w:ascii="Times New Roman" w:hAnsi="Times New Roman"/>
                <w:color w:val="000000"/>
                <w:sz w:val="18"/>
              </w:rPr>
              <w:t>0.009</w:t>
            </w:r>
          </w:p>
        </w:tc>
      </w:tr>
      <w:tr>
        <w:trPr>
          <w:cantSplit/>
        </w:trPr>
        <w:tc>
          <w:tcPr>
            <w:tcW w:type="dxa" w:w="2664"/>
            <w:vAlign w:val="center"/>
          </w:tcPr>
          <w:p>
            <w:pPr>
              <w:keepNext/>
              <w:spacing w:line="240" w:lineRule="auto" w:before="60" w:after="60"/>
            </w:pPr>
            <w:r>
              <w:rPr>
                <w:rFonts w:ascii="Times New Roman" w:hAnsi="Times New Roman"/>
                <w:color w:val="000000"/>
                <w:sz w:val="18"/>
              </w:rPr>
              <w:t>Population size</w:t>
            </w:r>
          </w:p>
        </w:tc>
        <w:tc>
          <w:tcPr>
            <w:tcW w:type="dxa" w:w="1224"/>
            <w:vAlign w:val="center"/>
          </w:tcPr>
          <w:p>
            <w:pPr>
              <w:keepNext/>
              <w:spacing w:line="240" w:lineRule="auto" w:before="60" w:after="60"/>
            </w:pPr>
            <w:r>
              <w:rPr>
                <w:rFonts w:ascii="Times New Roman" w:hAnsi="Times New Roman"/>
                <w:color w:val="000000"/>
                <w:sz w:val="18"/>
              </w:rPr>
              <w:t>258</w:t>
            </w:r>
          </w:p>
        </w:tc>
        <w:tc>
          <w:tcPr>
            <w:tcW w:type="dxa" w:w="1296"/>
            <w:vAlign w:val="center"/>
          </w:tcPr>
          <w:p>
            <w:pPr>
              <w:keepNext/>
              <w:spacing w:line="240" w:lineRule="auto" w:before="60" w:after="60"/>
            </w:pPr>
            <w:r>
              <w:rPr>
                <w:rFonts w:ascii="Times New Roman" w:hAnsi="Times New Roman"/>
                <w:color w:val="000000"/>
                <w:sz w:val="18"/>
              </w:rPr>
              <w:t>0.811</w:t>
            </w:r>
          </w:p>
        </w:tc>
        <w:tc>
          <w:tcPr>
            <w:tcW w:type="dxa" w:w="1296"/>
            <w:vAlign w:val="center"/>
          </w:tcPr>
          <w:p>
            <w:pPr>
              <w:keepNext/>
              <w:spacing w:line="240" w:lineRule="auto" w:before="60" w:after="60"/>
            </w:pPr>
            <w:r>
              <w:rPr>
                <w:rFonts w:ascii="Times New Roman" w:hAnsi="Times New Roman"/>
                <w:color w:val="000000"/>
                <w:sz w:val="18"/>
              </w:rPr>
              <w:t>1.000</w:t>
            </w:r>
          </w:p>
        </w:tc>
        <w:tc>
          <w:tcPr>
            <w:tcW w:type="dxa" w:w="936"/>
            <w:vAlign w:val="center"/>
          </w:tcPr>
          <w:p>
            <w:pPr>
              <w:keepNext/>
              <w:spacing w:line="240" w:lineRule="auto" w:before="60" w:after="60"/>
            </w:pPr>
            <w:r>
              <w:rPr>
                <w:rFonts w:ascii="Times New Roman" w:hAnsi="Times New Roman"/>
                <w:color w:val="000000"/>
                <w:sz w:val="18"/>
              </w:rPr>
              <w:t>1.23×</w:t>
            </w:r>
          </w:p>
        </w:tc>
        <w:tc>
          <w:tcPr>
            <w:tcW w:type="dxa" w:w="936"/>
            <w:vAlign w:val="center"/>
          </w:tcPr>
          <w:p>
            <w:pPr>
              <w:keepNext/>
              <w:spacing w:line="240" w:lineRule="auto" w:before="60" w:after="60"/>
            </w:pPr>
            <w:r>
              <w:rPr>
                <w:rFonts w:ascii="Times New Roman" w:hAnsi="Times New Roman"/>
                <w:color w:val="000000"/>
                <w:sz w:val="18"/>
              </w:rPr>
              <w:t>1.000</w:t>
            </w:r>
          </w:p>
        </w:tc>
      </w:tr>
      <w:tr>
        <w:trPr>
          <w:cantSplit/>
        </w:trPr>
        <w:tc>
          <w:tcPr>
            <w:tcW w:type="dxa" w:w="2664"/>
            <w:vAlign w:val="center"/>
          </w:tcPr>
          <w:p>
            <w:pPr>
              <w:keepNext/>
              <w:spacing w:line="240" w:lineRule="auto" w:before="60" w:after="60"/>
            </w:pPr>
            <w:r>
              <w:rPr>
                <w:rFonts w:ascii="Times New Roman" w:hAnsi="Times New Roman"/>
                <w:color w:val="000000"/>
                <w:sz w:val="18"/>
              </w:rPr>
              <w:t>Physical inactivity</w:t>
            </w:r>
          </w:p>
        </w:tc>
        <w:tc>
          <w:tcPr>
            <w:tcW w:type="dxa" w:w="1224"/>
            <w:vAlign w:val="center"/>
          </w:tcPr>
          <w:p>
            <w:pPr>
              <w:keepNext/>
              <w:spacing w:line="240" w:lineRule="auto" w:before="60" w:after="60"/>
            </w:pPr>
            <w:r>
              <w:rPr>
                <w:rFonts w:ascii="Times New Roman" w:hAnsi="Times New Roman"/>
                <w:color w:val="000000"/>
                <w:sz w:val="18"/>
              </w:rPr>
              <w:t>473</w:t>
            </w:r>
          </w:p>
        </w:tc>
        <w:tc>
          <w:tcPr>
            <w:tcW w:type="dxa" w:w="1296"/>
            <w:vAlign w:val="center"/>
          </w:tcPr>
          <w:p>
            <w:pPr>
              <w:keepNext/>
              <w:spacing w:line="240" w:lineRule="auto" w:before="60" w:after="60"/>
            </w:pPr>
            <w:r>
              <w:rPr>
                <w:rFonts w:ascii="Times New Roman" w:hAnsi="Times New Roman"/>
                <w:color w:val="000000"/>
                <w:sz w:val="18"/>
              </w:rPr>
              <w:t>0.828</w:t>
            </w:r>
          </w:p>
        </w:tc>
        <w:tc>
          <w:tcPr>
            <w:tcW w:type="dxa" w:w="1296"/>
            <w:vAlign w:val="center"/>
          </w:tcPr>
          <w:p>
            <w:pPr>
              <w:keepNext/>
              <w:spacing w:line="240" w:lineRule="auto" w:before="60" w:after="60"/>
            </w:pPr>
            <w:r>
              <w:rPr>
                <w:rFonts w:ascii="Times New Roman" w:hAnsi="Times New Roman"/>
                <w:color w:val="000000"/>
                <w:sz w:val="18"/>
              </w:rPr>
              <w:t>1.000</w:t>
            </w:r>
          </w:p>
        </w:tc>
        <w:tc>
          <w:tcPr>
            <w:tcW w:type="dxa" w:w="936"/>
            <w:vAlign w:val="center"/>
          </w:tcPr>
          <w:p>
            <w:pPr>
              <w:keepNext/>
              <w:spacing w:line="240" w:lineRule="auto" w:before="60" w:after="60"/>
            </w:pPr>
            <w:r>
              <w:rPr>
                <w:rFonts w:ascii="Times New Roman" w:hAnsi="Times New Roman"/>
                <w:color w:val="000000"/>
                <w:sz w:val="18"/>
              </w:rPr>
              <w:t>1.21×</w:t>
            </w:r>
          </w:p>
        </w:tc>
        <w:tc>
          <w:tcPr>
            <w:tcW w:type="dxa" w:w="936"/>
            <w:vAlign w:val="center"/>
          </w:tcPr>
          <w:p>
            <w:pPr>
              <w:keepNext/>
              <w:spacing w:line="240" w:lineRule="auto" w:before="60" w:after="60"/>
            </w:pPr>
            <w:r>
              <w:rPr>
                <w:rFonts w:ascii="Times New Roman" w:hAnsi="Times New Roman"/>
                <w:color w:val="000000"/>
                <w:sz w:val="18"/>
              </w:rPr>
              <w:t>0.081</w:t>
            </w:r>
          </w:p>
        </w:tc>
      </w:tr>
      <w:tr>
        <w:trPr>
          <w:cantSplit/>
        </w:trPr>
        <w:tc>
          <w:tcPr>
            <w:tcW w:type="dxa" w:w="2664"/>
            <w:vAlign w:val="center"/>
          </w:tcPr>
          <w:p>
            <w:pPr>
              <w:keepNext/>
              <w:spacing w:line="240" w:lineRule="auto" w:before="60" w:after="60"/>
            </w:pPr>
            <w:r>
              <w:rPr>
                <w:rFonts w:ascii="Times New Roman" w:hAnsi="Times New Roman"/>
                <w:color w:val="000000"/>
                <w:sz w:val="18"/>
              </w:rPr>
              <w:t>Population aged 65 and over</w:t>
            </w:r>
          </w:p>
        </w:tc>
        <w:tc>
          <w:tcPr>
            <w:tcW w:type="dxa" w:w="1224"/>
            <w:vAlign w:val="center"/>
          </w:tcPr>
          <w:p>
            <w:pPr>
              <w:keepNext/>
              <w:spacing w:line="240" w:lineRule="auto" w:before="60" w:after="60"/>
            </w:pPr>
            <w:r>
              <w:rPr>
                <w:rFonts w:ascii="Times New Roman" w:hAnsi="Times New Roman"/>
                <w:color w:val="000000"/>
                <w:sz w:val="18"/>
              </w:rPr>
              <w:t>808</w:t>
            </w:r>
          </w:p>
        </w:tc>
        <w:tc>
          <w:tcPr>
            <w:tcW w:type="dxa" w:w="1296"/>
            <w:vAlign w:val="center"/>
          </w:tcPr>
          <w:p>
            <w:pPr>
              <w:keepNext/>
              <w:spacing w:line="240" w:lineRule="auto" w:before="60" w:after="60"/>
            </w:pPr>
            <w:r>
              <w:rPr>
                <w:rFonts w:ascii="Times New Roman" w:hAnsi="Times New Roman"/>
                <w:color w:val="000000"/>
                <w:sz w:val="18"/>
              </w:rPr>
              <w:t>0.868</w:t>
            </w:r>
          </w:p>
        </w:tc>
        <w:tc>
          <w:tcPr>
            <w:tcW w:type="dxa" w:w="1296"/>
            <w:vAlign w:val="center"/>
          </w:tcPr>
          <w:p>
            <w:pPr>
              <w:keepNext/>
              <w:spacing w:line="240" w:lineRule="auto" w:before="60" w:after="60"/>
            </w:pPr>
            <w:r>
              <w:rPr>
                <w:rFonts w:ascii="Times New Roman" w:hAnsi="Times New Roman"/>
                <w:color w:val="000000"/>
                <w:sz w:val="18"/>
              </w:rPr>
              <w:t>0.998</w:t>
            </w:r>
          </w:p>
        </w:tc>
        <w:tc>
          <w:tcPr>
            <w:tcW w:type="dxa" w:w="936"/>
            <w:vAlign w:val="center"/>
          </w:tcPr>
          <w:p>
            <w:pPr>
              <w:keepNext/>
              <w:spacing w:line="240" w:lineRule="auto" w:before="60" w:after="60"/>
            </w:pPr>
            <w:r>
              <w:rPr>
                <w:rFonts w:ascii="Times New Roman" w:hAnsi="Times New Roman"/>
                <w:color w:val="000000"/>
                <w:sz w:val="18"/>
              </w:rPr>
              <w:t>1.15×</w:t>
            </w:r>
          </w:p>
        </w:tc>
        <w:tc>
          <w:tcPr>
            <w:tcW w:type="dxa" w:w="936"/>
            <w:vAlign w:val="center"/>
          </w:tcPr>
          <w:p>
            <w:pPr>
              <w:keepNext/>
              <w:spacing w:line="240" w:lineRule="auto" w:before="60" w:after="60"/>
            </w:pPr>
            <w:r>
              <w:rPr>
                <w:rFonts w:ascii="Times New Roman" w:hAnsi="Times New Roman"/>
                <w:color w:val="000000"/>
                <w:sz w:val="18"/>
              </w:rPr>
              <w:t>0.804</w:t>
            </w:r>
          </w:p>
        </w:tc>
      </w:tr>
      <w:tr>
        <w:trPr>
          <w:cantSplit/>
        </w:trPr>
        <w:tc>
          <w:tcPr>
            <w:tcW w:type="dxa" w:w="2664"/>
            <w:vAlign w:val="center"/>
          </w:tcPr>
          <w:p>
            <w:pPr>
              <w:keepNext/>
              <w:spacing w:line="240" w:lineRule="auto" w:before="60" w:after="60"/>
            </w:pPr>
            <w:r>
              <w:rPr>
                <w:rFonts w:ascii="Times New Roman" w:hAnsi="Times New Roman"/>
                <w:color w:val="000000"/>
                <w:sz w:val="18"/>
              </w:rPr>
              <w:t>Household composition and disability</w:t>
            </w:r>
          </w:p>
        </w:tc>
        <w:tc>
          <w:tcPr>
            <w:tcW w:type="dxa" w:w="1224"/>
            <w:vAlign w:val="center"/>
          </w:tcPr>
          <w:p>
            <w:pPr>
              <w:keepNext/>
              <w:spacing w:line="240" w:lineRule="auto" w:before="60" w:after="60"/>
            </w:pPr>
            <w:r>
              <w:rPr>
                <w:rFonts w:ascii="Times New Roman" w:hAnsi="Times New Roman"/>
                <w:color w:val="000000"/>
                <w:sz w:val="18"/>
              </w:rPr>
              <w:t>282</w:t>
            </w:r>
          </w:p>
        </w:tc>
        <w:tc>
          <w:tcPr>
            <w:tcW w:type="dxa" w:w="1296"/>
            <w:vAlign w:val="center"/>
          </w:tcPr>
          <w:p>
            <w:pPr>
              <w:keepNext/>
              <w:spacing w:line="240" w:lineRule="auto" w:before="60" w:after="60"/>
            </w:pPr>
            <w:r>
              <w:rPr>
                <w:rFonts w:ascii="Times New Roman" w:hAnsi="Times New Roman"/>
                <w:color w:val="000000"/>
                <w:sz w:val="18"/>
              </w:rPr>
              <w:t>0.919</w:t>
            </w:r>
          </w:p>
        </w:tc>
        <w:tc>
          <w:tcPr>
            <w:tcW w:type="dxa" w:w="1296"/>
            <w:vAlign w:val="center"/>
          </w:tcPr>
          <w:p>
            <w:pPr>
              <w:keepNext/>
              <w:spacing w:line="240" w:lineRule="auto" w:before="60" w:after="60"/>
            </w:pPr>
            <w:r>
              <w:rPr>
                <w:rFonts w:ascii="Times New Roman" w:hAnsi="Times New Roman"/>
                <w:color w:val="000000"/>
                <w:sz w:val="18"/>
              </w:rPr>
              <w:t>0.997</w:t>
            </w:r>
          </w:p>
        </w:tc>
        <w:tc>
          <w:tcPr>
            <w:tcW w:type="dxa" w:w="936"/>
            <w:vAlign w:val="center"/>
          </w:tcPr>
          <w:p>
            <w:pPr>
              <w:keepNext/>
              <w:spacing w:line="240" w:lineRule="auto" w:before="60" w:after="60"/>
            </w:pPr>
            <w:r>
              <w:rPr>
                <w:rFonts w:ascii="Times New Roman" w:hAnsi="Times New Roman"/>
                <w:color w:val="000000"/>
                <w:sz w:val="18"/>
              </w:rPr>
              <w:t>1.09×</w:t>
            </w:r>
          </w:p>
        </w:tc>
        <w:tc>
          <w:tcPr>
            <w:tcW w:type="dxa" w:w="936"/>
            <w:vAlign w:val="center"/>
          </w:tcPr>
          <w:p>
            <w:pPr>
              <w:keepNext/>
              <w:spacing w:line="240" w:lineRule="auto" w:before="60" w:after="60"/>
            </w:pPr>
            <w:r>
              <w:rPr>
                <w:rFonts w:ascii="Times New Roman" w:hAnsi="Times New Roman"/>
                <w:color w:val="000000"/>
                <w:sz w:val="18"/>
              </w:rPr>
              <w:t>0.017</w:t>
            </w:r>
          </w:p>
        </w:tc>
      </w:tr>
      <w:tr>
        <w:trPr>
          <w:cantSplit/>
        </w:trPr>
        <w:tc>
          <w:tcPr>
            <w:tcW w:type="dxa" w:w="2664"/>
            <w:vAlign w:val="center"/>
          </w:tcPr>
          <w:p>
            <w:pPr>
              <w:keepNext/>
              <w:spacing w:line="240" w:lineRule="auto" w:before="60" w:after="60"/>
            </w:pPr>
            <w:r>
              <w:rPr>
                <w:rFonts w:ascii="Times New Roman" w:hAnsi="Times New Roman"/>
                <w:color w:val="000000"/>
                <w:sz w:val="18"/>
              </w:rPr>
              <w:t>Adults without a college degree</w:t>
            </w:r>
          </w:p>
        </w:tc>
        <w:tc>
          <w:tcPr>
            <w:tcW w:type="dxa" w:w="1224"/>
            <w:vAlign w:val="center"/>
          </w:tcPr>
          <w:p>
            <w:pPr>
              <w:keepNext/>
              <w:spacing w:line="240" w:lineRule="auto" w:before="60" w:after="60"/>
            </w:pPr>
            <w:r>
              <w:rPr>
                <w:rFonts w:ascii="Times New Roman" w:hAnsi="Times New Roman"/>
                <w:color w:val="000000"/>
                <w:sz w:val="18"/>
              </w:rPr>
              <w:t>3002</w:t>
            </w:r>
          </w:p>
        </w:tc>
        <w:tc>
          <w:tcPr>
            <w:tcW w:type="dxa" w:w="1296"/>
            <w:vAlign w:val="center"/>
          </w:tcPr>
          <w:p>
            <w:pPr>
              <w:keepNext/>
              <w:spacing w:line="240" w:lineRule="auto" w:before="60" w:after="60"/>
            </w:pPr>
            <w:r>
              <w:rPr>
                <w:rFonts w:ascii="Times New Roman" w:hAnsi="Times New Roman"/>
                <w:color w:val="000000"/>
                <w:sz w:val="18"/>
              </w:rPr>
              <w:t>0.988</w:t>
            </w:r>
          </w:p>
        </w:tc>
        <w:tc>
          <w:tcPr>
            <w:tcW w:type="dxa" w:w="1296"/>
            <w:vAlign w:val="center"/>
          </w:tcPr>
          <w:p>
            <w:pPr>
              <w:keepNext/>
              <w:spacing w:line="240" w:lineRule="auto" w:before="60" w:after="60"/>
            </w:pPr>
            <w:r>
              <w:rPr>
                <w:rFonts w:ascii="Times New Roman" w:hAnsi="Times New Roman"/>
                <w:color w:val="000000"/>
                <w:sz w:val="18"/>
              </w:rPr>
              <w:t>1.000</w:t>
            </w:r>
          </w:p>
        </w:tc>
        <w:tc>
          <w:tcPr>
            <w:tcW w:type="dxa" w:w="936"/>
            <w:vAlign w:val="center"/>
          </w:tcPr>
          <w:p>
            <w:pPr>
              <w:keepNext/>
              <w:spacing w:line="240" w:lineRule="auto" w:before="60" w:after="60"/>
            </w:pPr>
            <w:r>
              <w:rPr>
                <w:rFonts w:ascii="Times New Roman" w:hAnsi="Times New Roman"/>
                <w:color w:val="000000"/>
                <w:sz w:val="18"/>
              </w:rPr>
              <w:t>1.01×</w:t>
            </w:r>
          </w:p>
        </w:tc>
        <w:tc>
          <w:tcPr>
            <w:tcW w:type="dxa" w:w="936"/>
            <w:vAlign w:val="center"/>
          </w:tcPr>
          <w:p>
            <w:pPr>
              <w:keepNext/>
              <w:spacing w:line="240" w:lineRule="auto" w:before="60" w:after="60"/>
            </w:pPr>
            <w:r>
              <w:rPr>
                <w:rFonts w:ascii="Times New Roman" w:hAnsi="Times New Roman"/>
                <w:color w:val="000000"/>
                <w:sz w:val="18"/>
              </w:rPr>
              <w:t>1.000</w:t>
            </w:r>
          </w:p>
        </w:tc>
      </w:tr>
      <w:tr>
        <w:trPr>
          <w:cantSplit/>
        </w:trPr>
        <w:tc>
          <w:tcPr>
            <w:tcW w:type="dxa" w:w="2664"/>
            <w:vAlign w:val="center"/>
          </w:tcPr>
          <w:p>
            <w:pPr>
              <w:keepNext/>
              <w:spacing w:line="240" w:lineRule="auto" w:before="60" w:after="60"/>
            </w:pPr>
            <w:r>
              <w:rPr>
                <w:rFonts w:ascii="Times New Roman" w:hAnsi="Times New Roman"/>
                <w:color w:val="000000"/>
                <w:sz w:val="18"/>
              </w:rPr>
              <w:t>Infrastructural resilience</w:t>
            </w:r>
          </w:p>
        </w:tc>
        <w:tc>
          <w:tcPr>
            <w:tcW w:type="dxa" w:w="1224"/>
            <w:vAlign w:val="center"/>
          </w:tcPr>
          <w:p>
            <w:pPr>
              <w:keepNext/>
              <w:spacing w:line="240" w:lineRule="auto" w:before="60" w:after="60"/>
            </w:pPr>
            <w:r>
              <w:rPr>
                <w:rFonts w:ascii="Times New Roman" w:hAnsi="Times New Roman"/>
                <w:color w:val="000000"/>
                <w:sz w:val="18"/>
              </w:rPr>
              <w:t>1580</w:t>
            </w:r>
          </w:p>
        </w:tc>
        <w:tc>
          <w:tcPr>
            <w:tcW w:type="dxa" w:w="1296"/>
            <w:vAlign w:val="center"/>
          </w:tcPr>
          <w:p>
            <w:pPr>
              <w:keepNext/>
              <w:spacing w:line="240" w:lineRule="auto" w:before="60" w:after="60"/>
            </w:pPr>
            <w:r>
              <w:rPr>
                <w:rFonts w:ascii="Times New Roman" w:hAnsi="Times New Roman"/>
                <w:color w:val="000000"/>
                <w:sz w:val="18"/>
              </w:rPr>
              <w:t>0.989</w:t>
            </w:r>
          </w:p>
        </w:tc>
        <w:tc>
          <w:tcPr>
            <w:tcW w:type="dxa" w:w="1296"/>
            <w:vAlign w:val="center"/>
          </w:tcPr>
          <w:p>
            <w:pPr>
              <w:keepNext/>
              <w:spacing w:line="240" w:lineRule="auto" w:before="60" w:after="60"/>
            </w:pPr>
            <w:r>
              <w:rPr>
                <w:rFonts w:ascii="Times New Roman" w:hAnsi="Times New Roman"/>
                <w:color w:val="000000"/>
                <w:sz w:val="18"/>
              </w:rPr>
              <w:t>1.001</w:t>
            </w:r>
          </w:p>
        </w:tc>
        <w:tc>
          <w:tcPr>
            <w:tcW w:type="dxa" w:w="936"/>
            <w:vAlign w:val="center"/>
          </w:tcPr>
          <w:p>
            <w:pPr>
              <w:keepNext/>
              <w:spacing w:line="240" w:lineRule="auto" w:before="60" w:after="60"/>
            </w:pPr>
            <w:r>
              <w:rPr>
                <w:rFonts w:ascii="Times New Roman" w:hAnsi="Times New Roman"/>
                <w:color w:val="000000"/>
                <w:sz w:val="18"/>
              </w:rPr>
              <w:t>1.01×</w:t>
            </w:r>
          </w:p>
        </w:tc>
        <w:tc>
          <w:tcPr>
            <w:tcW w:type="dxa" w:w="936"/>
            <w:vAlign w:val="center"/>
          </w:tcPr>
          <w:p>
            <w:pPr>
              <w:keepNext/>
              <w:spacing w:line="240" w:lineRule="auto" w:before="60" w:after="60"/>
            </w:pPr>
            <w:r>
              <w:rPr>
                <w:rFonts w:ascii="Times New Roman" w:hAnsi="Times New Roman"/>
                <w:color w:val="000000"/>
                <w:sz w:val="18"/>
              </w:rPr>
              <w:t>0.284</w:t>
            </w:r>
          </w:p>
        </w:tc>
      </w:tr>
      <w:tr>
        <w:trPr>
          <w:cantSplit/>
        </w:trPr>
        <w:tc>
          <w:tcPr>
            <w:tcW w:type="dxa" w:w="2664"/>
            <w:vAlign w:val="center"/>
          </w:tcPr>
          <w:p>
            <w:pPr>
              <w:keepNext/>
              <w:spacing w:line="240" w:lineRule="auto" w:before="60" w:after="60"/>
            </w:pPr>
            <w:r>
              <w:rPr>
                <w:rFonts w:ascii="Times New Roman" w:hAnsi="Times New Roman"/>
                <w:color w:val="000000"/>
                <w:sz w:val="18"/>
              </w:rPr>
              <w:t>Environmental resilience</w:t>
            </w:r>
          </w:p>
        </w:tc>
        <w:tc>
          <w:tcPr>
            <w:tcW w:type="dxa" w:w="1224"/>
            <w:vAlign w:val="center"/>
          </w:tcPr>
          <w:p>
            <w:pPr>
              <w:keepNext/>
              <w:spacing w:line="240" w:lineRule="auto" w:before="60" w:after="60"/>
            </w:pPr>
            <w:r>
              <w:rPr>
                <w:rFonts w:ascii="Times New Roman" w:hAnsi="Times New Roman"/>
                <w:color w:val="000000"/>
                <w:sz w:val="18"/>
              </w:rPr>
              <w:t>2914</w:t>
            </w:r>
          </w:p>
        </w:tc>
        <w:tc>
          <w:tcPr>
            <w:tcW w:type="dxa" w:w="1296"/>
            <w:vAlign w:val="center"/>
          </w:tcPr>
          <w:p>
            <w:pPr>
              <w:keepNext/>
              <w:spacing w:line="240" w:lineRule="auto" w:before="60" w:after="60"/>
            </w:pPr>
            <w:r>
              <w:rPr>
                <w:rFonts w:ascii="Times New Roman" w:hAnsi="Times New Roman"/>
                <w:color w:val="000000"/>
                <w:sz w:val="18"/>
              </w:rPr>
              <w:t>1.001</w:t>
            </w:r>
          </w:p>
        </w:tc>
        <w:tc>
          <w:tcPr>
            <w:tcW w:type="dxa" w:w="1296"/>
            <w:vAlign w:val="center"/>
          </w:tcPr>
          <w:p>
            <w:pPr>
              <w:keepNext/>
              <w:spacing w:line="240" w:lineRule="auto" w:before="60" w:after="60"/>
            </w:pPr>
            <w:r>
              <w:rPr>
                <w:rFonts w:ascii="Times New Roman" w:hAnsi="Times New Roman"/>
                <w:color w:val="000000"/>
                <w:sz w:val="18"/>
              </w:rPr>
              <w:t>1.000</w:t>
            </w:r>
          </w:p>
        </w:tc>
        <w:tc>
          <w:tcPr>
            <w:tcW w:type="dxa" w:w="936"/>
            <w:vAlign w:val="center"/>
          </w:tcPr>
          <w:p>
            <w:pPr>
              <w:keepNext/>
              <w:spacing w:line="240" w:lineRule="auto" w:before="60" w:after="60"/>
            </w:pPr>
            <w:r>
              <w:rPr>
                <w:rFonts w:ascii="Times New Roman" w:hAnsi="Times New Roman"/>
                <w:color w:val="000000"/>
                <w:sz w:val="18"/>
              </w:rPr>
              <w:t>1.00×</w:t>
            </w:r>
          </w:p>
        </w:tc>
        <w:tc>
          <w:tcPr>
            <w:tcW w:type="dxa" w:w="936"/>
            <w:vAlign w:val="center"/>
          </w:tcPr>
          <w:p>
            <w:pPr>
              <w:keepNext/>
              <w:spacing w:line="240" w:lineRule="auto" w:before="60" w:after="60"/>
            </w:pPr>
            <w:r>
              <w:rPr>
                <w:rFonts w:ascii="Times New Roman" w:hAnsi="Times New Roman"/>
                <w:color w:val="000000"/>
                <w:sz w:val="18"/>
              </w:rPr>
              <w:t>1.000</w:t>
            </w:r>
          </w:p>
        </w:tc>
      </w:tr>
    </w:tbl>
    <w:p>
      <w:pPr>
        <w:keepLines/>
        <w:spacing w:line="240" w:lineRule="auto" w:before="80"/>
      </w:pPr>
      <w:r>
        <w:rPr>
          <w:sz w:val="18"/>
        </w:rPr>
        <w:t>SD ratios are relative to national variation. Inflation is the random-sample ratio divided by the observed-neighbourhood ratio. The intercept is excluded because its covariate is constant and the ratio is undefined. Holm-adjusted P values refer to the separate coordinate-permutation test of coefficient surfaces.</w:t>
      </w:r>
    </w:p>
    <w:p>
      <w:pPr>
        <w:jc w:val="left"/>
      </w:pPr>
      <w:r>
        <w:t>Ultraviolet exposure had the smallest bandwidth, 37 counties, and a median within-neighbourhood SD ratio of 0.142. Random sampling increased this ratio to 0.989, a 6.97-fold difference; differences for other covariates were at most 1.23-fold (Table S7). This pattern is consistent with the strong correlation between ultraviolet exposure and latitude reported in the manuscript (r = -0.875).</w:t>
      </w:r>
    </w:p>
    <w:p>
      <w:pPr>
        <w:jc w:val="left"/>
      </w:pPr>
      <w:r>
        <w:t>Household composition and disability had a within-neighbourhood ratio of 0.919 at a bandwidth of 282 counties, without the marked restriction seen for ultraviolet exposure. This addresses one identification concern but does not establish the validity of the permutation null: spatial covariance and relationships among predictors also change under permutation. Both significant surfaces should therefore be interpreted relative to the coordinate-permutation reference.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S</w:t>
    </w:r>
    <w:r>
      <w:rPr>
        <w:rFonts w:ascii="Times New Roman" w:hAnsi="Times New Roman"/>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20" w:line="360" w:lineRule="auto"/>
    </w:pPr>
    <w:rPr>
      <w:rFonts w:ascii="Times New Roman" w:hAnsi="Times New Roman"/>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Lines/>
      <w:spacing w:after="300" w:line="240" w:lineRule="auto"/>
      <w:contextualSpacing/>
    </w:pPr>
    <w:rPr>
      <w:rFonts w:cstheme="majorBidi" w:ascii="Times New Roman" w:hAnsi="Times New Roman"/>
      <w:color w:val="000000"/>
      <w:spacing w:val="5"/>
      <w:kern w:val="28"/>
      <w:sz w:val="5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