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100" w:before="280" w:line="240" w:lineRule="auto"/>
        <w:jc w:val="left"/>
      </w:pPr>
      <w:r>
        <w:rPr>
          <w:rFonts w:ascii="Times New Roman" w:hAnsi="Times New Roman"/>
          <w:b/>
          <w:i w:val="0"/>
          <w:sz w:val="20"/>
        </w:rPr>
        <w:t>Table 1. Construction of the analytic sample</w:t>
      </w:r>
    </w:p>
    <w:tbl>
      <w:tblPr>
        <w:tblW w:type="auto" w:w="0"/>
        <w:jc w:val="center"/>
        <w:tblLayout w:type="fixed"/>
        <w:tblLook w:firstColumn="1" w:firstRow="1" w:lastColumn="0" w:lastRow="0" w:noHBand="0" w:noVBand="1" w:val="04A0"/>
        <w:tblBorders>
          <w:top w:val="none"/>
          <w:bottom w:val="none"/>
          <w:left w:val="none"/>
          <w:right w:val="none"/>
          <w:insideH w:val="none"/>
          <w:insideV w:val="none"/>
        </w:tblBorders>
        <w:tblCellMar>
          <w:top w:w="60" w:type="dxa"/>
          <w:left w:w="108" w:type="dxa"/>
          <w:bottom w:w="60" w:type="dxa"/>
          <w:right w:w="108" w:type="dxa"/>
        </w:tblCellMar>
        <w:tblLayout w:type="fixed"/>
      </w:tblPr>
      <w:tblGrid>
        <w:gridCol w:w="3120"/>
        <w:gridCol w:w="3120"/>
        <w:gridCol w:w="3120"/>
      </w:tblGrid>
      <w:tr>
        <w:trPr>
          <w:tblHeader w:val="true"/>
        </w:trPr>
        <w:tc>
          <w:tcPr>
            <w:tcW w:type="dxa" w:w="2661"/>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Step</w:t>
            </w:r>
          </w:p>
        </w:tc>
        <w:tc>
          <w:tcPr>
            <w:tcW w:type="dxa" w:w="965"/>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Counties</w:t>
            </w:r>
          </w:p>
        </w:tc>
        <w:tc>
          <w:tcPr>
            <w:tcW w:type="dxa" w:w="5735"/>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Note</w:t>
            </w:r>
          </w:p>
        </w:tc>
      </w:tr>
      <w:tr>
        <w:trPr>
          <w:cantSplit w:val="true"/>
        </w:trPr>
        <w:tc>
          <w:tcPr>
            <w:tcW w:type="dxa" w:w="2661"/>
            <w:vAlign w:val="center"/>
          </w:tcPr>
          <w:p>
            <w:pPr>
              <w:keepNext w:val="0"/>
              <w:spacing w:after="40" w:before="40" w:line="240" w:lineRule="auto"/>
              <w:jc w:val="left"/>
            </w:pPr>
            <w:r/>
            <w:r>
              <w:rPr>
                <w:rFonts w:ascii="Times New Roman" w:hAnsi="Times New Roman"/>
                <w:b w:val="0"/>
                <w:sz w:val="18"/>
              </w:rPr>
              <w:t>Predictor sources joined on county FIPS</w:t>
            </w:r>
          </w:p>
        </w:tc>
        <w:tc>
          <w:tcPr>
            <w:tcW w:type="dxa" w:w="965"/>
            <w:vAlign w:val="center"/>
          </w:tcPr>
          <w:p>
            <w:pPr>
              <w:keepNext w:val="0"/>
              <w:spacing w:after="40" w:before="40" w:line="240" w:lineRule="auto"/>
              <w:jc w:val="center"/>
            </w:pPr>
            <w:r/>
            <w:r>
              <w:rPr>
                <w:rFonts w:ascii="Times New Roman" w:hAnsi="Times New Roman"/>
                <w:b w:val="0"/>
                <w:sz w:val="18"/>
              </w:rPr>
              <w:t>3144</w:t>
            </w:r>
          </w:p>
        </w:tc>
        <w:tc>
          <w:tcPr>
            <w:tcW w:type="dxa" w:w="5735"/>
            <w:vAlign w:val="center"/>
          </w:tcPr>
          <w:p>
            <w:pPr>
              <w:keepNext w:val="0"/>
              <w:spacing w:after="40" w:before="40" w:line="240" w:lineRule="auto"/>
              <w:jc w:val="left"/>
            </w:pPr>
            <w:r/>
            <w:r>
              <w:rPr>
                <w:rFonts w:ascii="Times New Roman" w:hAnsi="Times New Roman"/>
                <w:b w:val="0"/>
                <w:sz w:val="18"/>
              </w:rPr>
              <w:t>CDC SVI 2018 and 2020, CDC PLACES 2020, USC HVRI BRIC 2015, ACS 5-year 2015-2019, and two CDC environmental series</w:t>
            </w:r>
          </w:p>
        </w:tc>
      </w:tr>
      <w:tr>
        <w:trPr>
          <w:cantSplit w:val="true"/>
        </w:trPr>
        <w:tc>
          <w:tcPr>
            <w:tcW w:type="dxa" w:w="2661"/>
            <w:vAlign w:val="center"/>
          </w:tcPr>
          <w:p>
            <w:pPr>
              <w:keepNext w:val="0"/>
              <w:spacing w:after="40" w:before="40" w:line="240" w:lineRule="auto"/>
              <w:jc w:val="left"/>
            </w:pPr>
            <w:r/>
            <w:r>
              <w:rPr>
                <w:rFonts w:ascii="Times New Roman" w:hAnsi="Times New Roman"/>
                <w:b w:val="0"/>
                <w:sz w:val="18"/>
              </w:rPr>
              <w:t>Complete data on all 43 predictors</w:t>
            </w:r>
          </w:p>
        </w:tc>
        <w:tc>
          <w:tcPr>
            <w:tcW w:type="dxa" w:w="965"/>
            <w:vAlign w:val="center"/>
          </w:tcPr>
          <w:p>
            <w:pPr>
              <w:keepNext w:val="0"/>
              <w:spacing w:after="40" w:before="40" w:line="240" w:lineRule="auto"/>
              <w:jc w:val="center"/>
            </w:pPr>
            <w:r/>
            <w:r>
              <w:rPr>
                <w:rFonts w:ascii="Times New Roman" w:hAnsi="Times New Roman"/>
                <w:b w:val="0"/>
                <w:sz w:val="18"/>
              </w:rPr>
              <w:t>3108</w:t>
            </w:r>
          </w:p>
        </w:tc>
        <w:tc>
          <w:tcPr>
            <w:tcW w:type="dxa" w:w="5735"/>
            <w:vAlign w:val="center"/>
          </w:tcPr>
          <w:p>
            <w:pPr>
              <w:keepNext w:val="0"/>
              <w:spacing w:after="40" w:before="40" w:line="240" w:lineRule="auto"/>
              <w:jc w:val="left"/>
            </w:pPr>
            <w:r/>
            <w:r>
              <w:rPr>
                <w:rFonts w:ascii="Times New Roman" w:hAnsi="Times New Roman"/>
                <w:b w:val="0"/>
                <w:sz w:val="18"/>
              </w:rPr>
              <w:t>36 counties dropped, all in Alaska, Hawaii or the territories</w:t>
            </w:r>
          </w:p>
        </w:tc>
      </w:tr>
      <w:tr>
        <w:trPr>
          <w:cantSplit w:val="true"/>
        </w:trPr>
        <w:tc>
          <w:tcPr>
            <w:tcW w:type="dxa" w:w="2661"/>
            <w:vAlign w:val="center"/>
          </w:tcPr>
          <w:p>
            <w:pPr>
              <w:keepNext w:val="0"/>
              <w:spacing w:after="40" w:before="40" w:line="240" w:lineRule="auto"/>
              <w:jc w:val="left"/>
            </w:pPr>
            <w:r/>
            <w:r>
              <w:rPr>
                <w:rFonts w:ascii="Times New Roman" w:hAnsi="Times New Roman"/>
                <w:b w:val="0"/>
                <w:sz w:val="18"/>
              </w:rPr>
              <w:t>Contiguous United States and the District of Columbia</w:t>
            </w:r>
          </w:p>
        </w:tc>
        <w:tc>
          <w:tcPr>
            <w:tcW w:type="dxa" w:w="965"/>
            <w:vAlign w:val="center"/>
          </w:tcPr>
          <w:p>
            <w:pPr>
              <w:keepNext w:val="0"/>
              <w:spacing w:after="40" w:before="40" w:line="240" w:lineRule="auto"/>
              <w:jc w:val="center"/>
            </w:pPr>
            <w:r/>
            <w:r>
              <w:rPr>
                <w:rFonts w:ascii="Times New Roman" w:hAnsi="Times New Roman"/>
                <w:b w:val="0"/>
                <w:sz w:val="18"/>
              </w:rPr>
              <w:t>3108</w:t>
            </w:r>
          </w:p>
        </w:tc>
        <w:tc>
          <w:tcPr>
            <w:tcW w:type="dxa" w:w="5735"/>
            <w:vAlign w:val="center"/>
          </w:tcPr>
          <w:p>
            <w:pPr>
              <w:keepNext w:val="0"/>
              <w:spacing w:after="40" w:before="40" w:line="240" w:lineRule="auto"/>
              <w:jc w:val="left"/>
            </w:pPr>
            <w:r/>
            <w:r>
              <w:rPr>
                <w:rFonts w:ascii="Times New Roman" w:hAnsi="Times New Roman"/>
                <w:b w:val="0"/>
                <w:sz w:val="18"/>
              </w:rPr>
              <w:t>no further loss: every incomplete county was already non-contiguous</w:t>
            </w:r>
          </w:p>
        </w:tc>
      </w:tr>
      <w:tr>
        <w:trPr>
          <w:cantSplit w:val="true"/>
        </w:trPr>
        <w:tc>
          <w:tcPr>
            <w:tcW w:type="dxa" w:w="2661"/>
            <w:vAlign w:val="center"/>
          </w:tcPr>
          <w:p>
            <w:pPr>
              <w:keepNext w:val="0"/>
              <w:spacing w:after="40" w:before="40" w:line="240" w:lineRule="auto"/>
              <w:jc w:val="left"/>
            </w:pPr>
            <w:r/>
            <w:r>
              <w:rPr>
                <w:rFonts w:ascii="Times New Roman" w:hAnsi="Times New Roman"/>
                <w:b w:val="0"/>
                <w:sz w:val="18"/>
              </w:rPr>
              <w:t>Matched to a Census Gazetteer centroid</w:t>
            </w:r>
          </w:p>
        </w:tc>
        <w:tc>
          <w:tcPr>
            <w:tcW w:type="dxa" w:w="965"/>
            <w:vAlign w:val="center"/>
          </w:tcPr>
          <w:p>
            <w:pPr>
              <w:keepNext w:val="0"/>
              <w:spacing w:after="40" w:before="40" w:line="240" w:lineRule="auto"/>
              <w:jc w:val="center"/>
            </w:pPr>
            <w:r/>
            <w:r>
              <w:rPr>
                <w:rFonts w:ascii="Times New Roman" w:hAnsi="Times New Roman"/>
                <w:b w:val="0"/>
                <w:sz w:val="18"/>
              </w:rPr>
              <w:t>3108</w:t>
            </w:r>
          </w:p>
        </w:tc>
        <w:tc>
          <w:tcPr>
            <w:tcW w:type="dxa" w:w="5735"/>
            <w:vAlign w:val="center"/>
          </w:tcPr>
          <w:p>
            <w:pPr>
              <w:keepNext w:val="0"/>
              <w:spacing w:after="40" w:before="40" w:line="240" w:lineRule="auto"/>
              <w:jc w:val="left"/>
            </w:pPr>
            <w:r/>
            <w:r>
              <w:rPr>
                <w:rFonts w:ascii="Times New Roman" w:hAnsi="Times New Roman"/>
                <w:b w:val="0"/>
                <w:sz w:val="18"/>
              </w:rPr>
              <w:t>no county lost</w:t>
            </w:r>
          </w:p>
        </w:tc>
      </w:tr>
      <w:tr>
        <w:trPr>
          <w:cantSplit w:val="true"/>
        </w:trPr>
        <w:tc>
          <w:tcPr>
            <w:tcW w:type="dxa" w:w="2661"/>
            <w:vAlign w:val="center"/>
            <w:tcBorders>
              <w:bottom w:val="single" w:sz="8" w:color="000000"/>
            </w:tcBorders>
          </w:tcPr>
          <w:p>
            <w:pPr>
              <w:keepNext w:val="0"/>
              <w:spacing w:after="40" w:before="40" w:line="240" w:lineRule="auto"/>
              <w:jc w:val="left"/>
            </w:pPr>
            <w:r/>
            <w:r>
              <w:rPr>
                <w:rFonts w:ascii="Times New Roman" w:hAnsi="Times New Roman"/>
                <w:b w:val="0"/>
                <w:sz w:val="18"/>
              </w:rPr>
              <w:t>Analytic sample: population and outcomes present</w:t>
            </w:r>
          </w:p>
        </w:tc>
        <w:tc>
          <w:tcPr>
            <w:tcW w:type="dxa" w:w="965"/>
            <w:vAlign w:val="center"/>
            <w:tcBorders>
              <w:bottom w:val="single" w:sz="8" w:color="000000"/>
            </w:tcBorders>
          </w:tcPr>
          <w:p>
            <w:pPr>
              <w:keepNext w:val="0"/>
              <w:spacing w:after="40" w:before="40" w:line="240" w:lineRule="auto"/>
              <w:jc w:val="center"/>
            </w:pPr>
            <w:r/>
            <w:r>
              <w:rPr>
                <w:rFonts w:ascii="Times New Roman" w:hAnsi="Times New Roman"/>
                <w:b w:val="0"/>
                <w:sz w:val="18"/>
              </w:rPr>
              <w:t>3103</w:t>
            </w:r>
          </w:p>
        </w:tc>
        <w:tc>
          <w:tcPr>
            <w:tcW w:type="dxa" w:w="5735"/>
            <w:vAlign w:val="center"/>
            <w:tcBorders>
              <w:bottom w:val="single" w:sz="8" w:color="000000"/>
            </w:tcBorders>
          </w:tcPr>
          <w:p>
            <w:pPr>
              <w:keepNext w:val="0"/>
              <w:spacing w:after="40" w:before="40" w:line="240" w:lineRule="auto"/>
              <w:jc w:val="left"/>
            </w:pPr>
            <w:r/>
            <w:r>
              <w:rPr>
                <w:rFonts w:ascii="Times New Roman" w:hAnsi="Times New Roman"/>
                <w:b w:val="0"/>
                <w:sz w:val="18"/>
              </w:rPr>
              <w:t>5 New York City boroughs dropped; they carry complete predictor data but the county outcome series reports the city as a single entity</w:t>
            </w:r>
          </w:p>
        </w:tc>
      </w:tr>
    </w:tbl>
    <w:p>
      <w:pPr>
        <w:spacing w:after="320" w:before="100" w:line="240" w:lineRule="auto"/>
        <w:jc w:val="both"/>
      </w:pPr>
      <w:r>
        <w:rPr>
          <w:rFonts w:ascii="Times New Roman" w:hAnsi="Times New Roman"/>
          <w:b w:val="0"/>
          <w:i/>
          <w:sz w:val="16"/>
        </w:rPr>
        <w:t>Counties remaining after each step, from the primary predictor sources to the analytic sample. All sources are joined on the five-digit county FIPS code, which is unique, so no name-based or value-based matching is used at any step.</w:t>
      </w:r>
    </w:p>
    <w:p>
      <w:pPr>
        <w:keepNext/>
        <w:spacing w:after="100" w:before="280" w:line="240" w:lineRule="auto"/>
        <w:jc w:val="left"/>
      </w:pPr>
      <w:r>
        <w:rPr>
          <w:rFonts w:ascii="Times New Roman" w:hAnsi="Times New Roman"/>
          <w:b/>
          <w:i w:val="0"/>
          <w:sz w:val="20"/>
        </w:rPr>
        <w:t>Table 2. Out-of-sample deviance explained for cumulative outcomes</w:t>
      </w:r>
    </w:p>
    <w:tbl>
      <w:tblPr>
        <w:tblW w:type="auto" w:w="0"/>
        <w:jc w:val="center"/>
        <w:tblLayout w:type="fixed"/>
        <w:tblLook w:firstColumn="1" w:firstRow="1" w:lastColumn="0" w:lastRow="0" w:noHBand="0" w:noVBand="1" w:val="04A0"/>
        <w:tblBorders>
          <w:top w:val="none"/>
          <w:bottom w:val="none"/>
          <w:left w:val="none"/>
          <w:right w:val="none"/>
          <w:insideH w:val="none"/>
          <w:insideV w:val="none"/>
        </w:tblBorders>
        <w:tblCellMar>
          <w:top w:w="60" w:type="dxa"/>
          <w:left w:w="108" w:type="dxa"/>
          <w:bottom w:w="60" w:type="dxa"/>
          <w:right w:w="108" w:type="dxa"/>
        </w:tblCellMar>
        <w:tblLayout w:type="fixed"/>
      </w:tblPr>
      <w:tblGrid>
        <w:gridCol w:w="1872"/>
        <w:gridCol w:w="1872"/>
        <w:gridCol w:w="1872"/>
        <w:gridCol w:w="1872"/>
        <w:gridCol w:w="1872"/>
      </w:tblGrid>
      <w:tr>
        <w:trPr>
          <w:tblHeader w:val="true"/>
        </w:trPr>
        <w:tc>
          <w:tcPr>
            <w:tcW w:type="dxa" w:w="1004"/>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Outcome</w:t>
            </w:r>
          </w:p>
        </w:tc>
        <w:tc>
          <w:tcPr>
            <w:tcW w:type="dxa" w:w="3794"/>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Specification</w:t>
            </w:r>
          </w:p>
        </w:tc>
        <w:tc>
          <w:tcPr>
            <w:tcW w:type="dxa" w:w="1314"/>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Predictors</w:t>
            </w:r>
          </w:p>
        </w:tc>
        <w:tc>
          <w:tcPr>
            <w:tcW w:type="dxa" w:w="1107"/>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Counties</w:t>
            </w:r>
          </w:p>
        </w:tc>
        <w:tc>
          <w:tcPr>
            <w:tcW w:type="dxa" w:w="2141"/>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Deviance explained</w:t>
            </w:r>
          </w:p>
        </w:tc>
      </w:tr>
      <w:tr>
        <w:trPr>
          <w:cantSplit w:val="true"/>
        </w:trPr>
        <w:tc>
          <w:tcPr>
            <w:tcW w:type="dxa" w:w="1004"/>
            <w:vAlign w:val="center"/>
          </w:tcPr>
          <w:p>
            <w:pPr>
              <w:keepNext w:val="0"/>
              <w:spacing w:after="40" w:before="40" w:line="240" w:lineRule="auto"/>
              <w:jc w:val="left"/>
            </w:pPr>
            <w:r/>
            <w:r>
              <w:rPr>
                <w:rFonts w:ascii="Times New Roman" w:hAnsi="Times New Roman"/>
                <w:b w:val="0"/>
                <w:sz w:val="18"/>
              </w:rPr>
              <w:t>Deaths</w:t>
            </w:r>
          </w:p>
        </w:tc>
        <w:tc>
          <w:tcPr>
            <w:tcW w:type="dxa" w:w="3794"/>
            <w:vAlign w:val="center"/>
          </w:tcPr>
          <w:p>
            <w:pPr>
              <w:keepNext w:val="0"/>
              <w:spacing w:after="40" w:before="40" w:line="240" w:lineRule="auto"/>
              <w:jc w:val="left"/>
            </w:pPr>
            <w:r/>
            <w:r>
              <w:rPr>
                <w:rFonts w:ascii="Times New Roman" w:hAnsi="Times New Roman"/>
                <w:b w:val="0"/>
                <w:sz w:val="18"/>
              </w:rPr>
              <w:t>County population size only</w:t>
            </w:r>
          </w:p>
        </w:tc>
        <w:tc>
          <w:tcPr>
            <w:tcW w:type="dxa" w:w="1314"/>
            <w:vAlign w:val="center"/>
          </w:tcPr>
          <w:p>
            <w:pPr>
              <w:keepNext w:val="0"/>
              <w:spacing w:after="40" w:before="40" w:line="240" w:lineRule="auto"/>
              <w:jc w:val="center"/>
            </w:pPr>
            <w:r/>
            <w:r>
              <w:rPr>
                <w:rFonts w:ascii="Times New Roman" w:hAnsi="Times New Roman"/>
                <w:b w:val="0"/>
                <w:sz w:val="18"/>
              </w:rPr>
              <w:t>1</w:t>
            </w:r>
          </w:p>
        </w:tc>
        <w:tc>
          <w:tcPr>
            <w:tcW w:type="dxa" w:w="1107"/>
            <w:vAlign w:val="center"/>
          </w:tcPr>
          <w:p>
            <w:pPr>
              <w:keepNext w:val="0"/>
              <w:spacing w:after="40" w:before="40" w:line="240" w:lineRule="auto"/>
              <w:jc w:val="center"/>
            </w:pPr>
            <w:r/>
            <w:r>
              <w:rPr>
                <w:rFonts w:ascii="Times New Roman" w:hAnsi="Times New Roman"/>
                <w:b w:val="0"/>
                <w:sz w:val="18"/>
              </w:rPr>
              <w:t>3103</w:t>
            </w:r>
          </w:p>
        </w:tc>
        <w:tc>
          <w:tcPr>
            <w:tcW w:type="dxa" w:w="2141"/>
            <w:vAlign w:val="center"/>
          </w:tcPr>
          <w:p>
            <w:pPr>
              <w:keepNext w:val="0"/>
              <w:spacing w:after="40" w:before="40" w:line="240" w:lineRule="auto"/>
              <w:jc w:val="center"/>
            </w:pPr>
            <w:r/>
            <w:r>
              <w:rPr>
                <w:rFonts w:ascii="Times New Roman" w:hAnsi="Times New Roman"/>
                <w:b w:val="0"/>
                <w:sz w:val="18"/>
              </w:rPr>
              <w:t>0.106</w:t>
            </w:r>
          </w:p>
        </w:tc>
      </w:tr>
      <w:tr>
        <w:trPr>
          <w:cantSplit w:val="true"/>
        </w:trPr>
        <w:tc>
          <w:tcPr>
            <w:tcW w:type="dxa" w:w="1004"/>
            <w:vAlign w:val="center"/>
          </w:tcPr>
          <w:p>
            <w:pPr>
              <w:keepNext w:val="0"/>
              <w:spacing w:after="40" w:before="40" w:line="240" w:lineRule="auto"/>
              <w:jc w:val="left"/>
            </w:pPr>
            <w:r/>
            <w:r>
              <w:rPr>
                <w:rFonts w:ascii="Times New Roman" w:hAnsi="Times New Roman"/>
                <w:b w:val="0"/>
                <w:sz w:val="18"/>
              </w:rPr>
              <w:t>Deaths</w:t>
            </w:r>
          </w:p>
        </w:tc>
        <w:tc>
          <w:tcPr>
            <w:tcW w:type="dxa" w:w="3794"/>
            <w:vAlign w:val="center"/>
          </w:tcPr>
          <w:p>
            <w:pPr>
              <w:keepNext w:val="0"/>
              <w:spacing w:after="40" w:before="40" w:line="240" w:lineRule="auto"/>
              <w:jc w:val="left"/>
            </w:pPr>
            <w:r/>
            <w:r>
              <w:rPr>
                <w:rFonts w:ascii="Times New Roman" w:hAnsi="Times New Roman"/>
                <w:b w:val="0"/>
                <w:sz w:val="18"/>
              </w:rPr>
              <w:t>43 socio-environmental factors</w:t>
            </w:r>
          </w:p>
        </w:tc>
        <w:tc>
          <w:tcPr>
            <w:tcW w:type="dxa" w:w="1314"/>
            <w:vAlign w:val="center"/>
          </w:tcPr>
          <w:p>
            <w:pPr>
              <w:keepNext w:val="0"/>
              <w:spacing w:after="40" w:before="40" w:line="240" w:lineRule="auto"/>
              <w:jc w:val="center"/>
            </w:pPr>
            <w:r/>
            <w:r>
              <w:rPr>
                <w:rFonts w:ascii="Times New Roman" w:hAnsi="Times New Roman"/>
                <w:b w:val="0"/>
                <w:sz w:val="18"/>
              </w:rPr>
              <w:t>43</w:t>
            </w:r>
          </w:p>
        </w:tc>
        <w:tc>
          <w:tcPr>
            <w:tcW w:type="dxa" w:w="1107"/>
            <w:vAlign w:val="center"/>
          </w:tcPr>
          <w:p>
            <w:pPr>
              <w:keepNext w:val="0"/>
              <w:spacing w:after="40" w:before="40" w:line="240" w:lineRule="auto"/>
              <w:jc w:val="center"/>
            </w:pPr>
            <w:r/>
            <w:r>
              <w:rPr>
                <w:rFonts w:ascii="Times New Roman" w:hAnsi="Times New Roman"/>
                <w:b w:val="0"/>
                <w:sz w:val="18"/>
              </w:rPr>
              <w:t>3103</w:t>
            </w:r>
          </w:p>
        </w:tc>
        <w:tc>
          <w:tcPr>
            <w:tcW w:type="dxa" w:w="2141"/>
            <w:vAlign w:val="center"/>
          </w:tcPr>
          <w:p>
            <w:pPr>
              <w:keepNext w:val="0"/>
              <w:spacing w:after="40" w:before="40" w:line="240" w:lineRule="auto"/>
              <w:jc w:val="center"/>
            </w:pPr>
            <w:r/>
            <w:r>
              <w:rPr>
                <w:rFonts w:ascii="Times New Roman" w:hAnsi="Times New Roman"/>
                <w:b w:val="0"/>
                <w:sz w:val="18"/>
              </w:rPr>
              <w:t>0.455</w:t>
            </w:r>
          </w:p>
        </w:tc>
      </w:tr>
      <w:tr>
        <w:trPr>
          <w:cantSplit w:val="true"/>
        </w:trPr>
        <w:tc>
          <w:tcPr>
            <w:tcW w:type="dxa" w:w="1004"/>
            <w:vAlign w:val="center"/>
          </w:tcPr>
          <w:p>
            <w:pPr>
              <w:keepNext w:val="0"/>
              <w:spacing w:after="40" w:before="40" w:line="240" w:lineRule="auto"/>
              <w:jc w:val="left"/>
            </w:pPr>
            <w:r/>
            <w:r>
              <w:rPr>
                <w:rFonts w:ascii="Times New Roman" w:hAnsi="Times New Roman"/>
                <w:b w:val="0"/>
                <w:sz w:val="18"/>
              </w:rPr>
              <w:t>Deaths</w:t>
            </w:r>
          </w:p>
        </w:tc>
        <w:tc>
          <w:tcPr>
            <w:tcW w:type="dxa" w:w="3794"/>
            <w:vAlign w:val="center"/>
          </w:tcPr>
          <w:p>
            <w:pPr>
              <w:keepNext w:val="0"/>
              <w:spacing w:after="40" w:before="40" w:line="240" w:lineRule="auto"/>
              <w:jc w:val="left"/>
            </w:pPr>
            <w:r/>
            <w:r>
              <w:rPr>
                <w:rFonts w:ascii="Times New Roman" w:hAnsi="Times New Roman"/>
                <w:b w:val="0"/>
                <w:sz w:val="18"/>
              </w:rPr>
              <w:t>Population size and all 43 factors</w:t>
            </w:r>
          </w:p>
        </w:tc>
        <w:tc>
          <w:tcPr>
            <w:tcW w:type="dxa" w:w="1314"/>
            <w:vAlign w:val="center"/>
          </w:tcPr>
          <w:p>
            <w:pPr>
              <w:keepNext w:val="0"/>
              <w:spacing w:after="40" w:before="40" w:line="240" w:lineRule="auto"/>
              <w:jc w:val="center"/>
            </w:pPr>
            <w:r/>
            <w:r>
              <w:rPr>
                <w:rFonts w:ascii="Times New Roman" w:hAnsi="Times New Roman"/>
                <w:b w:val="0"/>
                <w:sz w:val="18"/>
              </w:rPr>
              <w:t>44</w:t>
            </w:r>
          </w:p>
        </w:tc>
        <w:tc>
          <w:tcPr>
            <w:tcW w:type="dxa" w:w="1107"/>
            <w:vAlign w:val="center"/>
          </w:tcPr>
          <w:p>
            <w:pPr>
              <w:keepNext w:val="0"/>
              <w:spacing w:after="40" w:before="40" w:line="240" w:lineRule="auto"/>
              <w:jc w:val="center"/>
            </w:pPr>
            <w:r/>
            <w:r>
              <w:rPr>
                <w:rFonts w:ascii="Times New Roman" w:hAnsi="Times New Roman"/>
                <w:b w:val="0"/>
                <w:sz w:val="18"/>
              </w:rPr>
              <w:t>3103</w:t>
            </w:r>
          </w:p>
        </w:tc>
        <w:tc>
          <w:tcPr>
            <w:tcW w:type="dxa" w:w="2141"/>
            <w:vAlign w:val="center"/>
          </w:tcPr>
          <w:p>
            <w:pPr>
              <w:keepNext w:val="0"/>
              <w:spacing w:after="40" w:before="40" w:line="240" w:lineRule="auto"/>
              <w:jc w:val="center"/>
            </w:pPr>
            <w:r/>
            <w:r>
              <w:rPr>
                <w:rFonts w:ascii="Times New Roman" w:hAnsi="Times New Roman"/>
                <w:b w:val="0"/>
                <w:sz w:val="18"/>
              </w:rPr>
              <w:t>0.453</w:t>
            </w:r>
          </w:p>
        </w:tc>
      </w:tr>
      <w:tr>
        <w:trPr>
          <w:cantSplit w:val="true"/>
        </w:trPr>
        <w:tc>
          <w:tcPr>
            <w:tcW w:type="dxa" w:w="1004"/>
            <w:vAlign w:val="center"/>
          </w:tcPr>
          <w:p>
            <w:pPr>
              <w:keepNext w:val="0"/>
              <w:spacing w:after="40" w:before="40" w:line="240" w:lineRule="auto"/>
              <w:jc w:val="left"/>
            </w:pPr>
            <w:r/>
            <w:r>
              <w:rPr>
                <w:rFonts w:ascii="Times New Roman" w:hAnsi="Times New Roman"/>
                <w:b w:val="0"/>
                <w:sz w:val="18"/>
              </w:rPr>
              <w:t>Cases</w:t>
            </w:r>
          </w:p>
        </w:tc>
        <w:tc>
          <w:tcPr>
            <w:tcW w:type="dxa" w:w="3794"/>
            <w:vAlign w:val="center"/>
          </w:tcPr>
          <w:p>
            <w:pPr>
              <w:keepNext w:val="0"/>
              <w:spacing w:after="40" w:before="40" w:line="240" w:lineRule="auto"/>
              <w:jc w:val="left"/>
            </w:pPr>
            <w:r/>
            <w:r>
              <w:rPr>
                <w:rFonts w:ascii="Times New Roman" w:hAnsi="Times New Roman"/>
                <w:b w:val="0"/>
                <w:sz w:val="18"/>
              </w:rPr>
              <w:t>County population size only</w:t>
            </w:r>
          </w:p>
        </w:tc>
        <w:tc>
          <w:tcPr>
            <w:tcW w:type="dxa" w:w="1314"/>
            <w:vAlign w:val="center"/>
          </w:tcPr>
          <w:p>
            <w:pPr>
              <w:keepNext w:val="0"/>
              <w:spacing w:after="40" w:before="40" w:line="240" w:lineRule="auto"/>
              <w:jc w:val="center"/>
            </w:pPr>
            <w:r/>
            <w:r>
              <w:rPr>
                <w:rFonts w:ascii="Times New Roman" w:hAnsi="Times New Roman"/>
                <w:b w:val="0"/>
                <w:sz w:val="18"/>
              </w:rPr>
              <w:t>1</w:t>
            </w:r>
          </w:p>
        </w:tc>
        <w:tc>
          <w:tcPr>
            <w:tcW w:type="dxa" w:w="1107"/>
            <w:vAlign w:val="center"/>
          </w:tcPr>
          <w:p>
            <w:pPr>
              <w:keepNext w:val="0"/>
              <w:spacing w:after="40" w:before="40" w:line="240" w:lineRule="auto"/>
              <w:jc w:val="center"/>
            </w:pPr>
            <w:r/>
            <w:r>
              <w:rPr>
                <w:rFonts w:ascii="Times New Roman" w:hAnsi="Times New Roman"/>
                <w:b w:val="0"/>
                <w:sz w:val="18"/>
              </w:rPr>
              <w:t>3102</w:t>
            </w:r>
          </w:p>
        </w:tc>
        <w:tc>
          <w:tcPr>
            <w:tcW w:type="dxa" w:w="2141"/>
            <w:vAlign w:val="center"/>
          </w:tcPr>
          <w:p>
            <w:pPr>
              <w:keepNext w:val="0"/>
              <w:spacing w:after="40" w:before="40" w:line="240" w:lineRule="auto"/>
              <w:jc w:val="center"/>
            </w:pPr>
            <w:r/>
            <w:r>
              <w:rPr>
                <w:rFonts w:ascii="Times New Roman" w:hAnsi="Times New Roman"/>
                <w:b w:val="0"/>
                <w:sz w:val="18"/>
              </w:rPr>
              <w:t>0.005</w:t>
            </w:r>
          </w:p>
        </w:tc>
      </w:tr>
      <w:tr>
        <w:trPr>
          <w:cantSplit w:val="true"/>
        </w:trPr>
        <w:tc>
          <w:tcPr>
            <w:tcW w:type="dxa" w:w="1004"/>
            <w:vAlign w:val="center"/>
          </w:tcPr>
          <w:p>
            <w:pPr>
              <w:keepNext w:val="0"/>
              <w:spacing w:after="40" w:before="40" w:line="240" w:lineRule="auto"/>
              <w:jc w:val="left"/>
            </w:pPr>
            <w:r/>
            <w:r>
              <w:rPr>
                <w:rFonts w:ascii="Times New Roman" w:hAnsi="Times New Roman"/>
                <w:b w:val="0"/>
                <w:sz w:val="18"/>
              </w:rPr>
              <w:t>Cases</w:t>
            </w:r>
          </w:p>
        </w:tc>
        <w:tc>
          <w:tcPr>
            <w:tcW w:type="dxa" w:w="3794"/>
            <w:vAlign w:val="center"/>
          </w:tcPr>
          <w:p>
            <w:pPr>
              <w:keepNext w:val="0"/>
              <w:spacing w:after="40" w:before="40" w:line="240" w:lineRule="auto"/>
              <w:jc w:val="left"/>
            </w:pPr>
            <w:r/>
            <w:r>
              <w:rPr>
                <w:rFonts w:ascii="Times New Roman" w:hAnsi="Times New Roman"/>
                <w:b w:val="0"/>
                <w:sz w:val="18"/>
              </w:rPr>
              <w:t>43 socio-environmental factors</w:t>
            </w:r>
          </w:p>
        </w:tc>
        <w:tc>
          <w:tcPr>
            <w:tcW w:type="dxa" w:w="1314"/>
            <w:vAlign w:val="center"/>
          </w:tcPr>
          <w:p>
            <w:pPr>
              <w:keepNext w:val="0"/>
              <w:spacing w:after="40" w:before="40" w:line="240" w:lineRule="auto"/>
              <w:jc w:val="center"/>
            </w:pPr>
            <w:r/>
            <w:r>
              <w:rPr>
                <w:rFonts w:ascii="Times New Roman" w:hAnsi="Times New Roman"/>
                <w:b w:val="0"/>
                <w:sz w:val="18"/>
              </w:rPr>
              <w:t>43</w:t>
            </w:r>
          </w:p>
        </w:tc>
        <w:tc>
          <w:tcPr>
            <w:tcW w:type="dxa" w:w="1107"/>
            <w:vAlign w:val="center"/>
          </w:tcPr>
          <w:p>
            <w:pPr>
              <w:keepNext w:val="0"/>
              <w:spacing w:after="40" w:before="40" w:line="240" w:lineRule="auto"/>
              <w:jc w:val="center"/>
            </w:pPr>
            <w:r/>
            <w:r>
              <w:rPr>
                <w:rFonts w:ascii="Times New Roman" w:hAnsi="Times New Roman"/>
                <w:b w:val="0"/>
                <w:sz w:val="18"/>
              </w:rPr>
              <w:t>3102</w:t>
            </w:r>
          </w:p>
        </w:tc>
        <w:tc>
          <w:tcPr>
            <w:tcW w:type="dxa" w:w="2141"/>
            <w:vAlign w:val="center"/>
          </w:tcPr>
          <w:p>
            <w:pPr>
              <w:keepNext w:val="0"/>
              <w:spacing w:after="40" w:before="40" w:line="240" w:lineRule="auto"/>
              <w:jc w:val="center"/>
            </w:pPr>
            <w:r/>
            <w:r>
              <w:rPr>
                <w:rFonts w:ascii="Times New Roman" w:hAnsi="Times New Roman"/>
                <w:b w:val="0"/>
                <w:sz w:val="18"/>
              </w:rPr>
              <w:t>0.214</w:t>
            </w:r>
          </w:p>
        </w:tc>
      </w:tr>
      <w:tr>
        <w:trPr>
          <w:cantSplit w:val="true"/>
        </w:trPr>
        <w:tc>
          <w:tcPr>
            <w:tcW w:type="dxa" w:w="1004"/>
            <w:vAlign w:val="center"/>
            <w:tcBorders>
              <w:bottom w:val="single" w:sz="8" w:color="000000"/>
            </w:tcBorders>
          </w:tcPr>
          <w:p>
            <w:pPr>
              <w:keepNext w:val="0"/>
              <w:spacing w:after="40" w:before="40" w:line="240" w:lineRule="auto"/>
              <w:jc w:val="left"/>
            </w:pPr>
            <w:r/>
            <w:r>
              <w:rPr>
                <w:rFonts w:ascii="Times New Roman" w:hAnsi="Times New Roman"/>
                <w:b w:val="0"/>
                <w:sz w:val="18"/>
              </w:rPr>
              <w:t>Cases</w:t>
            </w:r>
          </w:p>
        </w:tc>
        <w:tc>
          <w:tcPr>
            <w:tcW w:type="dxa" w:w="3794"/>
            <w:vAlign w:val="center"/>
            <w:tcBorders>
              <w:bottom w:val="single" w:sz="8" w:color="000000"/>
            </w:tcBorders>
          </w:tcPr>
          <w:p>
            <w:pPr>
              <w:keepNext w:val="0"/>
              <w:spacing w:after="40" w:before="40" w:line="240" w:lineRule="auto"/>
              <w:jc w:val="left"/>
            </w:pPr>
            <w:r/>
            <w:r>
              <w:rPr>
                <w:rFonts w:ascii="Times New Roman" w:hAnsi="Times New Roman"/>
                <w:b w:val="0"/>
                <w:sz w:val="18"/>
              </w:rPr>
              <w:t>Population size and all 43 factors</w:t>
            </w:r>
          </w:p>
        </w:tc>
        <w:tc>
          <w:tcPr>
            <w:tcW w:type="dxa" w:w="1314"/>
            <w:vAlign w:val="center"/>
            <w:tcBorders>
              <w:bottom w:val="single" w:sz="8" w:color="000000"/>
            </w:tcBorders>
          </w:tcPr>
          <w:p>
            <w:pPr>
              <w:keepNext w:val="0"/>
              <w:spacing w:after="40" w:before="40" w:line="240" w:lineRule="auto"/>
              <w:jc w:val="center"/>
            </w:pPr>
            <w:r/>
            <w:r>
              <w:rPr>
                <w:rFonts w:ascii="Times New Roman" w:hAnsi="Times New Roman"/>
                <w:b w:val="0"/>
                <w:sz w:val="18"/>
              </w:rPr>
              <w:t>44</w:t>
            </w:r>
          </w:p>
        </w:tc>
        <w:tc>
          <w:tcPr>
            <w:tcW w:type="dxa" w:w="1107"/>
            <w:vAlign w:val="center"/>
            <w:tcBorders>
              <w:bottom w:val="single" w:sz="8" w:color="000000"/>
            </w:tcBorders>
          </w:tcPr>
          <w:p>
            <w:pPr>
              <w:keepNext w:val="0"/>
              <w:spacing w:after="40" w:before="40" w:line="240" w:lineRule="auto"/>
              <w:jc w:val="center"/>
            </w:pPr>
            <w:r/>
            <w:r>
              <w:rPr>
                <w:rFonts w:ascii="Times New Roman" w:hAnsi="Times New Roman"/>
                <w:b w:val="0"/>
                <w:sz w:val="18"/>
              </w:rPr>
              <w:t>3102</w:t>
            </w:r>
          </w:p>
        </w:tc>
        <w:tc>
          <w:tcPr>
            <w:tcW w:type="dxa" w:w="2141"/>
            <w:vAlign w:val="center"/>
            <w:tcBorders>
              <w:bottom w:val="single" w:sz="8" w:color="000000"/>
            </w:tcBorders>
          </w:tcPr>
          <w:p>
            <w:pPr>
              <w:keepNext w:val="0"/>
              <w:spacing w:after="40" w:before="40" w:line="240" w:lineRule="auto"/>
              <w:jc w:val="center"/>
            </w:pPr>
            <w:r/>
            <w:r>
              <w:rPr>
                <w:rFonts w:ascii="Times New Roman" w:hAnsi="Times New Roman"/>
                <w:b w:val="0"/>
                <w:sz w:val="18"/>
              </w:rPr>
              <w:t>0.214</w:t>
            </w:r>
          </w:p>
        </w:tc>
      </w:tr>
    </w:tbl>
    <w:p>
      <w:pPr>
        <w:spacing w:after="320" w:before="100" w:line="240" w:lineRule="auto"/>
        <w:jc w:val="both"/>
      </w:pPr>
      <w:r>
        <w:rPr>
          <w:rFonts w:ascii="Times New Roman" w:hAnsi="Times New Roman"/>
          <w:b w:val="0"/>
          <w:i/>
          <w:sz w:val="16"/>
        </w:rPr>
        <w:t>Negative binomial models with a fixed dispersion parameter and an offset of log(population). Deviance explained is measured out of sample against an intercept-only model carrying the same offset, pooled across five spatially blocked folds formed by k-means clustering of county centroids into ten blocks. A value of zero indicates no predictive information beyond the offset; negative values indicate worse prediction than the intercept-only model. Predictors were not winsorized. Monthly counts are cumulative maxima and window increments were floored at zero, so downward revisions in a source series do not produce negative counts. Cases are modeled on 3,102 counties because Loving County, Texas, whose recorded case count exceeds its resident population, is excluded from case models only.</w:t>
      </w:r>
    </w:p>
    <w:p>
      <w:pPr>
        <w:keepNext/>
        <w:spacing w:after="100" w:before="280" w:line="240" w:lineRule="auto"/>
        <w:jc w:val="left"/>
      </w:pPr>
      <w:r>
        <w:rPr>
          <w:rFonts w:ascii="Times New Roman" w:hAnsi="Times New Roman"/>
          <w:b/>
          <w:i w:val="0"/>
          <w:sz w:val="20"/>
        </w:rPr>
        <w:t>Table 3. County population size, urban-rural classification and COVID-19 mortality by pandemic wave</w:t>
      </w:r>
    </w:p>
    <w:tbl>
      <w:tblPr>
        <w:tblW w:type="auto" w:w="0"/>
        <w:jc w:val="center"/>
        <w:tblLayout w:type="fixed"/>
        <w:tblLook w:firstColumn="1" w:firstRow="1" w:lastColumn="0" w:lastRow="0" w:noHBand="0" w:noVBand="1" w:val="04A0"/>
        <w:tblBorders>
          <w:top w:val="none"/>
          <w:bottom w:val="none"/>
          <w:left w:val="none"/>
          <w:right w:val="none"/>
          <w:insideH w:val="none"/>
          <w:insideV w:val="none"/>
        </w:tblBorders>
        <w:tblCellMar>
          <w:top w:w="60" w:type="dxa"/>
          <w:left w:w="108" w:type="dxa"/>
          <w:bottom w:w="60" w:type="dxa"/>
          <w:right w:w="108" w:type="dxa"/>
        </w:tblCellMar>
        <w:tblLayout w:type="fixed"/>
      </w:tblPr>
      <w:tblGrid>
        <w:gridCol w:w="936"/>
        <w:gridCol w:w="936"/>
        <w:gridCol w:w="936"/>
        <w:gridCol w:w="936"/>
        <w:gridCol w:w="936"/>
        <w:gridCol w:w="936"/>
        <w:gridCol w:w="936"/>
        <w:gridCol w:w="936"/>
        <w:gridCol w:w="936"/>
        <w:gridCol w:w="936"/>
      </w:tblGrid>
      <w:tr>
        <w:trPr>
          <w:tblHeader w:val="true"/>
        </w:trPr>
        <w:tc>
          <w:tcPr>
            <w:tcW w:type="dxa" w:w="844"/>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Period</w:t>
            </w:r>
          </w:p>
        </w:tc>
        <w:tc>
          <w:tcPr>
            <w:tcW w:type="dxa" w:w="692"/>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Deaths</w:t>
            </w:r>
          </w:p>
        </w:tc>
        <w:tc>
          <w:tcPr>
            <w:tcW w:type="dxa" w:w="1073"/>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(a) Size only, IRR (95% CI)</w:t>
            </w:r>
          </w:p>
        </w:tc>
        <w:tc>
          <w:tcPr>
            <w:tcW w:type="dxa" w:w="692"/>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P</w:t>
            </w:r>
          </w:p>
        </w:tc>
        <w:tc>
          <w:tcPr>
            <w:tcW w:type="dxa" w:w="539"/>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(b) Size and age</w:t>
            </w:r>
          </w:p>
        </w:tc>
        <w:tc>
          <w:tcPr>
            <w:tcW w:type="dxa" w:w="768"/>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(c) All 43 factors</w:t>
            </w:r>
          </w:p>
        </w:tc>
        <w:tc>
          <w:tcPr>
            <w:tcW w:type="dxa" w:w="1455"/>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(e) All 43, age-standardized</w:t>
            </w:r>
          </w:p>
        </w:tc>
        <w:tc>
          <w:tcPr>
            <w:tcW w:type="dxa" w:w="1531"/>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(f) Size only, age-standardized, IRR (95% CI)</w:t>
            </w:r>
          </w:p>
        </w:tc>
        <w:tc>
          <w:tcPr>
            <w:tcW w:type="dxa" w:w="692"/>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P</w:t>
            </w:r>
          </w:p>
        </w:tc>
        <w:tc>
          <w:tcPr>
            <w:tcW w:type="dxa" w:w="1073"/>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6"/>
              </w:rPr>
              <w:t>NCHS step toward rural, IRR (95% CI)</w:t>
            </w:r>
          </w:p>
        </w:tc>
      </w:tr>
      <w:tr>
        <w:trPr>
          <w:cantSplit w:val="true"/>
        </w:trPr>
        <w:tc>
          <w:tcPr>
            <w:tcW w:type="dxa" w:w="844"/>
            <w:vAlign w:val="center"/>
          </w:tcPr>
          <w:p>
            <w:pPr>
              <w:keepNext w:val="0"/>
              <w:spacing w:after="40" w:before="40" w:line="240" w:lineRule="auto"/>
              <w:jc w:val="left"/>
            </w:pPr>
            <w:r/>
            <w:r>
              <w:rPr>
                <w:rFonts w:ascii="Times New Roman" w:hAnsi="Times New Roman"/>
                <w:b w:val="0"/>
                <w:sz w:val="16"/>
              </w:rPr>
              <w:t>Jan–May 2020</w:t>
            </w:r>
          </w:p>
        </w:tc>
        <w:tc>
          <w:tcPr>
            <w:tcW w:type="dxa" w:w="692"/>
            <w:vAlign w:val="center"/>
          </w:tcPr>
          <w:p>
            <w:pPr>
              <w:keepNext w:val="0"/>
              <w:spacing w:after="40" w:before="40" w:line="240" w:lineRule="auto"/>
              <w:jc w:val="center"/>
            </w:pPr>
            <w:r/>
            <w:r>
              <w:rPr>
                <w:rFonts w:ascii="Times New Roman" w:hAnsi="Times New Roman"/>
                <w:b w:val="0"/>
                <w:sz w:val="16"/>
              </w:rPr>
              <w:t>82995</w:t>
            </w:r>
          </w:p>
        </w:tc>
        <w:tc>
          <w:tcPr>
            <w:tcW w:type="dxa" w:w="1073"/>
            <w:vAlign w:val="center"/>
          </w:tcPr>
          <w:p>
            <w:pPr>
              <w:keepNext w:val="0"/>
              <w:spacing w:after="40" w:before="40" w:line="240" w:lineRule="auto"/>
              <w:jc w:val="center"/>
            </w:pPr>
            <w:r/>
            <w:r>
              <w:rPr>
                <w:rFonts w:ascii="Times New Roman" w:hAnsi="Times New Roman"/>
                <w:b w:val="0"/>
                <w:sz w:val="16"/>
              </w:rPr>
              <w:t>1.48 (1.41–1.55)</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539"/>
            <w:vAlign w:val="center"/>
          </w:tcPr>
          <w:p>
            <w:pPr>
              <w:keepNext w:val="0"/>
              <w:spacing w:after="40" w:before="40" w:line="240" w:lineRule="auto"/>
              <w:jc w:val="center"/>
            </w:pPr>
            <w:r/>
            <w:r>
              <w:rPr>
                <w:rFonts w:ascii="Times New Roman" w:hAnsi="Times New Roman"/>
                <w:b w:val="0"/>
                <w:sz w:val="16"/>
              </w:rPr>
              <w:t>1.39</w:t>
            </w:r>
          </w:p>
        </w:tc>
        <w:tc>
          <w:tcPr>
            <w:tcW w:type="dxa" w:w="768"/>
            <w:vAlign w:val="center"/>
          </w:tcPr>
          <w:p>
            <w:pPr>
              <w:keepNext w:val="0"/>
              <w:spacing w:after="40" w:before="40" w:line="240" w:lineRule="auto"/>
              <w:jc w:val="center"/>
            </w:pPr>
            <w:r/>
            <w:r>
              <w:rPr>
                <w:rFonts w:ascii="Times New Roman" w:hAnsi="Times New Roman"/>
                <w:b w:val="0"/>
                <w:sz w:val="16"/>
              </w:rPr>
              <w:t>1.05</w:t>
            </w:r>
          </w:p>
        </w:tc>
        <w:tc>
          <w:tcPr>
            <w:tcW w:type="dxa" w:w="1455"/>
            <w:vAlign w:val="center"/>
          </w:tcPr>
          <w:p>
            <w:pPr>
              <w:keepNext w:val="0"/>
              <w:spacing w:after="40" w:before="40" w:line="240" w:lineRule="auto"/>
              <w:jc w:val="center"/>
            </w:pPr>
            <w:r/>
            <w:r>
              <w:rPr>
                <w:rFonts w:ascii="Times New Roman" w:hAnsi="Times New Roman"/>
                <w:b w:val="0"/>
                <w:sz w:val="16"/>
              </w:rPr>
              <w:t>1.06</w:t>
            </w:r>
          </w:p>
        </w:tc>
        <w:tc>
          <w:tcPr>
            <w:tcW w:type="dxa" w:w="1531"/>
            <w:vAlign w:val="center"/>
          </w:tcPr>
          <w:p>
            <w:pPr>
              <w:keepNext w:val="0"/>
              <w:spacing w:after="40" w:before="40" w:line="240" w:lineRule="auto"/>
              <w:jc w:val="center"/>
            </w:pPr>
            <w:r/>
            <w:r>
              <w:rPr>
                <w:rFonts w:ascii="Times New Roman" w:hAnsi="Times New Roman"/>
                <w:b w:val="0"/>
                <w:sz w:val="16"/>
              </w:rPr>
              <w:t>1.60 (1.52–1.67)</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1073"/>
            <w:vAlign w:val="center"/>
          </w:tcPr>
          <w:p>
            <w:pPr>
              <w:keepNext w:val="0"/>
              <w:spacing w:after="40" w:before="40" w:line="240" w:lineRule="auto"/>
              <w:jc w:val="center"/>
            </w:pPr>
            <w:r/>
            <w:r>
              <w:rPr>
                <w:rFonts w:ascii="Times New Roman" w:hAnsi="Times New Roman"/>
                <w:b w:val="0"/>
                <w:sz w:val="16"/>
              </w:rPr>
              <w:t>0.81 (0.79–0.83)</w:t>
            </w:r>
          </w:p>
        </w:tc>
      </w:tr>
      <w:tr>
        <w:trPr>
          <w:cantSplit w:val="true"/>
        </w:trPr>
        <w:tc>
          <w:tcPr>
            <w:tcW w:type="dxa" w:w="844"/>
            <w:vAlign w:val="center"/>
          </w:tcPr>
          <w:p>
            <w:pPr>
              <w:keepNext w:val="0"/>
              <w:spacing w:after="40" w:before="40" w:line="240" w:lineRule="auto"/>
              <w:jc w:val="left"/>
            </w:pPr>
            <w:r/>
            <w:r>
              <w:rPr>
                <w:rFonts w:ascii="Times New Roman" w:hAnsi="Times New Roman"/>
                <w:b w:val="0"/>
                <w:sz w:val="16"/>
              </w:rPr>
              <w:t>Jun–Oct 2020</w:t>
            </w:r>
          </w:p>
        </w:tc>
        <w:tc>
          <w:tcPr>
            <w:tcW w:type="dxa" w:w="692"/>
            <w:vAlign w:val="center"/>
          </w:tcPr>
          <w:p>
            <w:pPr>
              <w:keepNext w:val="0"/>
              <w:spacing w:after="40" w:before="40" w:line="240" w:lineRule="auto"/>
              <w:jc w:val="center"/>
            </w:pPr>
            <w:r/>
            <w:r>
              <w:rPr>
                <w:rFonts w:ascii="Times New Roman" w:hAnsi="Times New Roman"/>
                <w:b w:val="0"/>
                <w:sz w:val="16"/>
              </w:rPr>
              <w:t>121976</w:t>
            </w:r>
          </w:p>
        </w:tc>
        <w:tc>
          <w:tcPr>
            <w:tcW w:type="dxa" w:w="1073"/>
            <w:vAlign w:val="center"/>
          </w:tcPr>
          <w:p>
            <w:pPr>
              <w:keepNext w:val="0"/>
              <w:spacing w:after="40" w:before="40" w:line="240" w:lineRule="auto"/>
              <w:jc w:val="center"/>
            </w:pPr>
            <w:r/>
            <w:r>
              <w:rPr>
                <w:rFonts w:ascii="Times New Roman" w:hAnsi="Times New Roman"/>
                <w:b w:val="0"/>
                <w:sz w:val="16"/>
              </w:rPr>
              <w:t>0.87 (0.83–0.90)</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539"/>
            <w:vAlign w:val="center"/>
          </w:tcPr>
          <w:p>
            <w:pPr>
              <w:keepNext w:val="0"/>
              <w:spacing w:after="40" w:before="40" w:line="240" w:lineRule="auto"/>
              <w:jc w:val="center"/>
            </w:pPr>
            <w:r/>
            <w:r>
              <w:rPr>
                <w:rFonts w:ascii="Times New Roman" w:hAnsi="Times New Roman"/>
                <w:b w:val="0"/>
                <w:sz w:val="16"/>
              </w:rPr>
              <w:t>0.86</w:t>
            </w:r>
          </w:p>
        </w:tc>
        <w:tc>
          <w:tcPr>
            <w:tcW w:type="dxa" w:w="768"/>
            <w:vAlign w:val="center"/>
          </w:tcPr>
          <w:p>
            <w:pPr>
              <w:keepNext w:val="0"/>
              <w:spacing w:after="40" w:before="40" w:line="240" w:lineRule="auto"/>
              <w:jc w:val="center"/>
            </w:pPr>
            <w:r/>
            <w:r>
              <w:rPr>
                <w:rFonts w:ascii="Times New Roman" w:hAnsi="Times New Roman"/>
                <w:b w:val="0"/>
                <w:sz w:val="16"/>
              </w:rPr>
              <w:t>1.05</w:t>
            </w:r>
          </w:p>
        </w:tc>
        <w:tc>
          <w:tcPr>
            <w:tcW w:type="dxa" w:w="1455"/>
            <w:vAlign w:val="center"/>
          </w:tcPr>
          <w:p>
            <w:pPr>
              <w:keepNext w:val="0"/>
              <w:spacing w:after="40" w:before="40" w:line="240" w:lineRule="auto"/>
              <w:jc w:val="center"/>
            </w:pPr>
            <w:r/>
            <w:r>
              <w:rPr>
                <w:rFonts w:ascii="Times New Roman" w:hAnsi="Times New Roman"/>
                <w:b w:val="0"/>
                <w:sz w:val="16"/>
              </w:rPr>
              <w:t>1.06</w:t>
            </w:r>
          </w:p>
        </w:tc>
        <w:tc>
          <w:tcPr>
            <w:tcW w:type="dxa" w:w="1531"/>
            <w:vAlign w:val="center"/>
          </w:tcPr>
          <w:p>
            <w:pPr>
              <w:keepNext w:val="0"/>
              <w:spacing w:after="40" w:before="40" w:line="240" w:lineRule="auto"/>
              <w:jc w:val="center"/>
            </w:pPr>
            <w:r/>
            <w:r>
              <w:rPr>
                <w:rFonts w:ascii="Times New Roman" w:hAnsi="Times New Roman"/>
                <w:b w:val="0"/>
                <w:sz w:val="16"/>
              </w:rPr>
              <w:t>0.96 (0.92–1.00)</w:t>
            </w:r>
          </w:p>
        </w:tc>
        <w:tc>
          <w:tcPr>
            <w:tcW w:type="dxa" w:w="692"/>
            <w:vAlign w:val="center"/>
          </w:tcPr>
          <w:p>
            <w:pPr>
              <w:keepNext w:val="0"/>
              <w:spacing w:after="40" w:before="40" w:line="240" w:lineRule="auto"/>
              <w:jc w:val="center"/>
            </w:pPr>
            <w:r/>
            <w:r>
              <w:rPr>
                <w:rFonts w:ascii="Times New Roman" w:hAnsi="Times New Roman"/>
                <w:b w:val="0"/>
                <w:sz w:val="16"/>
              </w:rPr>
              <w:t>0.040</w:t>
            </w:r>
          </w:p>
        </w:tc>
        <w:tc>
          <w:tcPr>
            <w:tcW w:type="dxa" w:w="1073"/>
            <w:vAlign w:val="center"/>
          </w:tcPr>
          <w:p>
            <w:pPr>
              <w:keepNext w:val="0"/>
              <w:spacing w:after="40" w:before="40" w:line="240" w:lineRule="auto"/>
              <w:jc w:val="center"/>
            </w:pPr>
            <w:r/>
            <w:r>
              <w:rPr>
                <w:rFonts w:ascii="Times New Roman" w:hAnsi="Times New Roman"/>
                <w:b w:val="0"/>
                <w:sz w:val="16"/>
              </w:rPr>
              <w:t>1.11 (1.08–1.14)</w:t>
            </w:r>
          </w:p>
        </w:tc>
      </w:tr>
      <w:tr>
        <w:trPr>
          <w:cantSplit w:val="true"/>
        </w:trPr>
        <w:tc>
          <w:tcPr>
            <w:tcW w:type="dxa" w:w="844"/>
            <w:vAlign w:val="center"/>
          </w:tcPr>
          <w:p>
            <w:pPr>
              <w:keepNext w:val="0"/>
              <w:spacing w:after="40" w:before="40" w:line="240" w:lineRule="auto"/>
              <w:jc w:val="left"/>
            </w:pPr>
            <w:r/>
            <w:r>
              <w:rPr>
                <w:rFonts w:ascii="Times New Roman" w:hAnsi="Times New Roman"/>
                <w:b w:val="0"/>
                <w:sz w:val="16"/>
              </w:rPr>
              <w:t>Nov 2020–Mar 2021</w:t>
            </w:r>
          </w:p>
        </w:tc>
        <w:tc>
          <w:tcPr>
            <w:tcW w:type="dxa" w:w="692"/>
            <w:vAlign w:val="center"/>
          </w:tcPr>
          <w:p>
            <w:pPr>
              <w:keepNext w:val="0"/>
              <w:spacing w:after="40" w:before="40" w:line="240" w:lineRule="auto"/>
              <w:jc w:val="center"/>
            </w:pPr>
            <w:r/>
            <w:r>
              <w:rPr>
                <w:rFonts w:ascii="Times New Roman" w:hAnsi="Times New Roman"/>
                <w:b w:val="0"/>
                <w:sz w:val="16"/>
              </w:rPr>
              <w:t>311199</w:t>
            </w:r>
          </w:p>
        </w:tc>
        <w:tc>
          <w:tcPr>
            <w:tcW w:type="dxa" w:w="1073"/>
            <w:vAlign w:val="center"/>
          </w:tcPr>
          <w:p>
            <w:pPr>
              <w:keepNext w:val="0"/>
              <w:spacing w:after="40" w:before="40" w:line="240" w:lineRule="auto"/>
              <w:jc w:val="center"/>
            </w:pPr>
            <w:r/>
            <w:r>
              <w:rPr>
                <w:rFonts w:ascii="Times New Roman" w:hAnsi="Times New Roman"/>
                <w:b w:val="0"/>
                <w:sz w:val="16"/>
              </w:rPr>
              <w:t>0.83 (0.80–0.86)</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539"/>
            <w:vAlign w:val="center"/>
          </w:tcPr>
          <w:p>
            <w:pPr>
              <w:keepNext w:val="0"/>
              <w:spacing w:after="40" w:before="40" w:line="240" w:lineRule="auto"/>
              <w:jc w:val="center"/>
            </w:pPr>
            <w:r/>
            <w:r>
              <w:rPr>
                <w:rFonts w:ascii="Times New Roman" w:hAnsi="Times New Roman"/>
                <w:b w:val="0"/>
                <w:sz w:val="16"/>
              </w:rPr>
              <w:t>0.86</w:t>
            </w:r>
          </w:p>
        </w:tc>
        <w:tc>
          <w:tcPr>
            <w:tcW w:type="dxa" w:w="768"/>
            <w:vAlign w:val="center"/>
          </w:tcPr>
          <w:p>
            <w:pPr>
              <w:keepNext w:val="0"/>
              <w:spacing w:after="40" w:before="40" w:line="240" w:lineRule="auto"/>
              <w:jc w:val="center"/>
            </w:pPr>
            <w:r/>
            <w:r>
              <w:rPr>
                <w:rFonts w:ascii="Times New Roman" w:hAnsi="Times New Roman"/>
                <w:b w:val="0"/>
                <w:sz w:val="16"/>
              </w:rPr>
              <w:t>1.01</w:t>
            </w:r>
          </w:p>
        </w:tc>
        <w:tc>
          <w:tcPr>
            <w:tcW w:type="dxa" w:w="1455"/>
            <w:vAlign w:val="center"/>
          </w:tcPr>
          <w:p>
            <w:pPr>
              <w:keepNext w:val="0"/>
              <w:spacing w:after="40" w:before="40" w:line="240" w:lineRule="auto"/>
              <w:jc w:val="center"/>
            </w:pPr>
            <w:r/>
            <w:r>
              <w:rPr>
                <w:rFonts w:ascii="Times New Roman" w:hAnsi="Times New Roman"/>
                <w:b w:val="0"/>
                <w:sz w:val="16"/>
              </w:rPr>
              <w:t>1.02</w:t>
            </w:r>
          </w:p>
        </w:tc>
        <w:tc>
          <w:tcPr>
            <w:tcW w:type="dxa" w:w="1531"/>
            <w:vAlign w:val="center"/>
          </w:tcPr>
          <w:p>
            <w:pPr>
              <w:keepNext w:val="0"/>
              <w:spacing w:after="40" w:before="40" w:line="240" w:lineRule="auto"/>
              <w:jc w:val="center"/>
            </w:pPr>
            <w:r/>
            <w:r>
              <w:rPr>
                <w:rFonts w:ascii="Times New Roman" w:hAnsi="Times New Roman"/>
                <w:b w:val="0"/>
                <w:sz w:val="16"/>
              </w:rPr>
              <w:t>0.92 (0.89–0.96)</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1073"/>
            <w:vAlign w:val="center"/>
          </w:tcPr>
          <w:p>
            <w:pPr>
              <w:keepNext w:val="0"/>
              <w:spacing w:after="40" w:before="40" w:line="240" w:lineRule="auto"/>
              <w:jc w:val="center"/>
            </w:pPr>
            <w:r/>
            <w:r>
              <w:rPr>
                <w:rFonts w:ascii="Times New Roman" w:hAnsi="Times New Roman"/>
                <w:b w:val="0"/>
                <w:sz w:val="16"/>
              </w:rPr>
              <w:t>1.12 (1.10–1.15)</w:t>
            </w:r>
          </w:p>
        </w:tc>
      </w:tr>
      <w:tr>
        <w:trPr>
          <w:cantSplit w:val="true"/>
        </w:trPr>
        <w:tc>
          <w:tcPr>
            <w:tcW w:type="dxa" w:w="844"/>
            <w:vAlign w:val="center"/>
          </w:tcPr>
          <w:p>
            <w:pPr>
              <w:keepNext w:val="0"/>
              <w:spacing w:after="40" w:before="40" w:line="240" w:lineRule="auto"/>
              <w:jc w:val="left"/>
            </w:pPr>
            <w:r/>
            <w:r>
              <w:rPr>
                <w:rFonts w:ascii="Times New Roman" w:hAnsi="Times New Roman"/>
                <w:b w:val="0"/>
                <w:sz w:val="16"/>
              </w:rPr>
              <w:t>Apr–Jul 2021</w:t>
            </w:r>
          </w:p>
        </w:tc>
        <w:tc>
          <w:tcPr>
            <w:tcW w:type="dxa" w:w="692"/>
            <w:vAlign w:val="center"/>
          </w:tcPr>
          <w:p>
            <w:pPr>
              <w:keepNext w:val="0"/>
              <w:spacing w:after="40" w:before="40" w:line="240" w:lineRule="auto"/>
              <w:jc w:val="center"/>
            </w:pPr>
            <w:r/>
            <w:r>
              <w:rPr>
                <w:rFonts w:ascii="Times New Roman" w:hAnsi="Times New Roman"/>
                <w:b w:val="0"/>
                <w:sz w:val="16"/>
              </w:rPr>
              <w:t>56981</w:t>
            </w:r>
          </w:p>
        </w:tc>
        <w:tc>
          <w:tcPr>
            <w:tcW w:type="dxa" w:w="1073"/>
            <w:vAlign w:val="center"/>
          </w:tcPr>
          <w:p>
            <w:pPr>
              <w:keepNext w:val="0"/>
              <w:spacing w:after="40" w:before="40" w:line="240" w:lineRule="auto"/>
              <w:jc w:val="center"/>
            </w:pPr>
            <w:r/>
            <w:r>
              <w:rPr>
                <w:rFonts w:ascii="Times New Roman" w:hAnsi="Times New Roman"/>
                <w:b w:val="0"/>
                <w:sz w:val="16"/>
              </w:rPr>
              <w:t>0.82 (0.79–0.86)</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539"/>
            <w:vAlign w:val="center"/>
          </w:tcPr>
          <w:p>
            <w:pPr>
              <w:keepNext w:val="0"/>
              <w:spacing w:after="40" w:before="40" w:line="240" w:lineRule="auto"/>
              <w:jc w:val="center"/>
            </w:pPr>
            <w:r/>
            <w:r>
              <w:rPr>
                <w:rFonts w:ascii="Times New Roman" w:hAnsi="Times New Roman"/>
                <w:b w:val="0"/>
                <w:sz w:val="16"/>
              </w:rPr>
              <w:t>0.88</w:t>
            </w:r>
          </w:p>
        </w:tc>
        <w:tc>
          <w:tcPr>
            <w:tcW w:type="dxa" w:w="768"/>
            <w:vAlign w:val="center"/>
          </w:tcPr>
          <w:p>
            <w:pPr>
              <w:keepNext w:val="0"/>
              <w:spacing w:after="40" w:before="40" w:line="240" w:lineRule="auto"/>
              <w:jc w:val="center"/>
            </w:pPr>
            <w:r/>
            <w:r>
              <w:rPr>
                <w:rFonts w:ascii="Times New Roman" w:hAnsi="Times New Roman"/>
                <w:b w:val="0"/>
                <w:sz w:val="16"/>
              </w:rPr>
              <w:t>0.95</w:t>
            </w:r>
          </w:p>
        </w:tc>
        <w:tc>
          <w:tcPr>
            <w:tcW w:type="dxa" w:w="1455"/>
            <w:vAlign w:val="center"/>
          </w:tcPr>
          <w:p>
            <w:pPr>
              <w:keepNext w:val="0"/>
              <w:spacing w:after="40" w:before="40" w:line="240" w:lineRule="auto"/>
              <w:jc w:val="center"/>
            </w:pPr>
            <w:r/>
            <w:r>
              <w:rPr>
                <w:rFonts w:ascii="Times New Roman" w:hAnsi="Times New Roman"/>
                <w:b w:val="0"/>
                <w:sz w:val="16"/>
              </w:rPr>
              <w:t>0.96</w:t>
            </w:r>
          </w:p>
        </w:tc>
        <w:tc>
          <w:tcPr>
            <w:tcW w:type="dxa" w:w="1531"/>
            <w:vAlign w:val="center"/>
          </w:tcPr>
          <w:p>
            <w:pPr>
              <w:keepNext w:val="0"/>
              <w:spacing w:after="40" w:before="40" w:line="240" w:lineRule="auto"/>
              <w:jc w:val="center"/>
            </w:pPr>
            <w:r/>
            <w:r>
              <w:rPr>
                <w:rFonts w:ascii="Times New Roman" w:hAnsi="Times New Roman"/>
                <w:b w:val="0"/>
                <w:sz w:val="16"/>
              </w:rPr>
              <w:t>0.90 (0.87–0.94)</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1073"/>
            <w:vAlign w:val="center"/>
          </w:tcPr>
          <w:p>
            <w:pPr>
              <w:keepNext w:val="0"/>
              <w:spacing w:after="40" w:before="40" w:line="240" w:lineRule="auto"/>
              <w:jc w:val="center"/>
            </w:pPr>
            <w:r/>
            <w:r>
              <w:rPr>
                <w:rFonts w:ascii="Times New Roman" w:hAnsi="Times New Roman"/>
                <w:b w:val="0"/>
                <w:sz w:val="16"/>
              </w:rPr>
              <w:t>1.11 (1.08–1.14)</w:t>
            </w:r>
          </w:p>
        </w:tc>
      </w:tr>
      <w:tr>
        <w:trPr>
          <w:cantSplit w:val="true"/>
        </w:trPr>
        <w:tc>
          <w:tcPr>
            <w:tcW w:type="dxa" w:w="844"/>
            <w:vAlign w:val="center"/>
          </w:tcPr>
          <w:p>
            <w:pPr>
              <w:keepNext w:val="0"/>
              <w:spacing w:after="40" w:before="40" w:line="240" w:lineRule="auto"/>
              <w:jc w:val="left"/>
            </w:pPr>
            <w:r/>
            <w:r>
              <w:rPr>
                <w:rFonts w:ascii="Times New Roman" w:hAnsi="Times New Roman"/>
                <w:b w:val="0"/>
                <w:sz w:val="16"/>
              </w:rPr>
              <w:t>Aug–Dec 2021</w:t>
            </w:r>
          </w:p>
        </w:tc>
        <w:tc>
          <w:tcPr>
            <w:tcW w:type="dxa" w:w="692"/>
            <w:vAlign w:val="center"/>
          </w:tcPr>
          <w:p>
            <w:pPr>
              <w:keepNext w:val="0"/>
              <w:spacing w:after="40" w:before="40" w:line="240" w:lineRule="auto"/>
              <w:jc w:val="center"/>
            </w:pPr>
            <w:r/>
            <w:r>
              <w:rPr>
                <w:rFonts w:ascii="Times New Roman" w:hAnsi="Times New Roman"/>
                <w:b w:val="0"/>
                <w:sz w:val="16"/>
              </w:rPr>
              <w:t>207761</w:t>
            </w:r>
          </w:p>
        </w:tc>
        <w:tc>
          <w:tcPr>
            <w:tcW w:type="dxa" w:w="1073"/>
            <w:vAlign w:val="center"/>
          </w:tcPr>
          <w:p>
            <w:pPr>
              <w:keepNext w:val="0"/>
              <w:spacing w:after="40" w:before="40" w:line="240" w:lineRule="auto"/>
              <w:jc w:val="center"/>
            </w:pPr>
            <w:r/>
            <w:r>
              <w:rPr>
                <w:rFonts w:ascii="Times New Roman" w:hAnsi="Times New Roman"/>
                <w:b w:val="0"/>
                <w:sz w:val="16"/>
              </w:rPr>
              <w:t>0.84 (0.81–0.87)</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539"/>
            <w:vAlign w:val="center"/>
          </w:tcPr>
          <w:p>
            <w:pPr>
              <w:keepNext w:val="0"/>
              <w:spacing w:after="40" w:before="40" w:line="240" w:lineRule="auto"/>
              <w:jc w:val="center"/>
            </w:pPr>
            <w:r/>
            <w:r>
              <w:rPr>
                <w:rFonts w:ascii="Times New Roman" w:hAnsi="Times New Roman"/>
                <w:b w:val="0"/>
                <w:sz w:val="16"/>
              </w:rPr>
              <w:t>0.88</w:t>
            </w:r>
          </w:p>
        </w:tc>
        <w:tc>
          <w:tcPr>
            <w:tcW w:type="dxa" w:w="768"/>
            <w:vAlign w:val="center"/>
          </w:tcPr>
          <w:p>
            <w:pPr>
              <w:keepNext w:val="0"/>
              <w:spacing w:after="40" w:before="40" w:line="240" w:lineRule="auto"/>
              <w:jc w:val="center"/>
            </w:pPr>
            <w:r/>
            <w:r>
              <w:rPr>
                <w:rFonts w:ascii="Times New Roman" w:hAnsi="Times New Roman"/>
                <w:b w:val="0"/>
                <w:sz w:val="16"/>
              </w:rPr>
              <w:t>1.06</w:t>
            </w:r>
          </w:p>
        </w:tc>
        <w:tc>
          <w:tcPr>
            <w:tcW w:type="dxa" w:w="1455"/>
            <w:vAlign w:val="center"/>
          </w:tcPr>
          <w:p>
            <w:pPr>
              <w:keepNext w:val="0"/>
              <w:spacing w:after="40" w:before="40" w:line="240" w:lineRule="auto"/>
              <w:jc w:val="center"/>
            </w:pPr>
            <w:r/>
            <w:r>
              <w:rPr>
                <w:rFonts w:ascii="Times New Roman" w:hAnsi="Times New Roman"/>
                <w:b w:val="0"/>
                <w:sz w:val="16"/>
              </w:rPr>
              <w:t>1.07</w:t>
            </w:r>
          </w:p>
        </w:tc>
        <w:tc>
          <w:tcPr>
            <w:tcW w:type="dxa" w:w="1531"/>
            <w:vAlign w:val="center"/>
          </w:tcPr>
          <w:p>
            <w:pPr>
              <w:keepNext w:val="0"/>
              <w:spacing w:after="40" w:before="40" w:line="240" w:lineRule="auto"/>
              <w:jc w:val="center"/>
            </w:pPr>
            <w:r/>
            <w:r>
              <w:rPr>
                <w:rFonts w:ascii="Times New Roman" w:hAnsi="Times New Roman"/>
                <w:b w:val="0"/>
                <w:sz w:val="16"/>
              </w:rPr>
              <w:t>0.92 (0.88–0.95)</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1073"/>
            <w:vAlign w:val="center"/>
          </w:tcPr>
          <w:p>
            <w:pPr>
              <w:keepNext w:val="0"/>
              <w:spacing w:after="40" w:before="40" w:line="240" w:lineRule="auto"/>
              <w:jc w:val="center"/>
            </w:pPr>
            <w:r/>
            <w:r>
              <w:rPr>
                <w:rFonts w:ascii="Times New Roman" w:hAnsi="Times New Roman"/>
                <w:b w:val="0"/>
                <w:sz w:val="16"/>
              </w:rPr>
              <w:t>1.13 (1.10–1.15)</w:t>
            </w:r>
          </w:p>
        </w:tc>
      </w:tr>
      <w:tr>
        <w:trPr>
          <w:cantSplit w:val="true"/>
        </w:trPr>
        <w:tc>
          <w:tcPr>
            <w:tcW w:type="dxa" w:w="844"/>
            <w:vAlign w:val="center"/>
          </w:tcPr>
          <w:p>
            <w:pPr>
              <w:keepNext w:val="0"/>
              <w:spacing w:after="40" w:before="40" w:line="240" w:lineRule="auto"/>
              <w:jc w:val="left"/>
            </w:pPr>
            <w:r/>
            <w:r>
              <w:rPr>
                <w:rFonts w:ascii="Times New Roman" w:hAnsi="Times New Roman"/>
                <w:b w:val="0"/>
                <w:sz w:val="16"/>
              </w:rPr>
              <w:t>Jan–Apr 2022</w:t>
            </w:r>
          </w:p>
        </w:tc>
        <w:tc>
          <w:tcPr>
            <w:tcW w:type="dxa" w:w="692"/>
            <w:vAlign w:val="center"/>
          </w:tcPr>
          <w:p>
            <w:pPr>
              <w:keepNext w:val="0"/>
              <w:spacing w:after="40" w:before="40" w:line="240" w:lineRule="auto"/>
              <w:jc w:val="center"/>
            </w:pPr>
            <w:r/>
            <w:r>
              <w:rPr>
                <w:rFonts w:ascii="Times New Roman" w:hAnsi="Times New Roman"/>
                <w:b w:val="0"/>
                <w:sz w:val="16"/>
              </w:rPr>
              <w:t>159637</w:t>
            </w:r>
          </w:p>
        </w:tc>
        <w:tc>
          <w:tcPr>
            <w:tcW w:type="dxa" w:w="1073"/>
            <w:vAlign w:val="center"/>
          </w:tcPr>
          <w:p>
            <w:pPr>
              <w:keepNext w:val="0"/>
              <w:spacing w:after="40" w:before="40" w:line="240" w:lineRule="auto"/>
              <w:jc w:val="center"/>
            </w:pPr>
            <w:r/>
            <w:r>
              <w:rPr>
                <w:rFonts w:ascii="Times New Roman" w:hAnsi="Times New Roman"/>
                <w:b w:val="0"/>
                <w:sz w:val="16"/>
              </w:rPr>
              <w:t>0.88 (0.85–0.92)</w:t>
            </w:r>
          </w:p>
        </w:tc>
        <w:tc>
          <w:tcPr>
            <w:tcW w:type="dxa" w:w="692"/>
            <w:vAlign w:val="center"/>
          </w:tcPr>
          <w:p>
            <w:pPr>
              <w:keepNext w:val="0"/>
              <w:spacing w:after="40" w:before="40" w:line="240" w:lineRule="auto"/>
              <w:jc w:val="center"/>
            </w:pPr>
            <w:r/>
            <w:r>
              <w:rPr>
                <w:rFonts w:ascii="Times New Roman" w:hAnsi="Times New Roman"/>
                <w:b w:val="0"/>
                <w:sz w:val="16"/>
              </w:rPr>
              <w:t>&lt;0.001</w:t>
            </w:r>
          </w:p>
        </w:tc>
        <w:tc>
          <w:tcPr>
            <w:tcW w:type="dxa" w:w="539"/>
            <w:vAlign w:val="center"/>
          </w:tcPr>
          <w:p>
            <w:pPr>
              <w:keepNext w:val="0"/>
              <w:spacing w:after="40" w:before="40" w:line="240" w:lineRule="auto"/>
              <w:jc w:val="center"/>
            </w:pPr>
            <w:r/>
            <w:r>
              <w:rPr>
                <w:rFonts w:ascii="Times New Roman" w:hAnsi="Times New Roman"/>
                <w:b w:val="0"/>
                <w:sz w:val="16"/>
              </w:rPr>
              <w:t>0.93</w:t>
            </w:r>
          </w:p>
        </w:tc>
        <w:tc>
          <w:tcPr>
            <w:tcW w:type="dxa" w:w="768"/>
            <w:vAlign w:val="center"/>
          </w:tcPr>
          <w:p>
            <w:pPr>
              <w:keepNext w:val="0"/>
              <w:spacing w:after="40" w:before="40" w:line="240" w:lineRule="auto"/>
              <w:jc w:val="center"/>
            </w:pPr>
            <w:r/>
            <w:r>
              <w:rPr>
                <w:rFonts w:ascii="Times New Roman" w:hAnsi="Times New Roman"/>
                <w:b w:val="0"/>
                <w:sz w:val="16"/>
              </w:rPr>
              <w:t>1.06</w:t>
            </w:r>
          </w:p>
        </w:tc>
        <w:tc>
          <w:tcPr>
            <w:tcW w:type="dxa" w:w="1455"/>
            <w:vAlign w:val="center"/>
          </w:tcPr>
          <w:p>
            <w:pPr>
              <w:keepNext w:val="0"/>
              <w:spacing w:after="40" w:before="40" w:line="240" w:lineRule="auto"/>
              <w:jc w:val="center"/>
            </w:pPr>
            <w:r/>
            <w:r>
              <w:rPr>
                <w:rFonts w:ascii="Times New Roman" w:hAnsi="Times New Roman"/>
                <w:b w:val="0"/>
                <w:sz w:val="16"/>
              </w:rPr>
              <w:t>1.07</w:t>
            </w:r>
          </w:p>
        </w:tc>
        <w:tc>
          <w:tcPr>
            <w:tcW w:type="dxa" w:w="1531"/>
            <w:vAlign w:val="center"/>
          </w:tcPr>
          <w:p>
            <w:pPr>
              <w:keepNext w:val="0"/>
              <w:spacing w:after="40" w:before="40" w:line="240" w:lineRule="auto"/>
              <w:jc w:val="center"/>
            </w:pPr>
            <w:r/>
            <w:r>
              <w:rPr>
                <w:rFonts w:ascii="Times New Roman" w:hAnsi="Times New Roman"/>
                <w:b w:val="0"/>
                <w:sz w:val="16"/>
              </w:rPr>
              <w:t>0.98 (0.94–1.02)</w:t>
            </w:r>
          </w:p>
        </w:tc>
        <w:tc>
          <w:tcPr>
            <w:tcW w:type="dxa" w:w="692"/>
            <w:vAlign w:val="center"/>
          </w:tcPr>
          <w:p>
            <w:pPr>
              <w:keepNext w:val="0"/>
              <w:spacing w:after="40" w:before="40" w:line="240" w:lineRule="auto"/>
              <w:jc w:val="center"/>
            </w:pPr>
            <w:r/>
            <w:r>
              <w:rPr>
                <w:rFonts w:ascii="Times New Roman" w:hAnsi="Times New Roman"/>
                <w:b w:val="0"/>
                <w:sz w:val="16"/>
              </w:rPr>
              <w:t>0.263</w:t>
            </w:r>
          </w:p>
        </w:tc>
        <w:tc>
          <w:tcPr>
            <w:tcW w:type="dxa" w:w="1073"/>
            <w:vAlign w:val="center"/>
          </w:tcPr>
          <w:p>
            <w:pPr>
              <w:keepNext w:val="0"/>
              <w:spacing w:after="40" w:before="40" w:line="240" w:lineRule="auto"/>
              <w:jc w:val="center"/>
            </w:pPr>
            <w:r/>
            <w:r>
              <w:rPr>
                <w:rFonts w:ascii="Times New Roman" w:hAnsi="Times New Roman"/>
                <w:b w:val="0"/>
                <w:sz w:val="16"/>
              </w:rPr>
              <w:t>1.08 (1.05–1.11)</w:t>
            </w:r>
          </w:p>
        </w:tc>
      </w:tr>
      <w:tr>
        <w:trPr>
          <w:cantSplit w:val="true"/>
        </w:trPr>
        <w:tc>
          <w:tcPr>
            <w:tcW w:type="dxa" w:w="844"/>
            <w:vAlign w:val="center"/>
            <w:tcBorders>
              <w:bottom w:val="single" w:sz="8" w:color="000000"/>
            </w:tcBorders>
          </w:tcPr>
          <w:p>
            <w:pPr>
              <w:keepNext w:val="0"/>
              <w:spacing w:after="40" w:before="40" w:line="240" w:lineRule="auto"/>
              <w:jc w:val="left"/>
            </w:pPr>
            <w:r/>
            <w:r>
              <w:rPr>
                <w:rFonts w:ascii="Times New Roman" w:hAnsi="Times New Roman"/>
                <w:b w:val="0"/>
                <w:sz w:val="16"/>
              </w:rPr>
              <w:t>May 2022–Mar 2023</w:t>
            </w:r>
          </w:p>
        </w:tc>
        <w:tc>
          <w:tcPr>
            <w:tcW w:type="dxa" w:w="692"/>
            <w:vAlign w:val="center"/>
            <w:tcBorders>
              <w:bottom w:val="single" w:sz="8" w:color="000000"/>
            </w:tcBorders>
          </w:tcPr>
          <w:p>
            <w:pPr>
              <w:keepNext w:val="0"/>
              <w:spacing w:after="40" w:before="40" w:line="240" w:lineRule="auto"/>
              <w:jc w:val="center"/>
            </w:pPr>
            <w:r/>
            <w:r>
              <w:rPr>
                <w:rFonts w:ascii="Times New Roman" w:hAnsi="Times New Roman"/>
                <w:b w:val="0"/>
                <w:sz w:val="16"/>
              </w:rPr>
              <w:t>135323</w:t>
            </w:r>
          </w:p>
        </w:tc>
        <w:tc>
          <w:tcPr>
            <w:tcW w:type="dxa" w:w="1073"/>
            <w:vAlign w:val="center"/>
            <w:tcBorders>
              <w:bottom w:val="single" w:sz="8" w:color="000000"/>
            </w:tcBorders>
          </w:tcPr>
          <w:p>
            <w:pPr>
              <w:keepNext w:val="0"/>
              <w:spacing w:after="40" w:before="40" w:line="240" w:lineRule="auto"/>
              <w:jc w:val="center"/>
            </w:pPr>
            <w:r/>
            <w:r>
              <w:rPr>
                <w:rFonts w:ascii="Times New Roman" w:hAnsi="Times New Roman"/>
                <w:b w:val="0"/>
                <w:sz w:val="16"/>
              </w:rPr>
              <w:t>0.80 (0.77–0.83)</w:t>
            </w:r>
          </w:p>
        </w:tc>
        <w:tc>
          <w:tcPr>
            <w:tcW w:type="dxa" w:w="692"/>
            <w:vAlign w:val="center"/>
            <w:tcBorders>
              <w:bottom w:val="single" w:sz="8" w:color="000000"/>
            </w:tcBorders>
          </w:tcPr>
          <w:p>
            <w:pPr>
              <w:keepNext w:val="0"/>
              <w:spacing w:after="40" w:before="40" w:line="240" w:lineRule="auto"/>
              <w:jc w:val="center"/>
            </w:pPr>
            <w:r/>
            <w:r>
              <w:rPr>
                <w:rFonts w:ascii="Times New Roman" w:hAnsi="Times New Roman"/>
                <w:b w:val="0"/>
                <w:sz w:val="16"/>
              </w:rPr>
              <w:t>&lt;0.001</w:t>
            </w:r>
          </w:p>
        </w:tc>
        <w:tc>
          <w:tcPr>
            <w:tcW w:type="dxa" w:w="539"/>
            <w:vAlign w:val="center"/>
            <w:tcBorders>
              <w:bottom w:val="single" w:sz="8" w:color="000000"/>
            </w:tcBorders>
          </w:tcPr>
          <w:p>
            <w:pPr>
              <w:keepNext w:val="0"/>
              <w:spacing w:after="40" w:before="40" w:line="240" w:lineRule="auto"/>
              <w:jc w:val="center"/>
            </w:pPr>
            <w:r/>
            <w:r>
              <w:rPr>
                <w:rFonts w:ascii="Times New Roman" w:hAnsi="Times New Roman"/>
                <w:b w:val="0"/>
                <w:sz w:val="16"/>
              </w:rPr>
              <w:t>0.88</w:t>
            </w:r>
          </w:p>
        </w:tc>
        <w:tc>
          <w:tcPr>
            <w:tcW w:type="dxa" w:w="768"/>
            <w:vAlign w:val="center"/>
            <w:tcBorders>
              <w:bottom w:val="single" w:sz="8" w:color="000000"/>
            </w:tcBorders>
          </w:tcPr>
          <w:p>
            <w:pPr>
              <w:keepNext w:val="0"/>
              <w:spacing w:after="40" w:before="40" w:line="240" w:lineRule="auto"/>
              <w:jc w:val="center"/>
            </w:pPr>
            <w:r/>
            <w:r>
              <w:rPr>
                <w:rFonts w:ascii="Times New Roman" w:hAnsi="Times New Roman"/>
                <w:b w:val="0"/>
                <w:sz w:val="16"/>
              </w:rPr>
              <w:t>0.89</w:t>
            </w:r>
          </w:p>
        </w:tc>
        <w:tc>
          <w:tcPr>
            <w:tcW w:type="dxa" w:w="1455"/>
            <w:vAlign w:val="center"/>
            <w:tcBorders>
              <w:bottom w:val="single" w:sz="8" w:color="000000"/>
            </w:tcBorders>
          </w:tcPr>
          <w:p>
            <w:pPr>
              <w:keepNext w:val="0"/>
              <w:spacing w:after="40" w:before="40" w:line="240" w:lineRule="auto"/>
              <w:jc w:val="center"/>
            </w:pPr>
            <w:r/>
            <w:r>
              <w:rPr>
                <w:rFonts w:ascii="Times New Roman" w:hAnsi="Times New Roman"/>
                <w:b w:val="0"/>
                <w:sz w:val="16"/>
              </w:rPr>
              <w:t>0.90</w:t>
            </w:r>
          </w:p>
        </w:tc>
        <w:tc>
          <w:tcPr>
            <w:tcW w:type="dxa" w:w="1531"/>
            <w:vAlign w:val="center"/>
            <w:tcBorders>
              <w:bottom w:val="single" w:sz="8" w:color="000000"/>
            </w:tcBorders>
          </w:tcPr>
          <w:p>
            <w:pPr>
              <w:keepNext w:val="0"/>
              <w:spacing w:after="40" w:before="40" w:line="240" w:lineRule="auto"/>
              <w:jc w:val="center"/>
            </w:pPr>
            <w:r/>
            <w:r>
              <w:rPr>
                <w:rFonts w:ascii="Times New Roman" w:hAnsi="Times New Roman"/>
                <w:b w:val="0"/>
                <w:sz w:val="16"/>
              </w:rPr>
              <w:t>0.90 (0.86–0.93)</w:t>
            </w:r>
          </w:p>
        </w:tc>
        <w:tc>
          <w:tcPr>
            <w:tcW w:type="dxa" w:w="692"/>
            <w:vAlign w:val="center"/>
            <w:tcBorders>
              <w:bottom w:val="single" w:sz="8" w:color="000000"/>
            </w:tcBorders>
          </w:tcPr>
          <w:p>
            <w:pPr>
              <w:keepNext w:val="0"/>
              <w:spacing w:after="40" w:before="40" w:line="240" w:lineRule="auto"/>
              <w:jc w:val="center"/>
            </w:pPr>
            <w:r/>
            <w:r>
              <w:rPr>
                <w:rFonts w:ascii="Times New Roman" w:hAnsi="Times New Roman"/>
                <w:b w:val="0"/>
                <w:sz w:val="16"/>
              </w:rPr>
              <w:t>&lt;0.001</w:t>
            </w:r>
          </w:p>
        </w:tc>
        <w:tc>
          <w:tcPr>
            <w:tcW w:type="dxa" w:w="1073"/>
            <w:vAlign w:val="center"/>
            <w:tcBorders>
              <w:bottom w:val="single" w:sz="8" w:color="000000"/>
            </w:tcBorders>
          </w:tcPr>
          <w:p>
            <w:pPr>
              <w:keepNext w:val="0"/>
              <w:spacing w:after="40" w:before="40" w:line="240" w:lineRule="auto"/>
              <w:jc w:val="center"/>
            </w:pPr>
            <w:r/>
            <w:r>
              <w:rPr>
                <w:rFonts w:ascii="Times New Roman" w:hAnsi="Times New Roman"/>
                <w:b w:val="0"/>
                <w:sz w:val="16"/>
              </w:rPr>
              <w:t>1.12 (1.09–1.15)</w:t>
            </w:r>
          </w:p>
        </w:tc>
      </w:tr>
    </w:tbl>
    <w:p>
      <w:pPr>
        <w:spacing w:after="320" w:before="100" w:line="240" w:lineRule="auto"/>
        <w:jc w:val="both"/>
      </w:pPr>
      <w:r>
        <w:rPr>
          <w:rFonts w:ascii="Times New Roman" w:hAnsi="Times New Roman"/>
          <w:b w:val="0"/>
          <w:i/>
          <w:sz w:val="16"/>
        </w:rPr>
        <w:t>Incidence-rate ratios are per one standard deviation of log(population), from negative binomial models with an offset of log(population), except the final column, which is per one-step increase on the six-level NCHS 2013 urban-rural classification toward the rural end. Windows are labelled by month and are inclusive of both end months; the last three correspond to the Delta, Omicron and post-Omicron eras. "Deaths" is the within-window count summed across the 3,103 counties, formed by differencing the monthly cumulative series at the window endpoints (Additional file 1). Age-standardization is indirect, using ten age bands. Specifications are: (a) size alone, population offset; (b) adds the county shares aged 65 and over and 17 and under; (c) size and all 43 factors, population offset; (e) size and all 43 factors, ten-band expected-deaths offset; (f) size alone, ten-band expected-deaths offset, which isolates age. Intervals and P values are given for (a) and (f), on which the reversal claim rests, and point estimates only for (b), (c) and (e); the three-band specification (d) is omitted, differing from (e) by at most 0.010. Intervals are rounded to two decimals, so the June-October 2020 interval for (f) prints an upper bound of 1.00 while its unrounded value is 0.998, below one and consistent with its P value.</w:t>
      </w:r>
    </w:p>
    <w:p>
      <w:pPr>
        <w:keepNext/>
        <w:spacing w:after="100" w:before="280" w:line="240" w:lineRule="auto"/>
        <w:jc w:val="left"/>
      </w:pPr>
      <w:r>
        <w:rPr>
          <w:rFonts w:ascii="Times New Roman" w:hAnsi="Times New Roman"/>
          <w:b/>
          <w:i w:val="0"/>
          <w:sz w:val="20"/>
        </w:rPr>
        <w:t>Table 4. Cumulative spatial-model comparison, in sample and out of sample</w:t>
      </w:r>
    </w:p>
    <w:tbl>
      <w:tblPr>
        <w:tblW w:type="auto" w:w="0"/>
        <w:jc w:val="center"/>
        <w:tblLayout w:type="fixed"/>
        <w:tblLook w:firstColumn="1" w:firstRow="1" w:lastColumn="0" w:lastRow="0" w:noHBand="0" w:noVBand="1" w:val="04A0"/>
        <w:tblBorders>
          <w:top w:val="none"/>
          <w:bottom w:val="none"/>
          <w:left w:val="none"/>
          <w:right w:val="none"/>
          <w:insideH w:val="none"/>
          <w:insideV w:val="none"/>
        </w:tblBorders>
        <w:tblCellMar>
          <w:top w:w="60" w:type="dxa"/>
          <w:left w:w="108" w:type="dxa"/>
          <w:bottom w:w="60" w:type="dxa"/>
          <w:right w:w="108" w:type="dxa"/>
        </w:tblCellMar>
        <w:tblLayout w:type="fixed"/>
      </w:tblPr>
      <w:tblGrid>
        <w:gridCol w:w="1170"/>
        <w:gridCol w:w="1170"/>
        <w:gridCol w:w="1170"/>
        <w:gridCol w:w="1170"/>
        <w:gridCol w:w="1170"/>
        <w:gridCol w:w="1170"/>
        <w:gridCol w:w="1170"/>
        <w:gridCol w:w="1170"/>
      </w:tblGrid>
      <w:tr>
        <w:trPr>
          <w:tblHeader w:val="true"/>
        </w:trPr>
        <w:tc>
          <w:tcPr>
            <w:tcW w:type="dxa" w:w="1407"/>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Model</w:t>
            </w:r>
          </w:p>
        </w:tc>
        <w:tc>
          <w:tcPr>
            <w:tcW w:type="dxa" w:w="894"/>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AIC or AICc</w:t>
            </w:r>
          </w:p>
        </w:tc>
        <w:tc>
          <w:tcPr>
            <w:tcW w:type="dxa" w:w="1363"/>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Effective parameters</w:t>
            </w:r>
          </w:p>
        </w:tc>
        <w:tc>
          <w:tcPr>
            <w:tcW w:type="dxa" w:w="695"/>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R²</w:t>
            </w:r>
          </w:p>
        </w:tc>
        <w:tc>
          <w:tcPr>
            <w:tcW w:type="dxa" w:w="1338"/>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Moran’s I of residuals</w:t>
            </w:r>
          </w:p>
        </w:tc>
        <w:tc>
          <w:tcPr>
            <w:tcW w:type="dxa" w:w="738"/>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Moran z</w:t>
            </w:r>
          </w:p>
        </w:tc>
        <w:tc>
          <w:tcPr>
            <w:tcW w:type="dxa" w:w="1096"/>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Moran pseudo-P</w:t>
            </w:r>
          </w:p>
        </w:tc>
        <w:tc>
          <w:tcPr>
            <w:tcW w:type="dxa" w:w="1829"/>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Out-of-sample deviance explained</w:t>
            </w:r>
          </w:p>
        </w:tc>
      </w:tr>
      <w:tr>
        <w:trPr>
          <w:cantSplit w:val="true"/>
        </w:trPr>
        <w:tc>
          <w:tcPr>
            <w:tcW w:type="dxa" w:w="1407"/>
            <w:vAlign w:val="center"/>
          </w:tcPr>
          <w:p>
            <w:pPr>
              <w:keepNext w:val="0"/>
              <w:spacing w:after="40" w:before="40" w:line="240" w:lineRule="auto"/>
              <w:jc w:val="left"/>
            </w:pPr>
            <w:r/>
            <w:r>
              <w:rPr>
                <w:rFonts w:ascii="Times New Roman" w:hAnsi="Times New Roman"/>
                <w:b w:val="0"/>
                <w:sz w:val="18"/>
              </w:rPr>
              <w:t>Ordinary least squares</w:t>
            </w:r>
          </w:p>
        </w:tc>
        <w:tc>
          <w:tcPr>
            <w:tcW w:type="dxa" w:w="894"/>
            <w:vAlign w:val="center"/>
          </w:tcPr>
          <w:p>
            <w:pPr>
              <w:keepNext w:val="0"/>
              <w:spacing w:after="40" w:before="40" w:line="240" w:lineRule="auto"/>
              <w:jc w:val="center"/>
            </w:pPr>
            <w:r/>
            <w:r>
              <w:rPr>
                <w:rFonts w:ascii="Times New Roman" w:hAnsi="Times New Roman"/>
                <w:b w:val="0"/>
                <w:sz w:val="18"/>
              </w:rPr>
              <w:t>6641.0</w:t>
            </w:r>
          </w:p>
        </w:tc>
        <w:tc>
          <w:tcPr>
            <w:tcW w:type="dxa" w:w="1363"/>
            <w:vAlign w:val="center"/>
          </w:tcPr>
          <w:p>
            <w:pPr>
              <w:keepNext w:val="0"/>
              <w:spacing w:after="40" w:before="40" w:line="240" w:lineRule="auto"/>
              <w:jc w:val="center"/>
            </w:pPr>
            <w:r/>
            <w:r>
              <w:rPr>
                <w:rFonts w:ascii="Times New Roman" w:hAnsi="Times New Roman"/>
                <w:b w:val="0"/>
                <w:sz w:val="18"/>
              </w:rPr>
              <w:t>9</w:t>
            </w:r>
          </w:p>
        </w:tc>
        <w:tc>
          <w:tcPr>
            <w:tcW w:type="dxa" w:w="695"/>
            <w:vAlign w:val="center"/>
          </w:tcPr>
          <w:p>
            <w:pPr>
              <w:keepNext w:val="0"/>
              <w:spacing w:after="40" w:before="40" w:line="240" w:lineRule="auto"/>
              <w:jc w:val="center"/>
            </w:pPr>
            <w:r/>
            <w:r>
              <w:rPr>
                <w:rFonts w:ascii="Times New Roman" w:hAnsi="Times New Roman"/>
                <w:b w:val="0"/>
                <w:sz w:val="18"/>
              </w:rPr>
              <w:t>0.505</w:t>
            </w:r>
          </w:p>
        </w:tc>
        <w:tc>
          <w:tcPr>
            <w:tcW w:type="dxa" w:w="1338"/>
            <w:vAlign w:val="center"/>
          </w:tcPr>
          <w:p>
            <w:pPr>
              <w:keepNext w:val="0"/>
              <w:spacing w:after="40" w:before="40" w:line="240" w:lineRule="auto"/>
              <w:jc w:val="center"/>
            </w:pPr>
            <w:r/>
            <w:r>
              <w:rPr>
                <w:rFonts w:ascii="Times New Roman" w:hAnsi="Times New Roman"/>
                <w:b w:val="0"/>
                <w:sz w:val="18"/>
              </w:rPr>
              <w:t>0.251</w:t>
            </w:r>
          </w:p>
        </w:tc>
        <w:tc>
          <w:tcPr>
            <w:tcW w:type="dxa" w:w="738"/>
            <w:vAlign w:val="center"/>
          </w:tcPr>
          <w:p>
            <w:pPr>
              <w:keepNext w:val="0"/>
              <w:spacing w:after="40" w:before="40" w:line="240" w:lineRule="auto"/>
              <w:jc w:val="center"/>
            </w:pPr>
            <w:r/>
            <w:r>
              <w:rPr>
                <w:rFonts w:ascii="Times New Roman" w:hAnsi="Times New Roman"/>
                <w:b w:val="0"/>
                <w:sz w:val="18"/>
              </w:rPr>
              <w:t>29.5</w:t>
            </w:r>
          </w:p>
        </w:tc>
        <w:tc>
          <w:tcPr>
            <w:tcW w:type="dxa" w:w="1096"/>
            <w:vAlign w:val="center"/>
          </w:tcPr>
          <w:p>
            <w:pPr>
              <w:keepNext w:val="0"/>
              <w:spacing w:after="40" w:before="40" w:line="240" w:lineRule="auto"/>
              <w:jc w:val="center"/>
            </w:pPr>
            <w:r/>
            <w:r>
              <w:rPr>
                <w:rFonts w:ascii="Times New Roman" w:hAnsi="Times New Roman"/>
                <w:b w:val="0"/>
                <w:sz w:val="18"/>
              </w:rPr>
              <w:t>0.001</w:t>
            </w:r>
          </w:p>
        </w:tc>
        <w:tc>
          <w:tcPr>
            <w:tcW w:type="dxa" w:w="1829"/>
            <w:vAlign w:val="center"/>
          </w:tcPr>
          <w:p>
            <w:pPr>
              <w:keepNext w:val="0"/>
              <w:spacing w:after="40" w:before="40" w:line="240" w:lineRule="auto"/>
              <w:jc w:val="center"/>
            </w:pPr>
            <w:r/>
            <w:r>
              <w:rPr>
                <w:rFonts w:ascii="Times New Roman" w:hAnsi="Times New Roman"/>
                <w:b w:val="0"/>
                <w:sz w:val="18"/>
              </w:rPr>
              <w:t>0.485</w:t>
            </w:r>
          </w:p>
        </w:tc>
      </w:tr>
      <w:tr>
        <w:trPr>
          <w:cantSplit w:val="true"/>
        </w:trPr>
        <w:tc>
          <w:tcPr>
            <w:tcW w:type="dxa" w:w="1407"/>
            <w:vAlign w:val="center"/>
          </w:tcPr>
          <w:p>
            <w:pPr>
              <w:keepNext w:val="0"/>
              <w:spacing w:after="40" w:before="40" w:line="240" w:lineRule="auto"/>
              <w:jc w:val="left"/>
            </w:pPr>
            <w:r/>
            <w:r>
              <w:rPr>
                <w:rFonts w:ascii="Times New Roman" w:hAnsi="Times New Roman"/>
                <w:b w:val="0"/>
                <w:sz w:val="18"/>
              </w:rPr>
              <w:t>Spatial lag</w:t>
            </w:r>
          </w:p>
        </w:tc>
        <w:tc>
          <w:tcPr>
            <w:tcW w:type="dxa" w:w="894"/>
            <w:vAlign w:val="center"/>
          </w:tcPr>
          <w:p>
            <w:pPr>
              <w:keepNext w:val="0"/>
              <w:spacing w:after="40" w:before="40" w:line="240" w:lineRule="auto"/>
              <w:jc w:val="center"/>
            </w:pPr>
            <w:r/>
            <w:r>
              <w:rPr>
                <w:rFonts w:ascii="Times New Roman" w:hAnsi="Times New Roman"/>
                <w:b w:val="0"/>
                <w:sz w:val="18"/>
              </w:rPr>
              <w:t>6079.3</w:t>
            </w:r>
          </w:p>
        </w:tc>
        <w:tc>
          <w:tcPr>
            <w:tcW w:type="dxa" w:w="1363"/>
            <w:vAlign w:val="center"/>
          </w:tcPr>
          <w:p>
            <w:pPr>
              <w:keepNext w:val="0"/>
              <w:spacing w:after="40" w:before="40" w:line="240" w:lineRule="auto"/>
              <w:jc w:val="center"/>
            </w:pPr>
            <w:r/>
            <w:r>
              <w:rPr>
                <w:rFonts w:ascii="Times New Roman" w:hAnsi="Times New Roman"/>
                <w:b w:val="0"/>
                <w:sz w:val="18"/>
              </w:rPr>
              <w:t>11</w:t>
            </w:r>
          </w:p>
        </w:tc>
        <w:tc>
          <w:tcPr>
            <w:tcW w:type="dxa" w:w="695"/>
            <w:vAlign w:val="center"/>
          </w:tcPr>
          <w:p>
            <w:pPr>
              <w:keepNext w:val="0"/>
              <w:spacing w:after="40" w:before="40" w:line="240" w:lineRule="auto"/>
              <w:jc w:val="center"/>
            </w:pPr>
            <w:r/>
            <w:r>
              <w:rPr>
                <w:rFonts w:ascii="Times New Roman" w:hAnsi="Times New Roman"/>
                <w:b w:val="0"/>
                <w:sz w:val="18"/>
              </w:rPr>
              <w:t>0.601</w:t>
            </w:r>
          </w:p>
        </w:tc>
        <w:tc>
          <w:tcPr>
            <w:tcW w:type="dxa" w:w="1338"/>
            <w:vAlign w:val="center"/>
          </w:tcPr>
          <w:p>
            <w:pPr>
              <w:keepNext w:val="0"/>
              <w:spacing w:after="40" w:before="40" w:line="240" w:lineRule="auto"/>
              <w:jc w:val="center"/>
            </w:pPr>
            <w:r/>
            <w:r>
              <w:rPr>
                <w:rFonts w:ascii="Times New Roman" w:hAnsi="Times New Roman"/>
                <w:b w:val="0"/>
                <w:sz w:val="18"/>
              </w:rPr>
              <w:t>0.019</w:t>
            </w:r>
          </w:p>
        </w:tc>
        <w:tc>
          <w:tcPr>
            <w:tcW w:type="dxa" w:w="738"/>
            <w:vAlign w:val="center"/>
          </w:tcPr>
          <w:p>
            <w:pPr>
              <w:keepNext w:val="0"/>
              <w:spacing w:after="40" w:before="40" w:line="240" w:lineRule="auto"/>
              <w:jc w:val="center"/>
            </w:pPr>
            <w:r/>
            <w:r>
              <w:rPr>
                <w:rFonts w:ascii="Times New Roman" w:hAnsi="Times New Roman"/>
                <w:b w:val="0"/>
                <w:sz w:val="18"/>
              </w:rPr>
              <w:t>2.3</w:t>
            </w:r>
          </w:p>
        </w:tc>
        <w:tc>
          <w:tcPr>
            <w:tcW w:type="dxa" w:w="1096"/>
            <w:vAlign w:val="center"/>
          </w:tcPr>
          <w:p>
            <w:pPr>
              <w:keepNext w:val="0"/>
              <w:spacing w:after="40" w:before="40" w:line="240" w:lineRule="auto"/>
              <w:jc w:val="center"/>
            </w:pPr>
            <w:r/>
            <w:r>
              <w:rPr>
                <w:rFonts w:ascii="Times New Roman" w:hAnsi="Times New Roman"/>
                <w:b w:val="0"/>
                <w:sz w:val="18"/>
              </w:rPr>
              <w:t>0.012</w:t>
            </w:r>
          </w:p>
        </w:tc>
        <w:tc>
          <w:tcPr>
            <w:tcW w:type="dxa" w:w="1829"/>
            <w:vAlign w:val="center"/>
          </w:tcPr>
          <w:p>
            <w:pPr>
              <w:keepNext w:val="0"/>
              <w:spacing w:after="40" w:before="40" w:line="240" w:lineRule="auto"/>
              <w:jc w:val="center"/>
            </w:pPr>
            <w:r/>
            <w:r>
              <w:rPr>
                <w:rFonts w:ascii="Times New Roman" w:hAnsi="Times New Roman"/>
                <w:b w:val="0"/>
                <w:sz w:val="18"/>
              </w:rPr>
              <w:t>0.472</w:t>
            </w:r>
          </w:p>
        </w:tc>
      </w:tr>
      <w:tr>
        <w:trPr>
          <w:cantSplit w:val="true"/>
        </w:trPr>
        <w:tc>
          <w:tcPr>
            <w:tcW w:type="dxa" w:w="1407"/>
            <w:vAlign w:val="center"/>
          </w:tcPr>
          <w:p>
            <w:pPr>
              <w:keepNext w:val="0"/>
              <w:spacing w:after="40" w:before="40" w:line="240" w:lineRule="auto"/>
              <w:jc w:val="left"/>
            </w:pPr>
            <w:r/>
            <w:r>
              <w:rPr>
                <w:rFonts w:ascii="Times New Roman" w:hAnsi="Times New Roman"/>
                <w:b w:val="0"/>
                <w:sz w:val="18"/>
              </w:rPr>
              <w:t>GWR (single bandwidth)</w:t>
            </w:r>
          </w:p>
        </w:tc>
        <w:tc>
          <w:tcPr>
            <w:tcW w:type="dxa" w:w="894"/>
            <w:vAlign w:val="center"/>
          </w:tcPr>
          <w:p>
            <w:pPr>
              <w:keepNext w:val="0"/>
              <w:spacing w:after="40" w:before="40" w:line="240" w:lineRule="auto"/>
              <w:jc w:val="center"/>
            </w:pPr>
            <w:r/>
            <w:r>
              <w:rPr>
                <w:rFonts w:ascii="Times New Roman" w:hAnsi="Times New Roman"/>
                <w:b w:val="0"/>
                <w:sz w:val="18"/>
              </w:rPr>
              <w:t>5772.9</w:t>
            </w:r>
          </w:p>
        </w:tc>
        <w:tc>
          <w:tcPr>
            <w:tcW w:type="dxa" w:w="1363"/>
            <w:vAlign w:val="center"/>
          </w:tcPr>
          <w:p>
            <w:pPr>
              <w:keepNext w:val="0"/>
              <w:spacing w:after="40" w:before="40" w:line="240" w:lineRule="auto"/>
              <w:jc w:val="center"/>
            </w:pPr>
            <w:r/>
            <w:r>
              <w:rPr>
                <w:rFonts w:ascii="Times New Roman" w:hAnsi="Times New Roman"/>
                <w:b w:val="0"/>
                <w:sz w:val="18"/>
              </w:rPr>
              <w:t>353.3</w:t>
            </w:r>
          </w:p>
        </w:tc>
        <w:tc>
          <w:tcPr>
            <w:tcW w:type="dxa" w:w="695"/>
            <w:vAlign w:val="center"/>
          </w:tcPr>
          <w:p>
            <w:pPr>
              <w:keepNext w:val="0"/>
              <w:spacing w:after="40" w:before="40" w:line="240" w:lineRule="auto"/>
              <w:jc w:val="center"/>
            </w:pPr>
            <w:r/>
            <w:r>
              <w:rPr>
                <w:rFonts w:ascii="Times New Roman" w:hAnsi="Times New Roman"/>
                <w:b w:val="0"/>
                <w:sz w:val="18"/>
              </w:rPr>
              <w:t>0.709</w:t>
            </w:r>
          </w:p>
        </w:tc>
        <w:tc>
          <w:tcPr>
            <w:tcW w:type="dxa" w:w="1338"/>
            <w:vAlign w:val="center"/>
          </w:tcPr>
          <w:p>
            <w:pPr>
              <w:keepNext w:val="0"/>
              <w:spacing w:after="40" w:before="40" w:line="240" w:lineRule="auto"/>
              <w:jc w:val="center"/>
            </w:pPr>
            <w:r/>
            <w:r>
              <w:rPr>
                <w:rFonts w:ascii="Times New Roman" w:hAnsi="Times New Roman"/>
                <w:b w:val="0"/>
                <w:sz w:val="18"/>
              </w:rPr>
              <w:t>0.025</w:t>
            </w:r>
          </w:p>
        </w:tc>
        <w:tc>
          <w:tcPr>
            <w:tcW w:type="dxa" w:w="738"/>
            <w:vAlign w:val="center"/>
          </w:tcPr>
          <w:p>
            <w:pPr>
              <w:keepNext w:val="0"/>
              <w:spacing w:after="40" w:before="40" w:line="240" w:lineRule="auto"/>
              <w:jc w:val="center"/>
            </w:pPr>
            <w:r/>
            <w:r>
              <w:rPr>
                <w:rFonts w:ascii="Times New Roman" w:hAnsi="Times New Roman"/>
                <w:b w:val="0"/>
                <w:sz w:val="18"/>
              </w:rPr>
              <w:t>2.8</w:t>
            </w:r>
          </w:p>
        </w:tc>
        <w:tc>
          <w:tcPr>
            <w:tcW w:type="dxa" w:w="1096"/>
            <w:vAlign w:val="center"/>
          </w:tcPr>
          <w:p>
            <w:pPr>
              <w:keepNext w:val="0"/>
              <w:spacing w:after="40" w:before="40" w:line="240" w:lineRule="auto"/>
              <w:jc w:val="center"/>
            </w:pPr>
            <w:r/>
            <w:r>
              <w:rPr>
                <w:rFonts w:ascii="Times New Roman" w:hAnsi="Times New Roman"/>
                <w:b w:val="0"/>
                <w:sz w:val="18"/>
              </w:rPr>
              <w:t>0.005</w:t>
            </w:r>
          </w:p>
        </w:tc>
        <w:tc>
          <w:tcPr>
            <w:tcW w:type="dxa" w:w="1829"/>
            <w:vAlign w:val="center"/>
          </w:tcPr>
          <w:p>
            <w:pPr>
              <w:keepNext w:val="0"/>
              <w:spacing w:after="40" w:before="40" w:line="240" w:lineRule="auto"/>
              <w:jc w:val="center"/>
            </w:pPr>
            <w:r/>
            <w:r>
              <w:rPr>
                <w:rFonts w:ascii="Times New Roman" w:hAnsi="Times New Roman"/>
                <w:b w:val="0"/>
                <w:sz w:val="18"/>
              </w:rPr>
              <w:t>0.330</w:t>
            </w:r>
          </w:p>
        </w:tc>
      </w:tr>
      <w:tr>
        <w:trPr>
          <w:cantSplit w:val="true"/>
        </w:trPr>
        <w:tc>
          <w:tcPr>
            <w:tcW w:type="dxa" w:w="1407"/>
            <w:vAlign w:val="center"/>
            <w:tcBorders>
              <w:bottom w:val="single" w:sz="8" w:color="000000"/>
            </w:tcBorders>
          </w:tcPr>
          <w:p>
            <w:pPr>
              <w:keepNext w:val="0"/>
              <w:spacing w:after="40" w:before="40" w:line="240" w:lineRule="auto"/>
              <w:jc w:val="left"/>
            </w:pPr>
            <w:r/>
            <w:r>
              <w:rPr>
                <w:rFonts w:ascii="Times New Roman" w:hAnsi="Times New Roman"/>
                <w:b w:val="0"/>
                <w:sz w:val="18"/>
              </w:rPr>
              <w:t>MGWR</w:t>
            </w:r>
          </w:p>
        </w:tc>
        <w:tc>
          <w:tcPr>
            <w:tcW w:type="dxa" w:w="894"/>
            <w:vAlign w:val="center"/>
            <w:tcBorders>
              <w:bottom w:val="single" w:sz="8" w:color="000000"/>
            </w:tcBorders>
          </w:tcPr>
          <w:p>
            <w:pPr>
              <w:keepNext w:val="0"/>
              <w:spacing w:after="40" w:before="40" w:line="240" w:lineRule="auto"/>
              <w:jc w:val="center"/>
            </w:pPr>
            <w:r/>
            <w:r>
              <w:rPr>
                <w:rFonts w:ascii="Times New Roman" w:hAnsi="Times New Roman"/>
                <w:b w:val="0"/>
                <w:sz w:val="18"/>
              </w:rPr>
              <w:t>5670.2</w:t>
            </w:r>
          </w:p>
        </w:tc>
        <w:tc>
          <w:tcPr>
            <w:tcW w:type="dxa" w:w="1363"/>
            <w:vAlign w:val="center"/>
            <w:tcBorders>
              <w:bottom w:val="single" w:sz="8" w:color="000000"/>
            </w:tcBorders>
          </w:tcPr>
          <w:p>
            <w:pPr>
              <w:keepNext w:val="0"/>
              <w:spacing w:after="40" w:before="40" w:line="240" w:lineRule="auto"/>
              <w:jc w:val="center"/>
            </w:pPr>
            <w:r/>
            <w:r>
              <w:rPr>
                <w:rFonts w:ascii="Times New Roman" w:hAnsi="Times New Roman"/>
                <w:b w:val="0"/>
                <w:sz w:val="18"/>
              </w:rPr>
              <w:t>296.6</w:t>
            </w:r>
          </w:p>
        </w:tc>
        <w:tc>
          <w:tcPr>
            <w:tcW w:type="dxa" w:w="695"/>
            <w:vAlign w:val="center"/>
            <w:tcBorders>
              <w:bottom w:val="single" w:sz="8" w:color="000000"/>
            </w:tcBorders>
          </w:tcPr>
          <w:p>
            <w:pPr>
              <w:keepNext w:val="0"/>
              <w:spacing w:after="40" w:before="40" w:line="240" w:lineRule="auto"/>
              <w:jc w:val="center"/>
            </w:pPr>
            <w:r/>
            <w:r>
              <w:rPr>
                <w:rFonts w:ascii="Times New Roman" w:hAnsi="Times New Roman"/>
                <w:b w:val="0"/>
                <w:sz w:val="18"/>
              </w:rPr>
              <w:t>0.706</w:t>
            </w:r>
          </w:p>
        </w:tc>
        <w:tc>
          <w:tcPr>
            <w:tcW w:type="dxa" w:w="1338"/>
            <w:vAlign w:val="center"/>
            <w:tcBorders>
              <w:bottom w:val="single" w:sz="8" w:color="000000"/>
            </w:tcBorders>
          </w:tcPr>
          <w:p>
            <w:pPr>
              <w:keepNext w:val="0"/>
              <w:spacing w:after="40" w:before="40" w:line="240" w:lineRule="auto"/>
              <w:jc w:val="center"/>
            </w:pPr>
            <w:r/>
            <w:r>
              <w:rPr>
                <w:rFonts w:ascii="Times New Roman" w:hAnsi="Times New Roman"/>
                <w:b w:val="0"/>
                <w:sz w:val="18"/>
              </w:rPr>
              <w:t>-0.038</w:t>
            </w:r>
          </w:p>
        </w:tc>
        <w:tc>
          <w:tcPr>
            <w:tcW w:type="dxa" w:w="738"/>
            <w:vAlign w:val="center"/>
            <w:tcBorders>
              <w:bottom w:val="single" w:sz="8" w:color="000000"/>
            </w:tcBorders>
          </w:tcPr>
          <w:p>
            <w:pPr>
              <w:keepNext w:val="0"/>
              <w:spacing w:after="40" w:before="40" w:line="240" w:lineRule="auto"/>
              <w:jc w:val="center"/>
            </w:pPr>
            <w:r/>
            <w:r>
              <w:rPr>
                <w:rFonts w:ascii="Times New Roman" w:hAnsi="Times New Roman"/>
                <w:b w:val="0"/>
                <w:sz w:val="18"/>
              </w:rPr>
              <w:t>-4.4</w:t>
            </w:r>
          </w:p>
        </w:tc>
        <w:tc>
          <w:tcPr>
            <w:tcW w:type="dxa" w:w="1096"/>
            <w:vAlign w:val="center"/>
            <w:tcBorders>
              <w:bottom w:val="single" w:sz="8" w:color="000000"/>
            </w:tcBorders>
          </w:tcPr>
          <w:p>
            <w:pPr>
              <w:keepNext w:val="0"/>
              <w:spacing w:after="40" w:before="40" w:line="240" w:lineRule="auto"/>
              <w:jc w:val="center"/>
            </w:pPr>
            <w:r/>
            <w:r>
              <w:rPr>
                <w:rFonts w:ascii="Times New Roman" w:hAnsi="Times New Roman"/>
                <w:b w:val="0"/>
                <w:sz w:val="18"/>
              </w:rPr>
              <w:t>0.001</w:t>
            </w:r>
          </w:p>
        </w:tc>
        <w:tc>
          <w:tcPr>
            <w:tcW w:type="dxa" w:w="1829"/>
            <w:vAlign w:val="center"/>
            <w:tcBorders>
              <w:bottom w:val="single" w:sz="8" w:color="000000"/>
            </w:tcBorders>
          </w:tcPr>
          <w:p>
            <w:pPr>
              <w:keepNext w:val="0"/>
              <w:spacing w:after="40" w:before="40" w:line="240" w:lineRule="auto"/>
              <w:jc w:val="center"/>
            </w:pPr>
            <w:r/>
            <w:r>
              <w:rPr>
                <w:rFonts w:ascii="Times New Roman" w:hAnsi="Times New Roman"/>
                <w:b w:val="0"/>
                <w:sz w:val="18"/>
              </w:rPr>
              <w:t>0.408</w:t>
            </w:r>
          </w:p>
        </w:tc>
      </w:tr>
    </w:tbl>
    <w:p>
      <w:pPr>
        <w:spacing w:after="320" w:before="100" w:line="240" w:lineRule="auto"/>
        <w:jc w:val="both"/>
      </w:pPr>
      <w:r>
        <w:rPr>
          <w:rFonts w:ascii="Times New Roman" w:hAnsi="Times New Roman"/>
          <w:b w:val="0"/>
          <w:i/>
          <w:sz w:val="16"/>
        </w:rPr>
        <w:t>AIC is reported for the two global models and corrected AIC for the two local models; with 3,103 observations and nine global parameters the correction is 0.058, so the values are directly comparable. Moran’s I is computed on model residuals using an eight-nearest-neighbor row-standardized weight matrix with 999 conditional permutations, reported with its standardized z-score and pseudo-P, whose floor is 0.001. For the two local models the residuals were reconstructed from the saved local coefficient surfaces rather than taken from the fitting routine. An independent refit reproduces those surfaces to within 1e-13 and the reported bandwidths, information criteria and effective parameters exactly, so the reconstruction is the models’ own residuals. The two local rows use 999 permutations under a fixed seed and are exactly reproducible; the two global rows were computed earlier without a fixed seed, so their z and pseudo-P vary between runs while Moran’s I does not. Out-of-sample deviance explained uses the same spatially blocked folds as Table 2; for GWR and MGWR, coefficients for held-out counties are taken from the nearest training county, an approximation applied identically to both.</w:t>
      </w:r>
    </w:p>
    <w:p>
      <w:pPr>
        <w:keepNext/>
        <w:spacing w:after="100" w:before="280" w:line="240" w:lineRule="auto"/>
        <w:jc w:val="left"/>
      </w:pPr>
      <w:r>
        <w:rPr>
          <w:rFonts w:ascii="Times New Roman" w:hAnsi="Times New Roman"/>
          <w:b/>
          <w:i w:val="0"/>
          <w:sz w:val="20"/>
        </w:rPr>
        <w:t>Table 5. Permutation test of spatial variability in each coefficient surface (950 replicates)</w:t>
      </w:r>
    </w:p>
    <w:tbl>
      <w:tblPr>
        <w:tblW w:type="auto" w:w="0"/>
        <w:jc w:val="center"/>
        <w:tblLayout w:type="fixed"/>
        <w:tblLook w:firstColumn="1" w:firstRow="1" w:lastColumn="0" w:lastRow="0" w:noHBand="0" w:noVBand="1" w:val="04A0"/>
        <w:tblBorders>
          <w:top w:val="none"/>
          <w:bottom w:val="none"/>
          <w:left w:val="none"/>
          <w:right w:val="none"/>
          <w:insideH w:val="none"/>
          <w:insideV w:val="none"/>
        </w:tblBorders>
        <w:tblCellMar>
          <w:top w:w="60" w:type="dxa"/>
          <w:left w:w="108" w:type="dxa"/>
          <w:bottom w:w="60" w:type="dxa"/>
          <w:right w:w="108" w:type="dxa"/>
        </w:tblCellMar>
        <w:tblLayout w:type="fixed"/>
      </w:tblPr>
      <w:tblGrid>
        <w:gridCol w:w="1040"/>
        <w:gridCol w:w="1040"/>
        <w:gridCol w:w="1040"/>
        <w:gridCol w:w="1040"/>
        <w:gridCol w:w="1040"/>
        <w:gridCol w:w="1040"/>
        <w:gridCol w:w="1040"/>
        <w:gridCol w:w="1040"/>
        <w:gridCol w:w="1040"/>
      </w:tblGrid>
      <w:tr>
        <w:trPr>
          <w:tblHeader w:val="true"/>
        </w:trPr>
        <w:tc>
          <w:tcPr>
            <w:tcW w:type="dxa" w:w="1558"/>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Coefficient surface</w:t>
            </w:r>
          </w:p>
        </w:tc>
        <w:tc>
          <w:tcPr>
            <w:tcW w:type="dxa" w:w="1030"/>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Bandwidth</w:t>
            </w:r>
          </w:p>
        </w:tc>
        <w:tc>
          <w:tcPr>
            <w:tcW w:type="dxa" w:w="942"/>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Scale</w:t>
            </w:r>
          </w:p>
        </w:tc>
        <w:tc>
          <w:tcPr>
            <w:tcW w:type="dxa" w:w="942"/>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Observed surface SD</w:t>
            </w:r>
          </w:p>
        </w:tc>
        <w:tc>
          <w:tcPr>
            <w:tcW w:type="dxa" w:w="767"/>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Null median</w:t>
            </w:r>
          </w:p>
        </w:tc>
        <w:tc>
          <w:tcPr>
            <w:tcW w:type="dxa" w:w="942"/>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Observed / null median</w:t>
            </w:r>
          </w:p>
        </w:tc>
        <w:tc>
          <w:tcPr>
            <w:tcW w:type="dxa" w:w="679"/>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P</w:t>
            </w:r>
          </w:p>
        </w:tc>
        <w:tc>
          <w:tcPr>
            <w:tcW w:type="dxa" w:w="679"/>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Holm P</w:t>
            </w:r>
          </w:p>
        </w:tc>
        <w:tc>
          <w:tcPr>
            <w:tcW w:type="dxa" w:w="1821"/>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Benjamini-Hochberg P</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Ultraviolet exposure</w:t>
            </w:r>
          </w:p>
        </w:tc>
        <w:tc>
          <w:tcPr>
            <w:tcW w:type="dxa" w:w="1030"/>
            <w:vAlign w:val="center"/>
          </w:tcPr>
          <w:p>
            <w:pPr>
              <w:keepNext w:val="0"/>
              <w:spacing w:after="40" w:before="40" w:line="240" w:lineRule="auto"/>
              <w:jc w:val="center"/>
            </w:pPr>
            <w:r/>
            <w:r>
              <w:rPr>
                <w:rFonts w:ascii="Times New Roman" w:hAnsi="Times New Roman"/>
                <w:b w:val="0"/>
                <w:sz w:val="18"/>
              </w:rPr>
              <w:t>37</w:t>
            </w:r>
          </w:p>
        </w:tc>
        <w:tc>
          <w:tcPr>
            <w:tcW w:type="dxa" w:w="942"/>
            <w:vAlign w:val="center"/>
          </w:tcPr>
          <w:p>
            <w:pPr>
              <w:keepNext w:val="0"/>
              <w:spacing w:after="40" w:before="40" w:line="240" w:lineRule="auto"/>
              <w:jc w:val="center"/>
            </w:pPr>
            <w:r/>
            <w:r>
              <w:rPr>
                <w:rFonts w:ascii="Times New Roman" w:hAnsi="Times New Roman"/>
                <w:b w:val="0"/>
                <w:sz w:val="18"/>
              </w:rPr>
              <w:t>local</w:t>
            </w:r>
          </w:p>
        </w:tc>
        <w:tc>
          <w:tcPr>
            <w:tcW w:type="dxa" w:w="942"/>
            <w:vAlign w:val="center"/>
          </w:tcPr>
          <w:p>
            <w:pPr>
              <w:keepNext w:val="0"/>
              <w:spacing w:after="40" w:before="40" w:line="240" w:lineRule="auto"/>
              <w:jc w:val="center"/>
            </w:pPr>
            <w:r/>
            <w:r>
              <w:rPr>
                <w:rFonts w:ascii="Times New Roman" w:hAnsi="Times New Roman"/>
                <w:b w:val="0"/>
                <w:sz w:val="18"/>
              </w:rPr>
              <w:t>0.6302</w:t>
            </w:r>
          </w:p>
        </w:tc>
        <w:tc>
          <w:tcPr>
            <w:tcW w:type="dxa" w:w="767"/>
            <w:vAlign w:val="center"/>
          </w:tcPr>
          <w:p>
            <w:pPr>
              <w:keepNext w:val="0"/>
              <w:spacing w:after="40" w:before="40" w:line="240" w:lineRule="auto"/>
              <w:jc w:val="center"/>
            </w:pPr>
            <w:r/>
            <w:r>
              <w:rPr>
                <w:rFonts w:ascii="Times New Roman" w:hAnsi="Times New Roman"/>
                <w:b w:val="0"/>
                <w:sz w:val="18"/>
              </w:rPr>
              <w:t>0.0117</w:t>
            </w:r>
          </w:p>
        </w:tc>
        <w:tc>
          <w:tcPr>
            <w:tcW w:type="dxa" w:w="942"/>
            <w:vAlign w:val="center"/>
          </w:tcPr>
          <w:p>
            <w:pPr>
              <w:keepNext w:val="0"/>
              <w:spacing w:after="40" w:before="40" w:line="240" w:lineRule="auto"/>
              <w:jc w:val="center"/>
            </w:pPr>
            <w:r/>
            <w:r>
              <w:rPr>
                <w:rFonts w:ascii="Times New Roman" w:hAnsi="Times New Roman"/>
                <w:b w:val="0"/>
                <w:sz w:val="18"/>
              </w:rPr>
              <w:t>53.88</w:t>
            </w:r>
          </w:p>
        </w:tc>
        <w:tc>
          <w:tcPr>
            <w:tcW w:type="dxa" w:w="679"/>
            <w:vAlign w:val="center"/>
          </w:tcPr>
          <w:p>
            <w:pPr>
              <w:keepNext w:val="0"/>
              <w:spacing w:after="40" w:before="40" w:line="240" w:lineRule="auto"/>
              <w:jc w:val="center"/>
            </w:pPr>
            <w:r/>
            <w:r>
              <w:rPr>
                <w:rFonts w:ascii="Times New Roman" w:hAnsi="Times New Roman"/>
                <w:b w:val="0"/>
                <w:sz w:val="18"/>
              </w:rPr>
              <w:t>0.001</w:t>
            </w:r>
          </w:p>
        </w:tc>
        <w:tc>
          <w:tcPr>
            <w:tcW w:type="dxa" w:w="679"/>
            <w:vAlign w:val="center"/>
          </w:tcPr>
          <w:p>
            <w:pPr>
              <w:keepNext w:val="0"/>
              <w:spacing w:after="40" w:before="40" w:line="240" w:lineRule="auto"/>
              <w:jc w:val="center"/>
            </w:pPr>
            <w:r/>
            <w:r>
              <w:rPr>
                <w:rFonts w:ascii="Times New Roman" w:hAnsi="Times New Roman"/>
                <w:b w:val="0"/>
                <w:sz w:val="18"/>
              </w:rPr>
              <w:t>0.009</w:t>
            </w:r>
          </w:p>
        </w:tc>
        <w:tc>
          <w:tcPr>
            <w:tcW w:type="dxa" w:w="1821"/>
            <w:vAlign w:val="center"/>
          </w:tcPr>
          <w:p>
            <w:pPr>
              <w:keepNext w:val="0"/>
              <w:spacing w:after="40" w:before="40" w:line="240" w:lineRule="auto"/>
              <w:jc w:val="center"/>
            </w:pPr>
            <w:r/>
            <w:r>
              <w:rPr>
                <w:rFonts w:ascii="Times New Roman" w:hAnsi="Times New Roman"/>
                <w:b w:val="0"/>
                <w:sz w:val="18"/>
              </w:rPr>
              <w:t>0.009</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Household composition and disability</w:t>
            </w:r>
          </w:p>
        </w:tc>
        <w:tc>
          <w:tcPr>
            <w:tcW w:type="dxa" w:w="1030"/>
            <w:vAlign w:val="center"/>
          </w:tcPr>
          <w:p>
            <w:pPr>
              <w:keepNext w:val="0"/>
              <w:spacing w:after="40" w:before="40" w:line="240" w:lineRule="auto"/>
              <w:jc w:val="center"/>
            </w:pPr>
            <w:r/>
            <w:r>
              <w:rPr>
                <w:rFonts w:ascii="Times New Roman" w:hAnsi="Times New Roman"/>
                <w:b w:val="0"/>
                <w:sz w:val="18"/>
              </w:rPr>
              <w:t>282</w:t>
            </w:r>
          </w:p>
        </w:tc>
        <w:tc>
          <w:tcPr>
            <w:tcW w:type="dxa" w:w="942"/>
            <w:vAlign w:val="center"/>
          </w:tcPr>
          <w:p>
            <w:pPr>
              <w:keepNext w:val="0"/>
              <w:spacing w:after="40" w:before="40" w:line="240" w:lineRule="auto"/>
              <w:jc w:val="center"/>
            </w:pPr>
            <w:r/>
            <w:r>
              <w:rPr>
                <w:rFonts w:ascii="Times New Roman" w:hAnsi="Times New Roman"/>
                <w:b w:val="0"/>
                <w:sz w:val="18"/>
              </w:rPr>
              <w:t>local</w:t>
            </w:r>
          </w:p>
        </w:tc>
        <w:tc>
          <w:tcPr>
            <w:tcW w:type="dxa" w:w="942"/>
            <w:vAlign w:val="center"/>
          </w:tcPr>
          <w:p>
            <w:pPr>
              <w:keepNext w:val="0"/>
              <w:spacing w:after="40" w:before="40" w:line="240" w:lineRule="auto"/>
              <w:jc w:val="center"/>
            </w:pPr>
            <w:r/>
            <w:r>
              <w:rPr>
                <w:rFonts w:ascii="Times New Roman" w:hAnsi="Times New Roman"/>
                <w:b w:val="0"/>
                <w:sz w:val="18"/>
              </w:rPr>
              <w:t>0.0919</w:t>
            </w:r>
          </w:p>
        </w:tc>
        <w:tc>
          <w:tcPr>
            <w:tcW w:type="dxa" w:w="767"/>
            <w:vAlign w:val="center"/>
          </w:tcPr>
          <w:p>
            <w:pPr>
              <w:keepNext w:val="0"/>
              <w:spacing w:after="40" w:before="40" w:line="240" w:lineRule="auto"/>
              <w:jc w:val="center"/>
            </w:pPr>
            <w:r/>
            <w:r>
              <w:rPr>
                <w:rFonts w:ascii="Times New Roman" w:hAnsi="Times New Roman"/>
                <w:b w:val="0"/>
                <w:sz w:val="18"/>
              </w:rPr>
              <w:t>0.0030</w:t>
            </w:r>
          </w:p>
        </w:tc>
        <w:tc>
          <w:tcPr>
            <w:tcW w:type="dxa" w:w="942"/>
            <w:vAlign w:val="center"/>
          </w:tcPr>
          <w:p>
            <w:pPr>
              <w:keepNext w:val="0"/>
              <w:spacing w:after="40" w:before="40" w:line="240" w:lineRule="auto"/>
              <w:jc w:val="center"/>
            </w:pPr>
            <w:r/>
            <w:r>
              <w:rPr>
                <w:rFonts w:ascii="Times New Roman" w:hAnsi="Times New Roman"/>
                <w:b w:val="0"/>
                <w:sz w:val="18"/>
              </w:rPr>
              <w:t>30.48</w:t>
            </w:r>
          </w:p>
        </w:tc>
        <w:tc>
          <w:tcPr>
            <w:tcW w:type="dxa" w:w="679"/>
            <w:vAlign w:val="center"/>
          </w:tcPr>
          <w:p>
            <w:pPr>
              <w:keepNext w:val="0"/>
              <w:spacing w:after="40" w:before="40" w:line="240" w:lineRule="auto"/>
              <w:jc w:val="center"/>
            </w:pPr>
            <w:r/>
            <w:r>
              <w:rPr>
                <w:rFonts w:ascii="Times New Roman" w:hAnsi="Times New Roman"/>
                <w:b w:val="0"/>
                <w:sz w:val="18"/>
              </w:rPr>
              <w:t>0.002</w:t>
            </w:r>
          </w:p>
        </w:tc>
        <w:tc>
          <w:tcPr>
            <w:tcW w:type="dxa" w:w="679"/>
            <w:vAlign w:val="center"/>
          </w:tcPr>
          <w:p>
            <w:pPr>
              <w:keepNext w:val="0"/>
              <w:spacing w:after="40" w:before="40" w:line="240" w:lineRule="auto"/>
              <w:jc w:val="center"/>
            </w:pPr>
            <w:r/>
            <w:r>
              <w:rPr>
                <w:rFonts w:ascii="Times New Roman" w:hAnsi="Times New Roman"/>
                <w:b w:val="0"/>
                <w:sz w:val="18"/>
              </w:rPr>
              <w:t>0.017</w:t>
            </w:r>
          </w:p>
        </w:tc>
        <w:tc>
          <w:tcPr>
            <w:tcW w:type="dxa" w:w="1821"/>
            <w:vAlign w:val="center"/>
          </w:tcPr>
          <w:p>
            <w:pPr>
              <w:keepNext w:val="0"/>
              <w:spacing w:after="40" w:before="40" w:line="240" w:lineRule="auto"/>
              <w:jc w:val="center"/>
            </w:pPr>
            <w:r/>
            <w:r>
              <w:rPr>
                <w:rFonts w:ascii="Times New Roman" w:hAnsi="Times New Roman"/>
                <w:b w:val="0"/>
                <w:sz w:val="18"/>
              </w:rPr>
              <w:t>0.009</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Physical inactivity</w:t>
            </w:r>
          </w:p>
        </w:tc>
        <w:tc>
          <w:tcPr>
            <w:tcW w:type="dxa" w:w="1030"/>
            <w:vAlign w:val="center"/>
          </w:tcPr>
          <w:p>
            <w:pPr>
              <w:keepNext w:val="0"/>
              <w:spacing w:after="40" w:before="40" w:line="240" w:lineRule="auto"/>
              <w:jc w:val="center"/>
            </w:pPr>
            <w:r/>
            <w:r>
              <w:rPr>
                <w:rFonts w:ascii="Times New Roman" w:hAnsi="Times New Roman"/>
                <w:b w:val="0"/>
                <w:sz w:val="18"/>
              </w:rPr>
              <w:t>473</w:t>
            </w:r>
          </w:p>
        </w:tc>
        <w:tc>
          <w:tcPr>
            <w:tcW w:type="dxa" w:w="942"/>
            <w:vAlign w:val="center"/>
          </w:tcPr>
          <w:p>
            <w:pPr>
              <w:keepNext w:val="0"/>
              <w:spacing w:after="40" w:before="40" w:line="240" w:lineRule="auto"/>
              <w:jc w:val="center"/>
            </w:pPr>
            <w:r/>
            <w:r>
              <w:rPr>
                <w:rFonts w:ascii="Times New Roman" w:hAnsi="Times New Roman"/>
                <w:b w:val="0"/>
                <w:sz w:val="18"/>
              </w:rPr>
              <w:t>local</w:t>
            </w:r>
          </w:p>
        </w:tc>
        <w:tc>
          <w:tcPr>
            <w:tcW w:type="dxa" w:w="942"/>
            <w:vAlign w:val="center"/>
          </w:tcPr>
          <w:p>
            <w:pPr>
              <w:keepNext w:val="0"/>
              <w:spacing w:after="40" w:before="40" w:line="240" w:lineRule="auto"/>
              <w:jc w:val="center"/>
            </w:pPr>
            <w:r/>
            <w:r>
              <w:rPr>
                <w:rFonts w:ascii="Times New Roman" w:hAnsi="Times New Roman"/>
                <w:b w:val="0"/>
                <w:sz w:val="18"/>
              </w:rPr>
              <w:t>0.0901</w:t>
            </w:r>
          </w:p>
        </w:tc>
        <w:tc>
          <w:tcPr>
            <w:tcW w:type="dxa" w:w="767"/>
            <w:vAlign w:val="center"/>
          </w:tcPr>
          <w:p>
            <w:pPr>
              <w:keepNext w:val="0"/>
              <w:spacing w:after="40" w:before="40" w:line="240" w:lineRule="auto"/>
              <w:jc w:val="center"/>
            </w:pPr>
            <w:r/>
            <w:r>
              <w:rPr>
                <w:rFonts w:ascii="Times New Roman" w:hAnsi="Times New Roman"/>
                <w:b w:val="0"/>
                <w:sz w:val="18"/>
              </w:rPr>
              <w:t>0.0035</w:t>
            </w:r>
          </w:p>
        </w:tc>
        <w:tc>
          <w:tcPr>
            <w:tcW w:type="dxa" w:w="942"/>
            <w:vAlign w:val="center"/>
          </w:tcPr>
          <w:p>
            <w:pPr>
              <w:keepNext w:val="0"/>
              <w:spacing w:after="40" w:before="40" w:line="240" w:lineRule="auto"/>
              <w:jc w:val="center"/>
            </w:pPr>
            <w:r/>
            <w:r>
              <w:rPr>
                <w:rFonts w:ascii="Times New Roman" w:hAnsi="Times New Roman"/>
                <w:b w:val="0"/>
                <w:sz w:val="18"/>
              </w:rPr>
              <w:t>25.50</w:t>
            </w:r>
          </w:p>
        </w:tc>
        <w:tc>
          <w:tcPr>
            <w:tcW w:type="dxa" w:w="679"/>
            <w:vAlign w:val="center"/>
          </w:tcPr>
          <w:p>
            <w:pPr>
              <w:keepNext w:val="0"/>
              <w:spacing w:after="40" w:before="40" w:line="240" w:lineRule="auto"/>
              <w:jc w:val="center"/>
            </w:pPr>
            <w:r/>
            <w:r>
              <w:rPr>
                <w:rFonts w:ascii="Times New Roman" w:hAnsi="Times New Roman"/>
                <w:b w:val="0"/>
                <w:sz w:val="18"/>
              </w:rPr>
              <w:t>0.012</w:t>
            </w:r>
          </w:p>
        </w:tc>
        <w:tc>
          <w:tcPr>
            <w:tcW w:type="dxa" w:w="679"/>
            <w:vAlign w:val="center"/>
          </w:tcPr>
          <w:p>
            <w:pPr>
              <w:keepNext w:val="0"/>
              <w:spacing w:after="40" w:before="40" w:line="240" w:lineRule="auto"/>
              <w:jc w:val="center"/>
            </w:pPr>
            <w:r/>
            <w:r>
              <w:rPr>
                <w:rFonts w:ascii="Times New Roman" w:hAnsi="Times New Roman"/>
                <w:b w:val="0"/>
                <w:sz w:val="18"/>
              </w:rPr>
              <w:t>0.081</w:t>
            </w:r>
          </w:p>
        </w:tc>
        <w:tc>
          <w:tcPr>
            <w:tcW w:type="dxa" w:w="1821"/>
            <w:vAlign w:val="center"/>
          </w:tcPr>
          <w:p>
            <w:pPr>
              <w:keepNext w:val="0"/>
              <w:spacing w:after="40" w:before="40" w:line="240" w:lineRule="auto"/>
              <w:jc w:val="center"/>
            </w:pPr>
            <w:r/>
            <w:r>
              <w:rPr>
                <w:rFonts w:ascii="Times New Roman" w:hAnsi="Times New Roman"/>
                <w:b w:val="0"/>
                <w:sz w:val="18"/>
              </w:rPr>
              <w:t>0.035</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Infrastructural resilience</w:t>
            </w:r>
          </w:p>
        </w:tc>
        <w:tc>
          <w:tcPr>
            <w:tcW w:type="dxa" w:w="1030"/>
            <w:vAlign w:val="center"/>
          </w:tcPr>
          <w:p>
            <w:pPr>
              <w:keepNext w:val="0"/>
              <w:spacing w:after="40" w:before="40" w:line="240" w:lineRule="auto"/>
              <w:jc w:val="center"/>
            </w:pPr>
            <w:r/>
            <w:r>
              <w:rPr>
                <w:rFonts w:ascii="Times New Roman" w:hAnsi="Times New Roman"/>
                <w:b w:val="0"/>
                <w:sz w:val="18"/>
              </w:rPr>
              <w:t>1580</w:t>
            </w:r>
          </w:p>
        </w:tc>
        <w:tc>
          <w:tcPr>
            <w:tcW w:type="dxa" w:w="942"/>
            <w:vAlign w:val="center"/>
          </w:tcPr>
          <w:p>
            <w:pPr>
              <w:keepNext w:val="0"/>
              <w:spacing w:after="40" w:before="40" w:line="240" w:lineRule="auto"/>
              <w:jc w:val="center"/>
            </w:pPr>
            <w:r/>
            <w:r>
              <w:rPr>
                <w:rFonts w:ascii="Times New Roman" w:hAnsi="Times New Roman"/>
                <w:b w:val="0"/>
                <w:sz w:val="18"/>
              </w:rPr>
              <w:t>regional</w:t>
            </w:r>
          </w:p>
        </w:tc>
        <w:tc>
          <w:tcPr>
            <w:tcW w:type="dxa" w:w="942"/>
            <w:vAlign w:val="center"/>
          </w:tcPr>
          <w:p>
            <w:pPr>
              <w:keepNext w:val="0"/>
              <w:spacing w:after="40" w:before="40" w:line="240" w:lineRule="auto"/>
              <w:jc w:val="center"/>
            </w:pPr>
            <w:r/>
            <w:r>
              <w:rPr>
                <w:rFonts w:ascii="Times New Roman" w:hAnsi="Times New Roman"/>
                <w:b w:val="0"/>
                <w:sz w:val="18"/>
              </w:rPr>
              <w:t>0.0445</w:t>
            </w:r>
          </w:p>
        </w:tc>
        <w:tc>
          <w:tcPr>
            <w:tcW w:type="dxa" w:w="767"/>
            <w:vAlign w:val="center"/>
          </w:tcPr>
          <w:p>
            <w:pPr>
              <w:keepNext w:val="0"/>
              <w:spacing w:after="40" w:before="40" w:line="240" w:lineRule="auto"/>
              <w:jc w:val="center"/>
            </w:pPr>
            <w:r/>
            <w:r>
              <w:rPr>
                <w:rFonts w:ascii="Times New Roman" w:hAnsi="Times New Roman"/>
                <w:b w:val="0"/>
                <w:sz w:val="18"/>
              </w:rPr>
              <w:t>0.0042</w:t>
            </w:r>
          </w:p>
        </w:tc>
        <w:tc>
          <w:tcPr>
            <w:tcW w:type="dxa" w:w="942"/>
            <w:vAlign w:val="center"/>
          </w:tcPr>
          <w:p>
            <w:pPr>
              <w:keepNext w:val="0"/>
              <w:spacing w:after="40" w:before="40" w:line="240" w:lineRule="auto"/>
              <w:jc w:val="center"/>
            </w:pPr>
            <w:r/>
            <w:r>
              <w:rPr>
                <w:rFonts w:ascii="Times New Roman" w:hAnsi="Times New Roman"/>
                <w:b w:val="0"/>
                <w:sz w:val="18"/>
              </w:rPr>
              <w:t>10.49</w:t>
            </w:r>
          </w:p>
        </w:tc>
        <w:tc>
          <w:tcPr>
            <w:tcW w:type="dxa" w:w="679"/>
            <w:vAlign w:val="center"/>
          </w:tcPr>
          <w:p>
            <w:pPr>
              <w:keepNext w:val="0"/>
              <w:spacing w:after="40" w:before="40" w:line="240" w:lineRule="auto"/>
              <w:jc w:val="center"/>
            </w:pPr>
            <w:r/>
            <w:r>
              <w:rPr>
                <w:rFonts w:ascii="Times New Roman" w:hAnsi="Times New Roman"/>
                <w:b w:val="0"/>
                <w:sz w:val="18"/>
              </w:rPr>
              <w:t>0.047</w:t>
            </w:r>
          </w:p>
        </w:tc>
        <w:tc>
          <w:tcPr>
            <w:tcW w:type="dxa" w:w="679"/>
            <w:vAlign w:val="center"/>
          </w:tcPr>
          <w:p>
            <w:pPr>
              <w:keepNext w:val="0"/>
              <w:spacing w:after="40" w:before="40" w:line="240" w:lineRule="auto"/>
              <w:jc w:val="center"/>
            </w:pPr>
            <w:r/>
            <w:r>
              <w:rPr>
                <w:rFonts w:ascii="Times New Roman" w:hAnsi="Times New Roman"/>
                <w:b w:val="0"/>
                <w:sz w:val="18"/>
              </w:rPr>
              <w:t>0.284</w:t>
            </w:r>
          </w:p>
        </w:tc>
        <w:tc>
          <w:tcPr>
            <w:tcW w:type="dxa" w:w="1821"/>
            <w:vAlign w:val="center"/>
          </w:tcPr>
          <w:p>
            <w:pPr>
              <w:keepNext w:val="0"/>
              <w:spacing w:after="40" w:before="40" w:line="240" w:lineRule="auto"/>
              <w:jc w:val="center"/>
            </w:pPr>
            <w:r/>
            <w:r>
              <w:rPr>
                <w:rFonts w:ascii="Times New Roman" w:hAnsi="Times New Roman"/>
                <w:b w:val="0"/>
                <w:sz w:val="18"/>
              </w:rPr>
              <w:t>0.106</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Population aged 65 and over</w:t>
            </w:r>
          </w:p>
        </w:tc>
        <w:tc>
          <w:tcPr>
            <w:tcW w:type="dxa" w:w="1030"/>
            <w:vAlign w:val="center"/>
          </w:tcPr>
          <w:p>
            <w:pPr>
              <w:keepNext w:val="0"/>
              <w:spacing w:after="40" w:before="40" w:line="240" w:lineRule="auto"/>
              <w:jc w:val="center"/>
            </w:pPr>
            <w:r/>
            <w:r>
              <w:rPr>
                <w:rFonts w:ascii="Times New Roman" w:hAnsi="Times New Roman"/>
                <w:b w:val="0"/>
                <w:sz w:val="18"/>
              </w:rPr>
              <w:t>808</w:t>
            </w:r>
          </w:p>
        </w:tc>
        <w:tc>
          <w:tcPr>
            <w:tcW w:type="dxa" w:w="942"/>
            <w:vAlign w:val="center"/>
          </w:tcPr>
          <w:p>
            <w:pPr>
              <w:keepNext w:val="0"/>
              <w:spacing w:after="40" w:before="40" w:line="240" w:lineRule="auto"/>
              <w:jc w:val="center"/>
            </w:pPr>
            <w:r/>
            <w:r>
              <w:rPr>
                <w:rFonts w:ascii="Times New Roman" w:hAnsi="Times New Roman"/>
                <w:b w:val="0"/>
                <w:sz w:val="18"/>
              </w:rPr>
              <w:t>regional</w:t>
            </w:r>
          </w:p>
        </w:tc>
        <w:tc>
          <w:tcPr>
            <w:tcW w:type="dxa" w:w="942"/>
            <w:vAlign w:val="center"/>
          </w:tcPr>
          <w:p>
            <w:pPr>
              <w:keepNext w:val="0"/>
              <w:spacing w:after="40" w:before="40" w:line="240" w:lineRule="auto"/>
              <w:jc w:val="center"/>
            </w:pPr>
            <w:r/>
            <w:r>
              <w:rPr>
                <w:rFonts w:ascii="Times New Roman" w:hAnsi="Times New Roman"/>
                <w:b w:val="0"/>
                <w:sz w:val="18"/>
              </w:rPr>
              <w:t>0.0311</w:t>
            </w:r>
          </w:p>
        </w:tc>
        <w:tc>
          <w:tcPr>
            <w:tcW w:type="dxa" w:w="767"/>
            <w:vAlign w:val="center"/>
          </w:tcPr>
          <w:p>
            <w:pPr>
              <w:keepNext w:val="0"/>
              <w:spacing w:after="40" w:before="40" w:line="240" w:lineRule="auto"/>
              <w:jc w:val="center"/>
            </w:pPr>
            <w:r/>
            <w:r>
              <w:rPr>
                <w:rFonts w:ascii="Times New Roman" w:hAnsi="Times New Roman"/>
                <w:b w:val="0"/>
                <w:sz w:val="18"/>
              </w:rPr>
              <w:t>0.0052</w:t>
            </w:r>
          </w:p>
        </w:tc>
        <w:tc>
          <w:tcPr>
            <w:tcW w:type="dxa" w:w="942"/>
            <w:vAlign w:val="center"/>
          </w:tcPr>
          <w:p>
            <w:pPr>
              <w:keepNext w:val="0"/>
              <w:spacing w:after="40" w:before="40" w:line="240" w:lineRule="auto"/>
              <w:jc w:val="center"/>
            </w:pPr>
            <w:r/>
            <w:r>
              <w:rPr>
                <w:rFonts w:ascii="Times New Roman" w:hAnsi="Times New Roman"/>
                <w:b w:val="0"/>
                <w:sz w:val="18"/>
              </w:rPr>
              <w:t>5.99</w:t>
            </w:r>
          </w:p>
        </w:tc>
        <w:tc>
          <w:tcPr>
            <w:tcW w:type="dxa" w:w="679"/>
            <w:vAlign w:val="center"/>
          </w:tcPr>
          <w:p>
            <w:pPr>
              <w:keepNext w:val="0"/>
              <w:spacing w:after="40" w:before="40" w:line="240" w:lineRule="auto"/>
              <w:jc w:val="center"/>
            </w:pPr>
            <w:r/>
            <w:r>
              <w:rPr>
                <w:rFonts w:ascii="Times New Roman" w:hAnsi="Times New Roman"/>
                <w:b w:val="0"/>
                <w:sz w:val="18"/>
              </w:rPr>
              <w:t>0.161</w:t>
            </w:r>
          </w:p>
        </w:tc>
        <w:tc>
          <w:tcPr>
            <w:tcW w:type="dxa" w:w="679"/>
            <w:vAlign w:val="center"/>
          </w:tcPr>
          <w:p>
            <w:pPr>
              <w:keepNext w:val="0"/>
              <w:spacing w:after="40" w:before="40" w:line="240" w:lineRule="auto"/>
              <w:jc w:val="center"/>
            </w:pPr>
            <w:r/>
            <w:r>
              <w:rPr>
                <w:rFonts w:ascii="Times New Roman" w:hAnsi="Times New Roman"/>
                <w:b w:val="0"/>
                <w:sz w:val="18"/>
              </w:rPr>
              <w:t>0.804</w:t>
            </w:r>
          </w:p>
        </w:tc>
        <w:tc>
          <w:tcPr>
            <w:tcW w:type="dxa" w:w="1821"/>
            <w:vAlign w:val="center"/>
          </w:tcPr>
          <w:p>
            <w:pPr>
              <w:keepNext w:val="0"/>
              <w:spacing w:after="40" w:before="40" w:line="240" w:lineRule="auto"/>
              <w:jc w:val="center"/>
            </w:pPr>
            <w:r/>
            <w:r>
              <w:rPr>
                <w:rFonts w:ascii="Times New Roman" w:hAnsi="Times New Roman"/>
                <w:b w:val="0"/>
                <w:sz w:val="18"/>
              </w:rPr>
              <w:t>0.290</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Intercept</w:t>
            </w:r>
          </w:p>
        </w:tc>
        <w:tc>
          <w:tcPr>
            <w:tcW w:type="dxa" w:w="1030"/>
            <w:vAlign w:val="center"/>
          </w:tcPr>
          <w:p>
            <w:pPr>
              <w:keepNext w:val="0"/>
              <w:spacing w:after="40" w:before="40" w:line="240" w:lineRule="auto"/>
              <w:jc w:val="center"/>
            </w:pPr>
            <w:r/>
            <w:r>
              <w:rPr>
                <w:rFonts w:ascii="Times New Roman" w:hAnsi="Times New Roman"/>
                <w:b w:val="0"/>
                <w:sz w:val="18"/>
              </w:rPr>
              <w:t>3101</w:t>
            </w:r>
          </w:p>
        </w:tc>
        <w:tc>
          <w:tcPr>
            <w:tcW w:type="dxa" w:w="942"/>
            <w:vAlign w:val="center"/>
          </w:tcPr>
          <w:p>
            <w:pPr>
              <w:keepNext w:val="0"/>
              <w:spacing w:after="40" w:before="40" w:line="240" w:lineRule="auto"/>
              <w:jc w:val="center"/>
            </w:pPr>
            <w:r/>
            <w:r>
              <w:rPr>
                <w:rFonts w:ascii="Times New Roman" w:hAnsi="Times New Roman"/>
                <w:b w:val="0"/>
                <w:sz w:val="18"/>
              </w:rPr>
              <w:t>global</w:t>
            </w:r>
          </w:p>
        </w:tc>
        <w:tc>
          <w:tcPr>
            <w:tcW w:type="dxa" w:w="942"/>
            <w:vAlign w:val="center"/>
          </w:tcPr>
          <w:p>
            <w:pPr>
              <w:keepNext w:val="0"/>
              <w:spacing w:after="40" w:before="40" w:line="240" w:lineRule="auto"/>
              <w:jc w:val="center"/>
            </w:pPr>
            <w:r/>
            <w:r>
              <w:rPr>
                <w:rFonts w:ascii="Times New Roman" w:hAnsi="Times New Roman"/>
                <w:b w:val="0"/>
                <w:sz w:val="18"/>
              </w:rPr>
              <w:t>0.0023</w:t>
            </w:r>
          </w:p>
        </w:tc>
        <w:tc>
          <w:tcPr>
            <w:tcW w:type="dxa" w:w="767"/>
            <w:vAlign w:val="center"/>
          </w:tcPr>
          <w:p>
            <w:pPr>
              <w:keepNext w:val="0"/>
              <w:spacing w:after="40" w:before="40" w:line="240" w:lineRule="auto"/>
              <w:jc w:val="center"/>
            </w:pPr>
            <w:r/>
            <w:r>
              <w:rPr>
                <w:rFonts w:ascii="Times New Roman" w:hAnsi="Times New Roman"/>
                <w:b w:val="0"/>
                <w:sz w:val="18"/>
              </w:rPr>
              <w:t>0.0049</w:t>
            </w:r>
          </w:p>
        </w:tc>
        <w:tc>
          <w:tcPr>
            <w:tcW w:type="dxa" w:w="942"/>
            <w:vAlign w:val="center"/>
          </w:tcPr>
          <w:p>
            <w:pPr>
              <w:keepNext w:val="0"/>
              <w:spacing w:after="40" w:before="40" w:line="240" w:lineRule="auto"/>
              <w:jc w:val="center"/>
            </w:pPr>
            <w:r/>
            <w:r>
              <w:rPr>
                <w:rFonts w:ascii="Times New Roman" w:hAnsi="Times New Roman"/>
                <w:b w:val="0"/>
                <w:sz w:val="18"/>
              </w:rPr>
              <w:t>0.48</w:t>
            </w:r>
          </w:p>
        </w:tc>
        <w:tc>
          <w:tcPr>
            <w:tcW w:type="dxa" w:w="679"/>
            <w:vAlign w:val="center"/>
          </w:tcPr>
          <w:p>
            <w:pPr>
              <w:keepNext w:val="0"/>
              <w:spacing w:after="40" w:before="40" w:line="240" w:lineRule="auto"/>
              <w:jc w:val="center"/>
            </w:pPr>
            <w:r/>
            <w:r>
              <w:rPr>
                <w:rFonts w:ascii="Times New Roman" w:hAnsi="Times New Roman"/>
                <w:b w:val="0"/>
                <w:sz w:val="18"/>
              </w:rPr>
              <w:t>0.755</w:t>
            </w:r>
          </w:p>
        </w:tc>
        <w:tc>
          <w:tcPr>
            <w:tcW w:type="dxa" w:w="679"/>
            <w:vAlign w:val="center"/>
          </w:tcPr>
          <w:p>
            <w:pPr>
              <w:keepNext w:val="0"/>
              <w:spacing w:after="40" w:before="40" w:line="240" w:lineRule="auto"/>
              <w:jc w:val="center"/>
            </w:pPr>
            <w:r/>
            <w:r>
              <w:rPr>
                <w:rFonts w:ascii="Times New Roman" w:hAnsi="Times New Roman"/>
                <w:b w:val="0"/>
                <w:sz w:val="18"/>
              </w:rPr>
              <w:t>1.000</w:t>
            </w:r>
          </w:p>
        </w:tc>
        <w:tc>
          <w:tcPr>
            <w:tcW w:type="dxa" w:w="1821"/>
            <w:vAlign w:val="center"/>
          </w:tcPr>
          <w:p>
            <w:pPr>
              <w:keepNext w:val="0"/>
              <w:spacing w:after="40" w:before="40" w:line="240" w:lineRule="auto"/>
              <w:jc w:val="center"/>
            </w:pPr>
            <w:r/>
            <w:r>
              <w:rPr>
                <w:rFonts w:ascii="Times New Roman" w:hAnsi="Times New Roman"/>
                <w:b w:val="0"/>
                <w:sz w:val="18"/>
              </w:rPr>
              <w:t>0.755</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Population size</w:t>
            </w:r>
          </w:p>
        </w:tc>
        <w:tc>
          <w:tcPr>
            <w:tcW w:type="dxa" w:w="1030"/>
            <w:vAlign w:val="center"/>
          </w:tcPr>
          <w:p>
            <w:pPr>
              <w:keepNext w:val="0"/>
              <w:spacing w:after="40" w:before="40" w:line="240" w:lineRule="auto"/>
              <w:jc w:val="center"/>
            </w:pPr>
            <w:r/>
            <w:r>
              <w:rPr>
                <w:rFonts w:ascii="Times New Roman" w:hAnsi="Times New Roman"/>
                <w:b w:val="0"/>
                <w:sz w:val="18"/>
              </w:rPr>
              <w:t>258</w:t>
            </w:r>
          </w:p>
        </w:tc>
        <w:tc>
          <w:tcPr>
            <w:tcW w:type="dxa" w:w="942"/>
            <w:vAlign w:val="center"/>
          </w:tcPr>
          <w:p>
            <w:pPr>
              <w:keepNext w:val="0"/>
              <w:spacing w:after="40" w:before="40" w:line="240" w:lineRule="auto"/>
              <w:jc w:val="center"/>
            </w:pPr>
            <w:r/>
            <w:r>
              <w:rPr>
                <w:rFonts w:ascii="Times New Roman" w:hAnsi="Times New Roman"/>
                <w:b w:val="0"/>
                <w:sz w:val="18"/>
              </w:rPr>
              <w:t>local</w:t>
            </w:r>
          </w:p>
        </w:tc>
        <w:tc>
          <w:tcPr>
            <w:tcW w:type="dxa" w:w="942"/>
            <w:vAlign w:val="center"/>
          </w:tcPr>
          <w:p>
            <w:pPr>
              <w:keepNext w:val="0"/>
              <w:spacing w:after="40" w:before="40" w:line="240" w:lineRule="auto"/>
              <w:jc w:val="center"/>
            </w:pPr>
            <w:r/>
            <w:r>
              <w:rPr>
                <w:rFonts w:ascii="Times New Roman" w:hAnsi="Times New Roman"/>
                <w:b w:val="0"/>
                <w:sz w:val="18"/>
              </w:rPr>
              <w:t>0.1312</w:t>
            </w:r>
          </w:p>
        </w:tc>
        <w:tc>
          <w:tcPr>
            <w:tcW w:type="dxa" w:w="767"/>
            <w:vAlign w:val="center"/>
          </w:tcPr>
          <w:p>
            <w:pPr>
              <w:keepNext w:val="0"/>
              <w:spacing w:after="40" w:before="40" w:line="240" w:lineRule="auto"/>
              <w:jc w:val="center"/>
            </w:pPr>
            <w:r/>
            <w:r>
              <w:rPr>
                <w:rFonts w:ascii="Times New Roman" w:hAnsi="Times New Roman"/>
                <w:b w:val="0"/>
                <w:sz w:val="18"/>
              </w:rPr>
              <w:t>0.0881</w:t>
            </w:r>
          </w:p>
        </w:tc>
        <w:tc>
          <w:tcPr>
            <w:tcW w:type="dxa" w:w="942"/>
            <w:vAlign w:val="center"/>
          </w:tcPr>
          <w:p>
            <w:pPr>
              <w:keepNext w:val="0"/>
              <w:spacing w:after="40" w:before="40" w:line="240" w:lineRule="auto"/>
              <w:jc w:val="center"/>
            </w:pPr>
            <w:r/>
            <w:r>
              <w:rPr>
                <w:rFonts w:ascii="Times New Roman" w:hAnsi="Times New Roman"/>
                <w:b w:val="0"/>
                <w:sz w:val="18"/>
              </w:rPr>
              <w:t>1.49</w:t>
            </w:r>
          </w:p>
        </w:tc>
        <w:tc>
          <w:tcPr>
            <w:tcW w:type="dxa" w:w="679"/>
            <w:vAlign w:val="center"/>
          </w:tcPr>
          <w:p>
            <w:pPr>
              <w:keepNext w:val="0"/>
              <w:spacing w:after="40" w:before="40" w:line="240" w:lineRule="auto"/>
              <w:jc w:val="center"/>
            </w:pPr>
            <w:r/>
            <w:r>
              <w:rPr>
                <w:rFonts w:ascii="Times New Roman" w:hAnsi="Times New Roman"/>
                <w:b w:val="0"/>
                <w:sz w:val="18"/>
              </w:rPr>
              <w:t>0.430</w:t>
            </w:r>
          </w:p>
        </w:tc>
        <w:tc>
          <w:tcPr>
            <w:tcW w:type="dxa" w:w="679"/>
            <w:vAlign w:val="center"/>
          </w:tcPr>
          <w:p>
            <w:pPr>
              <w:keepNext w:val="0"/>
              <w:spacing w:after="40" w:before="40" w:line="240" w:lineRule="auto"/>
              <w:jc w:val="center"/>
            </w:pPr>
            <w:r/>
            <w:r>
              <w:rPr>
                <w:rFonts w:ascii="Times New Roman" w:hAnsi="Times New Roman"/>
                <w:b w:val="0"/>
                <w:sz w:val="18"/>
              </w:rPr>
              <w:t>1.000</w:t>
            </w:r>
          </w:p>
        </w:tc>
        <w:tc>
          <w:tcPr>
            <w:tcW w:type="dxa" w:w="1821"/>
            <w:vAlign w:val="center"/>
          </w:tcPr>
          <w:p>
            <w:pPr>
              <w:keepNext w:val="0"/>
              <w:spacing w:after="40" w:before="40" w:line="240" w:lineRule="auto"/>
              <w:jc w:val="center"/>
            </w:pPr>
            <w:r/>
            <w:r>
              <w:rPr>
                <w:rFonts w:ascii="Times New Roman" w:hAnsi="Times New Roman"/>
                <w:b w:val="0"/>
                <w:sz w:val="18"/>
              </w:rPr>
              <w:t>0.627</w:t>
            </w:r>
          </w:p>
        </w:tc>
      </w:tr>
      <w:tr>
        <w:trPr>
          <w:cantSplit w:val="true"/>
        </w:trPr>
        <w:tc>
          <w:tcPr>
            <w:tcW w:type="dxa" w:w="1558"/>
            <w:vAlign w:val="center"/>
          </w:tcPr>
          <w:p>
            <w:pPr>
              <w:keepNext w:val="0"/>
              <w:spacing w:after="40" w:before="40" w:line="240" w:lineRule="auto"/>
              <w:jc w:val="left"/>
            </w:pPr>
            <w:r/>
            <w:r>
              <w:rPr>
                <w:rFonts w:ascii="Times New Roman" w:hAnsi="Times New Roman"/>
                <w:b w:val="0"/>
                <w:sz w:val="18"/>
              </w:rPr>
              <w:t>Adults without a college degree</w:t>
            </w:r>
          </w:p>
        </w:tc>
        <w:tc>
          <w:tcPr>
            <w:tcW w:type="dxa" w:w="1030"/>
            <w:vAlign w:val="center"/>
          </w:tcPr>
          <w:p>
            <w:pPr>
              <w:keepNext w:val="0"/>
              <w:spacing w:after="40" w:before="40" w:line="240" w:lineRule="auto"/>
              <w:jc w:val="center"/>
            </w:pPr>
            <w:r/>
            <w:r>
              <w:rPr>
                <w:rFonts w:ascii="Times New Roman" w:hAnsi="Times New Roman"/>
                <w:b w:val="0"/>
                <w:sz w:val="18"/>
              </w:rPr>
              <w:t>3002</w:t>
            </w:r>
          </w:p>
        </w:tc>
        <w:tc>
          <w:tcPr>
            <w:tcW w:type="dxa" w:w="942"/>
            <w:vAlign w:val="center"/>
          </w:tcPr>
          <w:p>
            <w:pPr>
              <w:keepNext w:val="0"/>
              <w:spacing w:after="40" w:before="40" w:line="240" w:lineRule="auto"/>
              <w:jc w:val="center"/>
            </w:pPr>
            <w:r/>
            <w:r>
              <w:rPr>
                <w:rFonts w:ascii="Times New Roman" w:hAnsi="Times New Roman"/>
                <w:b w:val="0"/>
                <w:sz w:val="18"/>
              </w:rPr>
              <w:t>global</w:t>
            </w:r>
          </w:p>
        </w:tc>
        <w:tc>
          <w:tcPr>
            <w:tcW w:type="dxa" w:w="942"/>
            <w:vAlign w:val="center"/>
          </w:tcPr>
          <w:p>
            <w:pPr>
              <w:keepNext w:val="0"/>
              <w:spacing w:after="40" w:before="40" w:line="240" w:lineRule="auto"/>
              <w:jc w:val="center"/>
            </w:pPr>
            <w:r/>
            <w:r>
              <w:rPr>
                <w:rFonts w:ascii="Times New Roman" w:hAnsi="Times New Roman"/>
                <w:b w:val="0"/>
                <w:sz w:val="18"/>
              </w:rPr>
              <w:t>0.0084</w:t>
            </w:r>
          </w:p>
        </w:tc>
        <w:tc>
          <w:tcPr>
            <w:tcW w:type="dxa" w:w="767"/>
            <w:vAlign w:val="center"/>
          </w:tcPr>
          <w:p>
            <w:pPr>
              <w:keepNext w:val="0"/>
              <w:spacing w:after="40" w:before="40" w:line="240" w:lineRule="auto"/>
              <w:jc w:val="center"/>
            </w:pPr>
            <w:r/>
            <w:r>
              <w:rPr>
                <w:rFonts w:ascii="Times New Roman" w:hAnsi="Times New Roman"/>
                <w:b w:val="0"/>
                <w:sz w:val="18"/>
              </w:rPr>
              <w:t>0.0292</w:t>
            </w:r>
          </w:p>
        </w:tc>
        <w:tc>
          <w:tcPr>
            <w:tcW w:type="dxa" w:w="942"/>
            <w:vAlign w:val="center"/>
          </w:tcPr>
          <w:p>
            <w:pPr>
              <w:keepNext w:val="0"/>
              <w:spacing w:after="40" w:before="40" w:line="240" w:lineRule="auto"/>
              <w:jc w:val="center"/>
            </w:pPr>
            <w:r/>
            <w:r>
              <w:rPr>
                <w:rFonts w:ascii="Times New Roman" w:hAnsi="Times New Roman"/>
                <w:b w:val="0"/>
                <w:sz w:val="18"/>
              </w:rPr>
              <w:t>0.29</w:t>
            </w:r>
          </w:p>
        </w:tc>
        <w:tc>
          <w:tcPr>
            <w:tcW w:type="dxa" w:w="679"/>
            <w:vAlign w:val="center"/>
          </w:tcPr>
          <w:p>
            <w:pPr>
              <w:keepNext w:val="0"/>
              <w:spacing w:after="40" w:before="40" w:line="240" w:lineRule="auto"/>
              <w:jc w:val="center"/>
            </w:pPr>
            <w:r/>
            <w:r>
              <w:rPr>
                <w:rFonts w:ascii="Times New Roman" w:hAnsi="Times New Roman"/>
                <w:b w:val="0"/>
                <w:sz w:val="18"/>
              </w:rPr>
              <w:t>0.680</w:t>
            </w:r>
          </w:p>
        </w:tc>
        <w:tc>
          <w:tcPr>
            <w:tcW w:type="dxa" w:w="679"/>
            <w:vAlign w:val="center"/>
          </w:tcPr>
          <w:p>
            <w:pPr>
              <w:keepNext w:val="0"/>
              <w:spacing w:after="40" w:before="40" w:line="240" w:lineRule="auto"/>
              <w:jc w:val="center"/>
            </w:pPr>
            <w:r/>
            <w:r>
              <w:rPr>
                <w:rFonts w:ascii="Times New Roman" w:hAnsi="Times New Roman"/>
                <w:b w:val="0"/>
                <w:sz w:val="18"/>
              </w:rPr>
              <w:t>1.000</w:t>
            </w:r>
          </w:p>
        </w:tc>
        <w:tc>
          <w:tcPr>
            <w:tcW w:type="dxa" w:w="1821"/>
            <w:vAlign w:val="center"/>
          </w:tcPr>
          <w:p>
            <w:pPr>
              <w:keepNext w:val="0"/>
              <w:spacing w:after="40" w:before="40" w:line="240" w:lineRule="auto"/>
              <w:jc w:val="center"/>
            </w:pPr>
            <w:r/>
            <w:r>
              <w:rPr>
                <w:rFonts w:ascii="Times New Roman" w:hAnsi="Times New Roman"/>
                <w:b w:val="0"/>
                <w:sz w:val="18"/>
              </w:rPr>
              <w:t>0.755</w:t>
            </w:r>
          </w:p>
        </w:tc>
      </w:tr>
      <w:tr>
        <w:trPr>
          <w:cantSplit w:val="true"/>
        </w:trPr>
        <w:tc>
          <w:tcPr>
            <w:tcW w:type="dxa" w:w="1558"/>
            <w:vAlign w:val="center"/>
            <w:tcBorders>
              <w:bottom w:val="single" w:sz="8" w:color="000000"/>
            </w:tcBorders>
          </w:tcPr>
          <w:p>
            <w:pPr>
              <w:keepNext w:val="0"/>
              <w:spacing w:after="40" w:before="40" w:line="240" w:lineRule="auto"/>
              <w:jc w:val="left"/>
            </w:pPr>
            <w:r/>
            <w:r>
              <w:rPr>
                <w:rFonts w:ascii="Times New Roman" w:hAnsi="Times New Roman"/>
                <w:b w:val="0"/>
                <w:sz w:val="18"/>
              </w:rPr>
              <w:t>Environmental resilience</w:t>
            </w:r>
          </w:p>
        </w:tc>
        <w:tc>
          <w:tcPr>
            <w:tcW w:type="dxa" w:w="1030"/>
            <w:vAlign w:val="center"/>
            <w:tcBorders>
              <w:bottom w:val="single" w:sz="8" w:color="000000"/>
            </w:tcBorders>
          </w:tcPr>
          <w:p>
            <w:pPr>
              <w:keepNext w:val="0"/>
              <w:spacing w:after="40" w:before="40" w:line="240" w:lineRule="auto"/>
              <w:jc w:val="center"/>
            </w:pPr>
            <w:r/>
            <w:r>
              <w:rPr>
                <w:rFonts w:ascii="Times New Roman" w:hAnsi="Times New Roman"/>
                <w:b w:val="0"/>
                <w:sz w:val="18"/>
              </w:rPr>
              <w:t>2914</w:t>
            </w:r>
          </w:p>
        </w:tc>
        <w:tc>
          <w:tcPr>
            <w:tcW w:type="dxa" w:w="942"/>
            <w:vAlign w:val="center"/>
            <w:tcBorders>
              <w:bottom w:val="single" w:sz="8" w:color="000000"/>
            </w:tcBorders>
          </w:tcPr>
          <w:p>
            <w:pPr>
              <w:keepNext w:val="0"/>
              <w:spacing w:after="40" w:before="40" w:line="240" w:lineRule="auto"/>
              <w:jc w:val="center"/>
            </w:pPr>
            <w:r/>
            <w:r>
              <w:rPr>
                <w:rFonts w:ascii="Times New Roman" w:hAnsi="Times New Roman"/>
                <w:b w:val="0"/>
                <w:sz w:val="18"/>
              </w:rPr>
              <w:t>global</w:t>
            </w:r>
          </w:p>
        </w:tc>
        <w:tc>
          <w:tcPr>
            <w:tcW w:type="dxa" w:w="942"/>
            <w:vAlign w:val="center"/>
            <w:tcBorders>
              <w:bottom w:val="single" w:sz="8" w:color="000000"/>
            </w:tcBorders>
          </w:tcPr>
          <w:p>
            <w:pPr>
              <w:keepNext w:val="0"/>
              <w:spacing w:after="40" w:before="40" w:line="240" w:lineRule="auto"/>
              <w:jc w:val="center"/>
            </w:pPr>
            <w:r/>
            <w:r>
              <w:rPr>
                <w:rFonts w:ascii="Times New Roman" w:hAnsi="Times New Roman"/>
                <w:b w:val="0"/>
                <w:sz w:val="18"/>
              </w:rPr>
              <w:t>0.0110</w:t>
            </w:r>
          </w:p>
        </w:tc>
        <w:tc>
          <w:tcPr>
            <w:tcW w:type="dxa" w:w="767"/>
            <w:vAlign w:val="center"/>
            <w:tcBorders>
              <w:bottom w:val="single" w:sz="8" w:color="000000"/>
            </w:tcBorders>
          </w:tcPr>
          <w:p>
            <w:pPr>
              <w:keepNext w:val="0"/>
              <w:spacing w:after="40" w:before="40" w:line="240" w:lineRule="auto"/>
              <w:jc w:val="center"/>
            </w:pPr>
            <w:r/>
            <w:r>
              <w:rPr>
                <w:rFonts w:ascii="Times New Roman" w:hAnsi="Times New Roman"/>
                <w:b w:val="0"/>
                <w:sz w:val="18"/>
              </w:rPr>
              <w:t>0.0101</w:t>
            </w:r>
          </w:p>
        </w:tc>
        <w:tc>
          <w:tcPr>
            <w:tcW w:type="dxa" w:w="942"/>
            <w:vAlign w:val="center"/>
            <w:tcBorders>
              <w:bottom w:val="single" w:sz="8" w:color="000000"/>
            </w:tcBorders>
          </w:tcPr>
          <w:p>
            <w:pPr>
              <w:keepNext w:val="0"/>
              <w:spacing w:after="40" w:before="40" w:line="240" w:lineRule="auto"/>
              <w:jc w:val="center"/>
            </w:pPr>
            <w:r/>
            <w:r>
              <w:rPr>
                <w:rFonts w:ascii="Times New Roman" w:hAnsi="Times New Roman"/>
                <w:b w:val="0"/>
                <w:sz w:val="18"/>
              </w:rPr>
              <w:t>1.09</w:t>
            </w:r>
          </w:p>
        </w:tc>
        <w:tc>
          <w:tcPr>
            <w:tcW w:type="dxa" w:w="679"/>
            <w:vAlign w:val="center"/>
            <w:tcBorders>
              <w:bottom w:val="single" w:sz="8" w:color="000000"/>
            </w:tcBorders>
          </w:tcPr>
          <w:p>
            <w:pPr>
              <w:keepNext w:val="0"/>
              <w:spacing w:after="40" w:before="40" w:line="240" w:lineRule="auto"/>
              <w:jc w:val="center"/>
            </w:pPr>
            <w:r/>
            <w:r>
              <w:rPr>
                <w:rFonts w:ascii="Times New Roman" w:hAnsi="Times New Roman"/>
                <w:b w:val="0"/>
                <w:sz w:val="18"/>
              </w:rPr>
              <w:t>0.488</w:t>
            </w:r>
          </w:p>
        </w:tc>
        <w:tc>
          <w:tcPr>
            <w:tcW w:type="dxa" w:w="679"/>
            <w:vAlign w:val="center"/>
            <w:tcBorders>
              <w:bottom w:val="single" w:sz="8" w:color="000000"/>
            </w:tcBorders>
          </w:tcPr>
          <w:p>
            <w:pPr>
              <w:keepNext w:val="0"/>
              <w:spacing w:after="40" w:before="40" w:line="240" w:lineRule="auto"/>
              <w:jc w:val="center"/>
            </w:pPr>
            <w:r/>
            <w:r>
              <w:rPr>
                <w:rFonts w:ascii="Times New Roman" w:hAnsi="Times New Roman"/>
                <w:b w:val="0"/>
                <w:sz w:val="18"/>
              </w:rPr>
              <w:t>1.000</w:t>
            </w:r>
          </w:p>
        </w:tc>
        <w:tc>
          <w:tcPr>
            <w:tcW w:type="dxa" w:w="1821"/>
            <w:vAlign w:val="center"/>
            <w:tcBorders>
              <w:bottom w:val="single" w:sz="8" w:color="000000"/>
            </w:tcBorders>
          </w:tcPr>
          <w:p>
            <w:pPr>
              <w:keepNext w:val="0"/>
              <w:spacing w:after="40" w:before="40" w:line="240" w:lineRule="auto"/>
              <w:jc w:val="center"/>
            </w:pPr>
            <w:r/>
            <w:r>
              <w:rPr>
                <w:rFonts w:ascii="Times New Roman" w:hAnsi="Times New Roman"/>
                <w:b w:val="0"/>
                <w:sz w:val="18"/>
              </w:rPr>
              <w:t>0.627</w:t>
            </w:r>
          </w:p>
        </w:tc>
      </w:tr>
    </w:tbl>
    <w:p>
      <w:pPr>
        <w:spacing w:after="320" w:before="100" w:line="240" w:lineRule="auto"/>
        <w:jc w:val="both"/>
      </w:pPr>
      <w:r>
        <w:rPr>
          <w:rFonts w:ascii="Times New Roman" w:hAnsi="Times New Roman"/>
          <w:b w:val="0"/>
          <w:i/>
          <w:sz w:val="16"/>
        </w:rPr>
        <w:t>Each replicate permutes the county coordinates, re-searches all nine bandwidths and refits the multiscale model. P is the empirical proportion of replicates whose surface standard deviation matches or exceeds the observed value, computed as one plus that count over one plus the number of replicates, so it cannot equal zero; the attainable minimum with 950 replicates is 0.0011 and 0.0095 after Holm correction across nine surfaces. Non-stationarity is declared on the Holm-adjusted value. Scale labels follow the convention used above and are descriptive.</w:t>
      </w:r>
    </w:p>
    <w:p>
      <w:pPr>
        <w:keepNext/>
        <w:spacing w:after="100" w:before="280" w:line="240" w:lineRule="auto"/>
        <w:jc w:val="left"/>
      </w:pPr>
      <w:r>
        <w:rPr>
          <w:rFonts w:ascii="Times New Roman" w:hAnsi="Times New Roman"/>
          <w:b/>
          <w:i w:val="0"/>
          <w:sz w:val="20"/>
        </w:rPr>
        <w:t>Table 6. Wave-specific spatial-model comparison and convergence</w:t>
      </w:r>
    </w:p>
    <w:tbl>
      <w:tblPr>
        <w:tblW w:type="auto" w:w="0"/>
        <w:jc w:val="center"/>
        <w:tblLayout w:type="fixed"/>
        <w:tblLook w:firstColumn="1" w:firstRow="1" w:lastColumn="0" w:lastRow="0" w:noHBand="0" w:noVBand="1" w:val="04A0"/>
        <w:tblBorders>
          <w:top w:val="none"/>
          <w:bottom w:val="none"/>
          <w:left w:val="none"/>
          <w:right w:val="none"/>
          <w:insideH w:val="none"/>
          <w:insideV w:val="none"/>
        </w:tblBorders>
        <w:tblCellMar>
          <w:top w:w="60" w:type="dxa"/>
          <w:left w:w="108" w:type="dxa"/>
          <w:bottom w:w="60" w:type="dxa"/>
          <w:right w:w="108" w:type="dxa"/>
        </w:tblCellMar>
        <w:tblLayout w:type="fixed"/>
      </w:tblPr>
      <w:tblGrid>
        <w:gridCol w:w="936"/>
        <w:gridCol w:w="936"/>
        <w:gridCol w:w="936"/>
        <w:gridCol w:w="936"/>
        <w:gridCol w:w="936"/>
        <w:gridCol w:w="936"/>
        <w:gridCol w:w="936"/>
        <w:gridCol w:w="936"/>
        <w:gridCol w:w="936"/>
        <w:gridCol w:w="936"/>
      </w:tblGrid>
      <w:tr>
        <w:trPr>
          <w:tblHeader w:val="true"/>
        </w:trPr>
        <w:tc>
          <w:tcPr>
            <w:tcW w:type="dxa" w:w="954"/>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Window</w:t>
            </w:r>
          </w:p>
        </w:tc>
        <w:tc>
          <w:tcPr>
            <w:tcW w:type="dxa" w:w="776"/>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Deaths in window</w:t>
            </w:r>
          </w:p>
        </w:tc>
        <w:tc>
          <w:tcPr>
            <w:tcW w:type="dxa" w:w="776"/>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OLS AIC</w:t>
            </w:r>
          </w:p>
        </w:tc>
        <w:tc>
          <w:tcPr>
            <w:tcW w:type="dxa" w:w="865"/>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Spatial lag AIC</w:t>
            </w:r>
          </w:p>
        </w:tc>
        <w:tc>
          <w:tcPr>
            <w:tcW w:type="dxa" w:w="776"/>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GWR AICc</w:t>
            </w:r>
          </w:p>
        </w:tc>
        <w:tc>
          <w:tcPr>
            <w:tcW w:type="dxa" w:w="776"/>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MGWR AICc</w:t>
            </w:r>
          </w:p>
        </w:tc>
        <w:tc>
          <w:tcPr>
            <w:tcW w:type="dxa" w:w="687"/>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MGWR gain over GWR</w:t>
            </w:r>
          </w:p>
        </w:tc>
        <w:tc>
          <w:tcPr>
            <w:tcW w:type="dxa" w:w="1132"/>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Backfit iterations</w:t>
            </w:r>
          </w:p>
        </w:tc>
        <w:tc>
          <w:tcPr>
            <w:tcW w:type="dxa" w:w="1043"/>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Intercept bandwidth</w:t>
            </w:r>
          </w:p>
        </w:tc>
        <w:tc>
          <w:tcPr>
            <w:tcW w:type="dxa" w:w="1577"/>
            <w:vAlign w:val="center"/>
            <w:tcBorders>
              <w:top w:val="single" w:sz="8" w:color="000000"/>
              <w:bottom w:val="single" w:sz="6" w:color="000000"/>
            </w:tcBorders>
          </w:tcPr>
          <w:p>
            <w:pPr>
              <w:keepNext w:val="0"/>
              <w:spacing w:after="40" w:before="40" w:line="240" w:lineRule="auto"/>
              <w:jc w:val="center"/>
            </w:pPr>
            <w:r/>
            <w:r>
              <w:rPr>
                <w:rFonts w:ascii="Times New Roman" w:hAnsi="Times New Roman"/>
                <w:b/>
                <w:sz w:val="18"/>
              </w:rPr>
              <w:t>log(population) bandwidth</w:t>
            </w:r>
          </w:p>
        </w:tc>
      </w:tr>
      <w:tr>
        <w:trPr>
          <w:cantSplit w:val="true"/>
        </w:trPr>
        <w:tc>
          <w:tcPr>
            <w:tcW w:type="dxa" w:w="954"/>
            <w:vAlign w:val="center"/>
          </w:tcPr>
          <w:p>
            <w:pPr>
              <w:keepNext w:val="0"/>
              <w:spacing w:after="40" w:before="40" w:line="240" w:lineRule="auto"/>
              <w:jc w:val="left"/>
            </w:pPr>
            <w:r/>
            <w:r>
              <w:rPr>
                <w:rFonts w:ascii="Times New Roman" w:hAnsi="Times New Roman"/>
                <w:b w:val="0"/>
                <w:sz w:val="18"/>
              </w:rPr>
              <w:t>Jan–May 2020</w:t>
            </w:r>
          </w:p>
        </w:tc>
        <w:tc>
          <w:tcPr>
            <w:tcW w:type="dxa" w:w="776"/>
            <w:vAlign w:val="center"/>
          </w:tcPr>
          <w:p>
            <w:pPr>
              <w:keepNext w:val="0"/>
              <w:spacing w:after="40" w:before="40" w:line="240" w:lineRule="auto"/>
              <w:jc w:val="center"/>
            </w:pPr>
            <w:r/>
            <w:r>
              <w:rPr>
                <w:rFonts w:ascii="Times New Roman" w:hAnsi="Times New Roman"/>
                <w:b w:val="0"/>
                <w:sz w:val="18"/>
              </w:rPr>
              <w:t>82995</w:t>
            </w:r>
          </w:p>
        </w:tc>
        <w:tc>
          <w:tcPr>
            <w:tcW w:type="dxa" w:w="776"/>
            <w:vAlign w:val="center"/>
          </w:tcPr>
          <w:p>
            <w:pPr>
              <w:keepNext w:val="0"/>
              <w:spacing w:after="40" w:before="40" w:line="240" w:lineRule="auto"/>
              <w:jc w:val="center"/>
            </w:pPr>
            <w:r/>
            <w:r>
              <w:rPr>
                <w:rFonts w:ascii="Times New Roman" w:hAnsi="Times New Roman"/>
                <w:b w:val="0"/>
                <w:sz w:val="18"/>
              </w:rPr>
              <w:t>8571.0</w:t>
            </w:r>
          </w:p>
        </w:tc>
        <w:tc>
          <w:tcPr>
            <w:tcW w:type="dxa" w:w="865"/>
            <w:vAlign w:val="center"/>
          </w:tcPr>
          <w:p>
            <w:pPr>
              <w:keepNext w:val="0"/>
              <w:spacing w:after="40" w:before="40" w:line="240" w:lineRule="auto"/>
              <w:jc w:val="center"/>
            </w:pPr>
            <w:r/>
            <w:r>
              <w:rPr>
                <w:rFonts w:ascii="Times New Roman" w:hAnsi="Times New Roman"/>
                <w:b w:val="0"/>
                <w:sz w:val="18"/>
              </w:rPr>
              <w:t>7631.2</w:t>
            </w:r>
          </w:p>
        </w:tc>
        <w:tc>
          <w:tcPr>
            <w:tcW w:type="dxa" w:w="776"/>
            <w:vAlign w:val="center"/>
          </w:tcPr>
          <w:p>
            <w:pPr>
              <w:keepNext w:val="0"/>
              <w:spacing w:after="40" w:before="40" w:line="240" w:lineRule="auto"/>
              <w:jc w:val="center"/>
            </w:pPr>
            <w:r/>
            <w:r>
              <w:rPr>
                <w:rFonts w:ascii="Times New Roman" w:hAnsi="Times New Roman"/>
                <w:b w:val="0"/>
                <w:sz w:val="18"/>
              </w:rPr>
              <w:t>7360.5</w:t>
            </w:r>
          </w:p>
        </w:tc>
        <w:tc>
          <w:tcPr>
            <w:tcW w:type="dxa" w:w="776"/>
            <w:vAlign w:val="center"/>
          </w:tcPr>
          <w:p>
            <w:pPr>
              <w:keepNext w:val="0"/>
              <w:spacing w:after="40" w:before="40" w:line="240" w:lineRule="auto"/>
              <w:jc w:val="center"/>
            </w:pPr>
            <w:r/>
            <w:r>
              <w:rPr>
                <w:rFonts w:ascii="Times New Roman" w:hAnsi="Times New Roman"/>
                <w:b w:val="0"/>
                <w:sz w:val="18"/>
              </w:rPr>
              <w:t>6954.6</w:t>
            </w:r>
          </w:p>
        </w:tc>
        <w:tc>
          <w:tcPr>
            <w:tcW w:type="dxa" w:w="687"/>
            <w:vAlign w:val="center"/>
          </w:tcPr>
          <w:p>
            <w:pPr>
              <w:keepNext w:val="0"/>
              <w:spacing w:after="40" w:before="40" w:line="240" w:lineRule="auto"/>
              <w:jc w:val="center"/>
            </w:pPr>
            <w:r/>
            <w:r>
              <w:rPr>
                <w:rFonts w:ascii="Times New Roman" w:hAnsi="Times New Roman"/>
                <w:b w:val="0"/>
                <w:sz w:val="18"/>
              </w:rPr>
              <w:t>405.9</w:t>
            </w:r>
          </w:p>
        </w:tc>
        <w:tc>
          <w:tcPr>
            <w:tcW w:type="dxa" w:w="1132"/>
            <w:vAlign w:val="center"/>
          </w:tcPr>
          <w:p>
            <w:pPr>
              <w:keepNext w:val="0"/>
              <w:spacing w:after="40" w:before="40" w:line="240" w:lineRule="auto"/>
              <w:jc w:val="center"/>
            </w:pPr>
            <w:r/>
            <w:r>
              <w:rPr>
                <w:rFonts w:ascii="Times New Roman" w:hAnsi="Times New Roman"/>
                <w:b w:val="0"/>
                <w:sz w:val="18"/>
              </w:rPr>
              <w:t>157</w:t>
            </w:r>
          </w:p>
        </w:tc>
        <w:tc>
          <w:tcPr>
            <w:tcW w:type="dxa" w:w="1043"/>
            <w:vAlign w:val="center"/>
          </w:tcPr>
          <w:p>
            <w:pPr>
              <w:keepNext w:val="0"/>
              <w:spacing w:after="40" w:before="40" w:line="240" w:lineRule="auto"/>
              <w:jc w:val="center"/>
            </w:pPr>
            <w:r/>
            <w:r>
              <w:rPr>
                <w:rFonts w:ascii="Times New Roman" w:hAnsi="Times New Roman"/>
                <w:b w:val="0"/>
                <w:sz w:val="18"/>
              </w:rPr>
              <w:t>21</w:t>
            </w:r>
          </w:p>
        </w:tc>
        <w:tc>
          <w:tcPr>
            <w:tcW w:type="dxa" w:w="1577"/>
            <w:vAlign w:val="center"/>
          </w:tcPr>
          <w:p>
            <w:pPr>
              <w:keepNext w:val="0"/>
              <w:spacing w:after="40" w:before="40" w:line="240" w:lineRule="auto"/>
              <w:jc w:val="center"/>
            </w:pPr>
            <w:r/>
            <w:r>
              <w:rPr>
                <w:rFonts w:ascii="Times New Roman" w:hAnsi="Times New Roman"/>
                <w:b w:val="0"/>
                <w:sz w:val="18"/>
              </w:rPr>
              <w:t>101</w:t>
            </w:r>
          </w:p>
        </w:tc>
      </w:tr>
      <w:tr>
        <w:trPr>
          <w:cantSplit w:val="true"/>
        </w:trPr>
        <w:tc>
          <w:tcPr>
            <w:tcW w:type="dxa" w:w="954"/>
            <w:vAlign w:val="center"/>
          </w:tcPr>
          <w:p>
            <w:pPr>
              <w:keepNext w:val="0"/>
              <w:spacing w:after="40" w:before="40" w:line="240" w:lineRule="auto"/>
              <w:jc w:val="left"/>
            </w:pPr>
            <w:r/>
            <w:r>
              <w:rPr>
                <w:rFonts w:ascii="Times New Roman" w:hAnsi="Times New Roman"/>
                <w:b w:val="0"/>
                <w:sz w:val="18"/>
              </w:rPr>
              <w:t>Jun–Oct 2020</w:t>
            </w:r>
          </w:p>
        </w:tc>
        <w:tc>
          <w:tcPr>
            <w:tcW w:type="dxa" w:w="776"/>
            <w:vAlign w:val="center"/>
          </w:tcPr>
          <w:p>
            <w:pPr>
              <w:keepNext w:val="0"/>
              <w:spacing w:after="40" w:before="40" w:line="240" w:lineRule="auto"/>
              <w:jc w:val="center"/>
            </w:pPr>
            <w:r/>
            <w:r>
              <w:rPr>
                <w:rFonts w:ascii="Times New Roman" w:hAnsi="Times New Roman"/>
                <w:b w:val="0"/>
                <w:sz w:val="18"/>
              </w:rPr>
              <w:t>121976</w:t>
            </w:r>
          </w:p>
        </w:tc>
        <w:tc>
          <w:tcPr>
            <w:tcW w:type="dxa" w:w="776"/>
            <w:vAlign w:val="center"/>
          </w:tcPr>
          <w:p>
            <w:pPr>
              <w:keepNext w:val="0"/>
              <w:spacing w:after="40" w:before="40" w:line="240" w:lineRule="auto"/>
              <w:jc w:val="center"/>
            </w:pPr>
            <w:r/>
            <w:r>
              <w:rPr>
                <w:rFonts w:ascii="Times New Roman" w:hAnsi="Times New Roman"/>
                <w:b w:val="0"/>
                <w:sz w:val="18"/>
              </w:rPr>
              <w:t>7895.3</w:t>
            </w:r>
          </w:p>
        </w:tc>
        <w:tc>
          <w:tcPr>
            <w:tcW w:type="dxa" w:w="865"/>
            <w:vAlign w:val="center"/>
          </w:tcPr>
          <w:p>
            <w:pPr>
              <w:keepNext w:val="0"/>
              <w:spacing w:after="40" w:before="40" w:line="240" w:lineRule="auto"/>
              <w:jc w:val="center"/>
            </w:pPr>
            <w:r/>
            <w:r>
              <w:rPr>
                <w:rFonts w:ascii="Times New Roman" w:hAnsi="Times New Roman"/>
                <w:b w:val="0"/>
                <w:sz w:val="18"/>
              </w:rPr>
              <w:t>7199.7</w:t>
            </w:r>
          </w:p>
        </w:tc>
        <w:tc>
          <w:tcPr>
            <w:tcW w:type="dxa" w:w="776"/>
            <w:vAlign w:val="center"/>
          </w:tcPr>
          <w:p>
            <w:pPr>
              <w:keepNext w:val="0"/>
              <w:spacing w:after="40" w:before="40" w:line="240" w:lineRule="auto"/>
              <w:jc w:val="center"/>
            </w:pPr>
            <w:r/>
            <w:r>
              <w:rPr>
                <w:rFonts w:ascii="Times New Roman" w:hAnsi="Times New Roman"/>
                <w:b w:val="0"/>
                <w:sz w:val="18"/>
              </w:rPr>
              <w:t>7089.9</w:t>
            </w:r>
          </w:p>
        </w:tc>
        <w:tc>
          <w:tcPr>
            <w:tcW w:type="dxa" w:w="776"/>
            <w:vAlign w:val="center"/>
          </w:tcPr>
          <w:p>
            <w:pPr>
              <w:keepNext w:val="0"/>
              <w:spacing w:after="40" w:before="40" w:line="240" w:lineRule="auto"/>
              <w:jc w:val="center"/>
            </w:pPr>
            <w:r/>
            <w:r>
              <w:rPr>
                <w:rFonts w:ascii="Times New Roman" w:hAnsi="Times New Roman"/>
                <w:b w:val="0"/>
                <w:sz w:val="18"/>
              </w:rPr>
              <w:t>6834.2</w:t>
            </w:r>
          </w:p>
        </w:tc>
        <w:tc>
          <w:tcPr>
            <w:tcW w:type="dxa" w:w="687"/>
            <w:vAlign w:val="center"/>
          </w:tcPr>
          <w:p>
            <w:pPr>
              <w:keepNext w:val="0"/>
              <w:spacing w:after="40" w:before="40" w:line="240" w:lineRule="auto"/>
              <w:jc w:val="center"/>
            </w:pPr>
            <w:r/>
            <w:r>
              <w:rPr>
                <w:rFonts w:ascii="Times New Roman" w:hAnsi="Times New Roman"/>
                <w:b w:val="0"/>
                <w:sz w:val="18"/>
              </w:rPr>
              <w:t>255.8</w:t>
            </w:r>
          </w:p>
        </w:tc>
        <w:tc>
          <w:tcPr>
            <w:tcW w:type="dxa" w:w="1132"/>
            <w:vAlign w:val="center"/>
          </w:tcPr>
          <w:p>
            <w:pPr>
              <w:keepNext w:val="0"/>
              <w:spacing w:after="40" w:before="40" w:line="240" w:lineRule="auto"/>
              <w:jc w:val="center"/>
            </w:pPr>
            <w:r/>
            <w:r>
              <w:rPr>
                <w:rFonts w:ascii="Times New Roman" w:hAnsi="Times New Roman"/>
                <w:b w:val="0"/>
                <w:sz w:val="18"/>
              </w:rPr>
              <w:t>108</w:t>
            </w:r>
          </w:p>
        </w:tc>
        <w:tc>
          <w:tcPr>
            <w:tcW w:type="dxa" w:w="1043"/>
            <w:vAlign w:val="center"/>
          </w:tcPr>
          <w:p>
            <w:pPr>
              <w:keepNext w:val="0"/>
              <w:spacing w:after="40" w:before="40" w:line="240" w:lineRule="auto"/>
              <w:jc w:val="center"/>
            </w:pPr>
            <w:r/>
            <w:r>
              <w:rPr>
                <w:rFonts w:ascii="Times New Roman" w:hAnsi="Times New Roman"/>
                <w:b w:val="0"/>
                <w:sz w:val="18"/>
              </w:rPr>
              <w:t>38</w:t>
            </w:r>
          </w:p>
        </w:tc>
        <w:tc>
          <w:tcPr>
            <w:tcW w:type="dxa" w:w="1577"/>
            <w:vAlign w:val="center"/>
          </w:tcPr>
          <w:p>
            <w:pPr>
              <w:keepNext w:val="0"/>
              <w:spacing w:after="40" w:before="40" w:line="240" w:lineRule="auto"/>
              <w:jc w:val="center"/>
            </w:pPr>
            <w:r/>
            <w:r>
              <w:rPr>
                <w:rFonts w:ascii="Times New Roman" w:hAnsi="Times New Roman"/>
                <w:b w:val="0"/>
                <w:sz w:val="18"/>
              </w:rPr>
              <w:t>2719</w:t>
            </w:r>
          </w:p>
        </w:tc>
      </w:tr>
      <w:tr>
        <w:trPr>
          <w:cantSplit w:val="true"/>
        </w:trPr>
        <w:tc>
          <w:tcPr>
            <w:tcW w:type="dxa" w:w="954"/>
            <w:vAlign w:val="center"/>
          </w:tcPr>
          <w:p>
            <w:pPr>
              <w:keepNext w:val="0"/>
              <w:spacing w:after="40" w:before="40" w:line="240" w:lineRule="auto"/>
              <w:jc w:val="left"/>
            </w:pPr>
            <w:r/>
            <w:r>
              <w:rPr>
                <w:rFonts w:ascii="Times New Roman" w:hAnsi="Times New Roman"/>
                <w:b w:val="0"/>
                <w:sz w:val="18"/>
              </w:rPr>
              <w:t>Nov 2020–Mar 2021</w:t>
            </w:r>
          </w:p>
        </w:tc>
        <w:tc>
          <w:tcPr>
            <w:tcW w:type="dxa" w:w="776"/>
            <w:vAlign w:val="center"/>
          </w:tcPr>
          <w:p>
            <w:pPr>
              <w:keepNext w:val="0"/>
              <w:spacing w:after="40" w:before="40" w:line="240" w:lineRule="auto"/>
              <w:jc w:val="center"/>
            </w:pPr>
            <w:r/>
            <w:r>
              <w:rPr>
                <w:rFonts w:ascii="Times New Roman" w:hAnsi="Times New Roman"/>
                <w:b w:val="0"/>
                <w:sz w:val="18"/>
              </w:rPr>
              <w:t>311199</w:t>
            </w:r>
          </w:p>
        </w:tc>
        <w:tc>
          <w:tcPr>
            <w:tcW w:type="dxa" w:w="776"/>
            <w:vAlign w:val="center"/>
          </w:tcPr>
          <w:p>
            <w:pPr>
              <w:keepNext w:val="0"/>
              <w:spacing w:after="40" w:before="40" w:line="240" w:lineRule="auto"/>
              <w:jc w:val="center"/>
            </w:pPr>
            <w:r/>
            <w:r>
              <w:rPr>
                <w:rFonts w:ascii="Times New Roman" w:hAnsi="Times New Roman"/>
                <w:b w:val="0"/>
                <w:sz w:val="18"/>
              </w:rPr>
              <w:t>8028.7</w:t>
            </w:r>
          </w:p>
        </w:tc>
        <w:tc>
          <w:tcPr>
            <w:tcW w:type="dxa" w:w="865"/>
            <w:vAlign w:val="center"/>
          </w:tcPr>
          <w:p>
            <w:pPr>
              <w:keepNext w:val="0"/>
              <w:spacing w:after="40" w:before="40" w:line="240" w:lineRule="auto"/>
              <w:jc w:val="center"/>
            </w:pPr>
            <w:r/>
            <w:r>
              <w:rPr>
                <w:rFonts w:ascii="Times New Roman" w:hAnsi="Times New Roman"/>
                <w:b w:val="0"/>
                <w:sz w:val="18"/>
              </w:rPr>
              <w:t>7399.1</w:t>
            </w:r>
          </w:p>
        </w:tc>
        <w:tc>
          <w:tcPr>
            <w:tcW w:type="dxa" w:w="776"/>
            <w:vAlign w:val="center"/>
          </w:tcPr>
          <w:p>
            <w:pPr>
              <w:keepNext w:val="0"/>
              <w:spacing w:after="40" w:before="40" w:line="240" w:lineRule="auto"/>
              <w:jc w:val="center"/>
            </w:pPr>
            <w:r/>
            <w:r>
              <w:rPr>
                <w:rFonts w:ascii="Times New Roman" w:hAnsi="Times New Roman"/>
                <w:b w:val="0"/>
                <w:sz w:val="18"/>
              </w:rPr>
              <w:t>7215.0</w:t>
            </w:r>
          </w:p>
        </w:tc>
        <w:tc>
          <w:tcPr>
            <w:tcW w:type="dxa" w:w="776"/>
            <w:vAlign w:val="center"/>
          </w:tcPr>
          <w:p>
            <w:pPr>
              <w:keepNext w:val="0"/>
              <w:spacing w:after="40" w:before="40" w:line="240" w:lineRule="auto"/>
              <w:jc w:val="center"/>
            </w:pPr>
            <w:r/>
            <w:r>
              <w:rPr>
                <w:rFonts w:ascii="Times New Roman" w:hAnsi="Times New Roman"/>
                <w:b w:val="0"/>
                <w:sz w:val="18"/>
              </w:rPr>
              <w:t>7038.3</w:t>
            </w:r>
          </w:p>
        </w:tc>
        <w:tc>
          <w:tcPr>
            <w:tcW w:type="dxa" w:w="687"/>
            <w:vAlign w:val="center"/>
          </w:tcPr>
          <w:p>
            <w:pPr>
              <w:keepNext w:val="0"/>
              <w:spacing w:after="40" w:before="40" w:line="240" w:lineRule="auto"/>
              <w:jc w:val="center"/>
            </w:pPr>
            <w:r/>
            <w:r>
              <w:rPr>
                <w:rFonts w:ascii="Times New Roman" w:hAnsi="Times New Roman"/>
                <w:b w:val="0"/>
                <w:sz w:val="18"/>
              </w:rPr>
              <w:t>176.7</w:t>
            </w:r>
          </w:p>
        </w:tc>
        <w:tc>
          <w:tcPr>
            <w:tcW w:type="dxa" w:w="1132"/>
            <w:vAlign w:val="center"/>
          </w:tcPr>
          <w:p>
            <w:pPr>
              <w:keepNext w:val="0"/>
              <w:spacing w:after="40" w:before="40" w:line="240" w:lineRule="auto"/>
              <w:jc w:val="center"/>
            </w:pPr>
            <w:r/>
            <w:r>
              <w:rPr>
                <w:rFonts w:ascii="Times New Roman" w:hAnsi="Times New Roman"/>
                <w:b w:val="0"/>
                <w:sz w:val="18"/>
              </w:rPr>
              <w:t>117</w:t>
            </w:r>
          </w:p>
        </w:tc>
        <w:tc>
          <w:tcPr>
            <w:tcW w:type="dxa" w:w="1043"/>
            <w:vAlign w:val="center"/>
          </w:tcPr>
          <w:p>
            <w:pPr>
              <w:keepNext w:val="0"/>
              <w:spacing w:after="40" w:before="40" w:line="240" w:lineRule="auto"/>
              <w:jc w:val="center"/>
            </w:pPr>
            <w:r/>
            <w:r>
              <w:rPr>
                <w:rFonts w:ascii="Times New Roman" w:hAnsi="Times New Roman"/>
                <w:b w:val="0"/>
                <w:sz w:val="18"/>
              </w:rPr>
              <w:t>37</w:t>
            </w:r>
          </w:p>
        </w:tc>
        <w:tc>
          <w:tcPr>
            <w:tcW w:type="dxa" w:w="1577"/>
            <w:vAlign w:val="center"/>
          </w:tcPr>
          <w:p>
            <w:pPr>
              <w:keepNext w:val="0"/>
              <w:spacing w:after="40" w:before="40" w:line="240" w:lineRule="auto"/>
              <w:jc w:val="center"/>
            </w:pPr>
            <w:r/>
            <w:r>
              <w:rPr>
                <w:rFonts w:ascii="Times New Roman" w:hAnsi="Times New Roman"/>
                <w:b w:val="0"/>
                <w:sz w:val="18"/>
              </w:rPr>
              <w:t>1285</w:t>
            </w:r>
          </w:p>
        </w:tc>
      </w:tr>
      <w:tr>
        <w:trPr>
          <w:cantSplit w:val="true"/>
        </w:trPr>
        <w:tc>
          <w:tcPr>
            <w:tcW w:type="dxa" w:w="954"/>
            <w:vAlign w:val="center"/>
          </w:tcPr>
          <w:p>
            <w:pPr>
              <w:keepNext w:val="0"/>
              <w:spacing w:after="40" w:before="40" w:line="240" w:lineRule="auto"/>
              <w:jc w:val="left"/>
            </w:pPr>
            <w:r/>
            <w:r>
              <w:rPr>
                <w:rFonts w:ascii="Times New Roman" w:hAnsi="Times New Roman"/>
                <w:b w:val="0"/>
                <w:sz w:val="18"/>
              </w:rPr>
              <w:t>Apr–Jul 2021</w:t>
            </w:r>
          </w:p>
        </w:tc>
        <w:tc>
          <w:tcPr>
            <w:tcW w:type="dxa" w:w="776"/>
            <w:vAlign w:val="center"/>
          </w:tcPr>
          <w:p>
            <w:pPr>
              <w:keepNext w:val="0"/>
              <w:spacing w:after="40" w:before="40" w:line="240" w:lineRule="auto"/>
              <w:jc w:val="center"/>
            </w:pPr>
            <w:r/>
            <w:r>
              <w:rPr>
                <w:rFonts w:ascii="Times New Roman" w:hAnsi="Times New Roman"/>
                <w:b w:val="0"/>
                <w:sz w:val="18"/>
              </w:rPr>
              <w:t>56981</w:t>
            </w:r>
          </w:p>
        </w:tc>
        <w:tc>
          <w:tcPr>
            <w:tcW w:type="dxa" w:w="776"/>
            <w:vAlign w:val="center"/>
          </w:tcPr>
          <w:p>
            <w:pPr>
              <w:keepNext w:val="0"/>
              <w:spacing w:after="40" w:before="40" w:line="240" w:lineRule="auto"/>
              <w:jc w:val="center"/>
            </w:pPr>
            <w:r/>
            <w:r>
              <w:rPr>
                <w:rFonts w:ascii="Times New Roman" w:hAnsi="Times New Roman"/>
                <w:b w:val="0"/>
                <w:sz w:val="18"/>
              </w:rPr>
              <w:t>8314.9</w:t>
            </w:r>
          </w:p>
        </w:tc>
        <w:tc>
          <w:tcPr>
            <w:tcW w:type="dxa" w:w="865"/>
            <w:vAlign w:val="center"/>
          </w:tcPr>
          <w:p>
            <w:pPr>
              <w:keepNext w:val="0"/>
              <w:spacing w:after="40" w:before="40" w:line="240" w:lineRule="auto"/>
              <w:jc w:val="center"/>
            </w:pPr>
            <w:r/>
            <w:r>
              <w:rPr>
                <w:rFonts w:ascii="Times New Roman" w:hAnsi="Times New Roman"/>
                <w:b w:val="0"/>
                <w:sz w:val="18"/>
              </w:rPr>
              <w:t>7824.4</w:t>
            </w:r>
          </w:p>
        </w:tc>
        <w:tc>
          <w:tcPr>
            <w:tcW w:type="dxa" w:w="776"/>
            <w:vAlign w:val="center"/>
          </w:tcPr>
          <w:p>
            <w:pPr>
              <w:keepNext w:val="0"/>
              <w:spacing w:after="40" w:before="40" w:line="240" w:lineRule="auto"/>
              <w:jc w:val="center"/>
            </w:pPr>
            <w:r/>
            <w:r>
              <w:rPr>
                <w:rFonts w:ascii="Times New Roman" w:hAnsi="Times New Roman"/>
                <w:b w:val="0"/>
                <w:sz w:val="18"/>
              </w:rPr>
              <w:t>7781.1</w:t>
            </w:r>
          </w:p>
        </w:tc>
        <w:tc>
          <w:tcPr>
            <w:tcW w:type="dxa" w:w="776"/>
            <w:vAlign w:val="center"/>
          </w:tcPr>
          <w:p>
            <w:pPr>
              <w:keepNext w:val="0"/>
              <w:spacing w:after="40" w:before="40" w:line="240" w:lineRule="auto"/>
              <w:jc w:val="center"/>
            </w:pPr>
            <w:r/>
            <w:r>
              <w:rPr>
                <w:rFonts w:ascii="Times New Roman" w:hAnsi="Times New Roman"/>
                <w:b w:val="0"/>
                <w:sz w:val="18"/>
              </w:rPr>
              <w:t>7537.9</w:t>
            </w:r>
          </w:p>
        </w:tc>
        <w:tc>
          <w:tcPr>
            <w:tcW w:type="dxa" w:w="687"/>
            <w:vAlign w:val="center"/>
          </w:tcPr>
          <w:p>
            <w:pPr>
              <w:keepNext w:val="0"/>
              <w:spacing w:after="40" w:before="40" w:line="240" w:lineRule="auto"/>
              <w:jc w:val="center"/>
            </w:pPr>
            <w:r/>
            <w:r>
              <w:rPr>
                <w:rFonts w:ascii="Times New Roman" w:hAnsi="Times New Roman"/>
                <w:b w:val="0"/>
                <w:sz w:val="18"/>
              </w:rPr>
              <w:t>243.2</w:t>
            </w:r>
          </w:p>
        </w:tc>
        <w:tc>
          <w:tcPr>
            <w:tcW w:type="dxa" w:w="1132"/>
            <w:vAlign w:val="center"/>
          </w:tcPr>
          <w:p>
            <w:pPr>
              <w:keepNext w:val="0"/>
              <w:spacing w:after="40" w:before="40" w:line="240" w:lineRule="auto"/>
              <w:jc w:val="center"/>
            </w:pPr>
            <w:r/>
            <w:r>
              <w:rPr>
                <w:rFonts w:ascii="Times New Roman" w:hAnsi="Times New Roman"/>
                <w:b w:val="0"/>
                <w:sz w:val="18"/>
              </w:rPr>
              <w:t>129</w:t>
            </w:r>
          </w:p>
        </w:tc>
        <w:tc>
          <w:tcPr>
            <w:tcW w:type="dxa" w:w="1043"/>
            <w:vAlign w:val="center"/>
          </w:tcPr>
          <w:p>
            <w:pPr>
              <w:keepNext w:val="0"/>
              <w:spacing w:after="40" w:before="40" w:line="240" w:lineRule="auto"/>
              <w:jc w:val="center"/>
            </w:pPr>
            <w:r/>
            <w:r>
              <w:rPr>
                <w:rFonts w:ascii="Times New Roman" w:hAnsi="Times New Roman"/>
                <w:b w:val="0"/>
                <w:sz w:val="18"/>
              </w:rPr>
              <w:t>39</w:t>
            </w:r>
          </w:p>
        </w:tc>
        <w:tc>
          <w:tcPr>
            <w:tcW w:type="dxa" w:w="1577"/>
            <w:vAlign w:val="center"/>
          </w:tcPr>
          <w:p>
            <w:pPr>
              <w:keepNext w:val="0"/>
              <w:spacing w:after="40" w:before="40" w:line="240" w:lineRule="auto"/>
              <w:jc w:val="center"/>
            </w:pPr>
            <w:r/>
            <w:r>
              <w:rPr>
                <w:rFonts w:ascii="Times New Roman" w:hAnsi="Times New Roman"/>
                <w:b w:val="0"/>
                <w:sz w:val="18"/>
              </w:rPr>
              <w:t>561</w:t>
            </w:r>
          </w:p>
        </w:tc>
      </w:tr>
      <w:tr>
        <w:trPr>
          <w:cantSplit w:val="true"/>
        </w:trPr>
        <w:tc>
          <w:tcPr>
            <w:tcW w:type="dxa" w:w="954"/>
            <w:vAlign w:val="center"/>
          </w:tcPr>
          <w:p>
            <w:pPr>
              <w:keepNext w:val="0"/>
              <w:spacing w:after="40" w:before="40" w:line="240" w:lineRule="auto"/>
              <w:jc w:val="left"/>
            </w:pPr>
            <w:r/>
            <w:r>
              <w:rPr>
                <w:rFonts w:ascii="Times New Roman" w:hAnsi="Times New Roman"/>
                <w:b w:val="0"/>
                <w:sz w:val="18"/>
              </w:rPr>
              <w:t>Aug–Dec 2021</w:t>
            </w:r>
          </w:p>
        </w:tc>
        <w:tc>
          <w:tcPr>
            <w:tcW w:type="dxa" w:w="776"/>
            <w:vAlign w:val="center"/>
          </w:tcPr>
          <w:p>
            <w:pPr>
              <w:keepNext w:val="0"/>
              <w:spacing w:after="40" w:before="40" w:line="240" w:lineRule="auto"/>
              <w:jc w:val="center"/>
            </w:pPr>
            <w:r/>
            <w:r>
              <w:rPr>
                <w:rFonts w:ascii="Times New Roman" w:hAnsi="Times New Roman"/>
                <w:b w:val="0"/>
                <w:sz w:val="18"/>
              </w:rPr>
              <w:t>207761</w:t>
            </w:r>
          </w:p>
        </w:tc>
        <w:tc>
          <w:tcPr>
            <w:tcW w:type="dxa" w:w="776"/>
            <w:vAlign w:val="center"/>
          </w:tcPr>
          <w:p>
            <w:pPr>
              <w:keepNext w:val="0"/>
              <w:spacing w:after="40" w:before="40" w:line="240" w:lineRule="auto"/>
              <w:jc w:val="center"/>
            </w:pPr>
            <w:r/>
            <w:r>
              <w:rPr>
                <w:rFonts w:ascii="Times New Roman" w:hAnsi="Times New Roman"/>
                <w:b w:val="0"/>
                <w:sz w:val="18"/>
              </w:rPr>
              <w:t>7566.6</w:t>
            </w:r>
          </w:p>
        </w:tc>
        <w:tc>
          <w:tcPr>
            <w:tcW w:type="dxa" w:w="865"/>
            <w:vAlign w:val="center"/>
          </w:tcPr>
          <w:p>
            <w:pPr>
              <w:keepNext w:val="0"/>
              <w:spacing w:after="40" w:before="40" w:line="240" w:lineRule="auto"/>
              <w:jc w:val="center"/>
            </w:pPr>
            <w:r/>
            <w:r>
              <w:rPr>
                <w:rFonts w:ascii="Times New Roman" w:hAnsi="Times New Roman"/>
                <w:b w:val="0"/>
                <w:sz w:val="18"/>
              </w:rPr>
              <w:t>6653.7</w:t>
            </w:r>
          </w:p>
        </w:tc>
        <w:tc>
          <w:tcPr>
            <w:tcW w:type="dxa" w:w="776"/>
            <w:vAlign w:val="center"/>
          </w:tcPr>
          <w:p>
            <w:pPr>
              <w:keepNext w:val="0"/>
              <w:spacing w:after="40" w:before="40" w:line="240" w:lineRule="auto"/>
              <w:jc w:val="center"/>
            </w:pPr>
            <w:r/>
            <w:r>
              <w:rPr>
                <w:rFonts w:ascii="Times New Roman" w:hAnsi="Times New Roman"/>
                <w:b w:val="0"/>
                <w:sz w:val="18"/>
              </w:rPr>
              <w:t>6553.1</w:t>
            </w:r>
          </w:p>
        </w:tc>
        <w:tc>
          <w:tcPr>
            <w:tcW w:type="dxa" w:w="776"/>
            <w:vAlign w:val="center"/>
          </w:tcPr>
          <w:p>
            <w:pPr>
              <w:keepNext w:val="0"/>
              <w:spacing w:after="40" w:before="40" w:line="240" w:lineRule="auto"/>
              <w:jc w:val="center"/>
            </w:pPr>
            <w:r/>
            <w:r>
              <w:rPr>
                <w:rFonts w:ascii="Times New Roman" w:hAnsi="Times New Roman"/>
                <w:b w:val="0"/>
                <w:sz w:val="18"/>
              </w:rPr>
              <w:t>6280.8</w:t>
            </w:r>
          </w:p>
        </w:tc>
        <w:tc>
          <w:tcPr>
            <w:tcW w:type="dxa" w:w="687"/>
            <w:vAlign w:val="center"/>
          </w:tcPr>
          <w:p>
            <w:pPr>
              <w:keepNext w:val="0"/>
              <w:spacing w:after="40" w:before="40" w:line="240" w:lineRule="auto"/>
              <w:jc w:val="center"/>
            </w:pPr>
            <w:r/>
            <w:r>
              <w:rPr>
                <w:rFonts w:ascii="Times New Roman" w:hAnsi="Times New Roman"/>
                <w:b w:val="0"/>
                <w:sz w:val="18"/>
              </w:rPr>
              <w:t>272.3</w:t>
            </w:r>
          </w:p>
        </w:tc>
        <w:tc>
          <w:tcPr>
            <w:tcW w:type="dxa" w:w="1132"/>
            <w:vAlign w:val="center"/>
          </w:tcPr>
          <w:p>
            <w:pPr>
              <w:keepNext w:val="0"/>
              <w:spacing w:after="40" w:before="40" w:line="240" w:lineRule="auto"/>
              <w:jc w:val="center"/>
            </w:pPr>
            <w:r/>
            <w:r>
              <w:rPr>
                <w:rFonts w:ascii="Times New Roman" w:hAnsi="Times New Roman"/>
                <w:b w:val="0"/>
                <w:sz w:val="18"/>
              </w:rPr>
              <w:t>117</w:t>
            </w:r>
          </w:p>
        </w:tc>
        <w:tc>
          <w:tcPr>
            <w:tcW w:type="dxa" w:w="1043"/>
            <w:vAlign w:val="center"/>
          </w:tcPr>
          <w:p>
            <w:pPr>
              <w:keepNext w:val="0"/>
              <w:spacing w:after="40" w:before="40" w:line="240" w:lineRule="auto"/>
              <w:jc w:val="center"/>
            </w:pPr>
            <w:r/>
            <w:r>
              <w:rPr>
                <w:rFonts w:ascii="Times New Roman" w:hAnsi="Times New Roman"/>
                <w:b w:val="0"/>
                <w:sz w:val="18"/>
              </w:rPr>
              <w:t>37</w:t>
            </w:r>
          </w:p>
        </w:tc>
        <w:tc>
          <w:tcPr>
            <w:tcW w:type="dxa" w:w="1577"/>
            <w:vAlign w:val="center"/>
          </w:tcPr>
          <w:p>
            <w:pPr>
              <w:keepNext w:val="0"/>
              <w:spacing w:after="40" w:before="40" w:line="240" w:lineRule="auto"/>
              <w:jc w:val="center"/>
            </w:pPr>
            <w:r/>
            <w:r>
              <w:rPr>
                <w:rFonts w:ascii="Times New Roman" w:hAnsi="Times New Roman"/>
                <w:b w:val="0"/>
                <w:sz w:val="18"/>
              </w:rPr>
              <w:t>190</w:t>
            </w:r>
          </w:p>
        </w:tc>
      </w:tr>
      <w:tr>
        <w:trPr>
          <w:cantSplit w:val="true"/>
        </w:trPr>
        <w:tc>
          <w:tcPr>
            <w:tcW w:type="dxa" w:w="954"/>
            <w:vAlign w:val="center"/>
          </w:tcPr>
          <w:p>
            <w:pPr>
              <w:keepNext w:val="0"/>
              <w:spacing w:after="40" w:before="40" w:line="240" w:lineRule="auto"/>
              <w:jc w:val="left"/>
            </w:pPr>
            <w:r/>
            <w:r>
              <w:rPr>
                <w:rFonts w:ascii="Times New Roman" w:hAnsi="Times New Roman"/>
                <w:b w:val="0"/>
                <w:sz w:val="18"/>
              </w:rPr>
              <w:t>Jan–Apr 2022</w:t>
            </w:r>
          </w:p>
        </w:tc>
        <w:tc>
          <w:tcPr>
            <w:tcW w:type="dxa" w:w="776"/>
            <w:vAlign w:val="center"/>
          </w:tcPr>
          <w:p>
            <w:pPr>
              <w:keepNext w:val="0"/>
              <w:spacing w:after="40" w:before="40" w:line="240" w:lineRule="auto"/>
              <w:jc w:val="center"/>
            </w:pPr>
            <w:r/>
            <w:r>
              <w:rPr>
                <w:rFonts w:ascii="Times New Roman" w:hAnsi="Times New Roman"/>
                <w:b w:val="0"/>
                <w:sz w:val="18"/>
              </w:rPr>
              <w:t>159637</w:t>
            </w:r>
          </w:p>
        </w:tc>
        <w:tc>
          <w:tcPr>
            <w:tcW w:type="dxa" w:w="776"/>
            <w:vAlign w:val="center"/>
          </w:tcPr>
          <w:p>
            <w:pPr>
              <w:keepNext w:val="0"/>
              <w:spacing w:after="40" w:before="40" w:line="240" w:lineRule="auto"/>
              <w:jc w:val="center"/>
            </w:pPr>
            <w:r/>
            <w:r>
              <w:rPr>
                <w:rFonts w:ascii="Times New Roman" w:hAnsi="Times New Roman"/>
                <w:b w:val="0"/>
                <w:sz w:val="18"/>
              </w:rPr>
              <w:t>7896.3</w:t>
            </w:r>
          </w:p>
        </w:tc>
        <w:tc>
          <w:tcPr>
            <w:tcW w:type="dxa" w:w="865"/>
            <w:vAlign w:val="center"/>
          </w:tcPr>
          <w:p>
            <w:pPr>
              <w:keepNext w:val="0"/>
              <w:spacing w:after="40" w:before="40" w:line="240" w:lineRule="auto"/>
              <w:jc w:val="center"/>
            </w:pPr>
            <w:r/>
            <w:r>
              <w:rPr>
                <w:rFonts w:ascii="Times New Roman" w:hAnsi="Times New Roman"/>
                <w:b w:val="0"/>
                <w:sz w:val="18"/>
              </w:rPr>
              <w:t>7274.6</w:t>
            </w:r>
          </w:p>
        </w:tc>
        <w:tc>
          <w:tcPr>
            <w:tcW w:type="dxa" w:w="776"/>
            <w:vAlign w:val="center"/>
          </w:tcPr>
          <w:p>
            <w:pPr>
              <w:keepNext w:val="0"/>
              <w:spacing w:after="40" w:before="40" w:line="240" w:lineRule="auto"/>
              <w:jc w:val="center"/>
            </w:pPr>
            <w:r/>
            <w:r>
              <w:rPr>
                <w:rFonts w:ascii="Times New Roman" w:hAnsi="Times New Roman"/>
                <w:b w:val="0"/>
                <w:sz w:val="18"/>
              </w:rPr>
              <w:t>7351.8</w:t>
            </w:r>
          </w:p>
        </w:tc>
        <w:tc>
          <w:tcPr>
            <w:tcW w:type="dxa" w:w="776"/>
            <w:vAlign w:val="center"/>
          </w:tcPr>
          <w:p>
            <w:pPr>
              <w:keepNext w:val="0"/>
              <w:spacing w:after="40" w:before="40" w:line="240" w:lineRule="auto"/>
              <w:jc w:val="center"/>
            </w:pPr>
            <w:r/>
            <w:r>
              <w:rPr>
                <w:rFonts w:ascii="Times New Roman" w:hAnsi="Times New Roman"/>
                <w:b w:val="0"/>
                <w:sz w:val="18"/>
              </w:rPr>
              <w:t>7063.5</w:t>
            </w:r>
          </w:p>
        </w:tc>
        <w:tc>
          <w:tcPr>
            <w:tcW w:type="dxa" w:w="687"/>
            <w:vAlign w:val="center"/>
          </w:tcPr>
          <w:p>
            <w:pPr>
              <w:keepNext w:val="0"/>
              <w:spacing w:after="40" w:before="40" w:line="240" w:lineRule="auto"/>
              <w:jc w:val="center"/>
            </w:pPr>
            <w:r/>
            <w:r>
              <w:rPr>
                <w:rFonts w:ascii="Times New Roman" w:hAnsi="Times New Roman"/>
                <w:b w:val="0"/>
                <w:sz w:val="18"/>
              </w:rPr>
              <w:t>288.4</w:t>
            </w:r>
          </w:p>
        </w:tc>
        <w:tc>
          <w:tcPr>
            <w:tcW w:type="dxa" w:w="1132"/>
            <w:vAlign w:val="center"/>
          </w:tcPr>
          <w:p>
            <w:pPr>
              <w:keepNext w:val="0"/>
              <w:spacing w:after="40" w:before="40" w:line="240" w:lineRule="auto"/>
              <w:jc w:val="center"/>
            </w:pPr>
            <w:r/>
            <w:r>
              <w:rPr>
                <w:rFonts w:ascii="Times New Roman" w:hAnsi="Times New Roman"/>
                <w:b w:val="0"/>
                <w:sz w:val="18"/>
              </w:rPr>
              <w:t>183</w:t>
            </w:r>
          </w:p>
        </w:tc>
        <w:tc>
          <w:tcPr>
            <w:tcW w:type="dxa" w:w="1043"/>
            <w:vAlign w:val="center"/>
          </w:tcPr>
          <w:p>
            <w:pPr>
              <w:keepNext w:val="0"/>
              <w:spacing w:after="40" w:before="40" w:line="240" w:lineRule="auto"/>
              <w:jc w:val="center"/>
            </w:pPr>
            <w:r/>
            <w:r>
              <w:rPr>
                <w:rFonts w:ascii="Times New Roman" w:hAnsi="Times New Roman"/>
                <w:b w:val="0"/>
                <w:sz w:val="18"/>
              </w:rPr>
              <w:t>24</w:t>
            </w:r>
          </w:p>
        </w:tc>
        <w:tc>
          <w:tcPr>
            <w:tcW w:type="dxa" w:w="1577"/>
            <w:vAlign w:val="center"/>
          </w:tcPr>
          <w:p>
            <w:pPr>
              <w:keepNext w:val="0"/>
              <w:spacing w:after="40" w:before="40" w:line="240" w:lineRule="auto"/>
              <w:jc w:val="center"/>
            </w:pPr>
            <w:r/>
            <w:r>
              <w:rPr>
                <w:rFonts w:ascii="Times New Roman" w:hAnsi="Times New Roman"/>
                <w:b w:val="0"/>
                <w:sz w:val="18"/>
              </w:rPr>
              <w:t>2016</w:t>
            </w:r>
          </w:p>
        </w:tc>
      </w:tr>
      <w:tr>
        <w:trPr>
          <w:cantSplit w:val="true"/>
        </w:trPr>
        <w:tc>
          <w:tcPr>
            <w:tcW w:type="dxa" w:w="954"/>
            <w:vAlign w:val="center"/>
            <w:tcBorders>
              <w:bottom w:val="single" w:sz="8" w:color="000000"/>
            </w:tcBorders>
          </w:tcPr>
          <w:p>
            <w:pPr>
              <w:keepNext w:val="0"/>
              <w:spacing w:after="40" w:before="40" w:line="240" w:lineRule="auto"/>
              <w:jc w:val="left"/>
            </w:pPr>
            <w:r/>
            <w:r>
              <w:rPr>
                <w:rFonts w:ascii="Times New Roman" w:hAnsi="Times New Roman"/>
                <w:b w:val="0"/>
                <w:sz w:val="18"/>
              </w:rPr>
              <w:t>May 2022–Mar 2023</w:t>
            </w:r>
          </w:p>
        </w:tc>
        <w:tc>
          <w:tcPr>
            <w:tcW w:type="dxa" w:w="776"/>
            <w:vAlign w:val="center"/>
            <w:tcBorders>
              <w:bottom w:val="single" w:sz="8" w:color="000000"/>
            </w:tcBorders>
          </w:tcPr>
          <w:p>
            <w:pPr>
              <w:keepNext w:val="0"/>
              <w:spacing w:after="40" w:before="40" w:line="240" w:lineRule="auto"/>
              <w:jc w:val="center"/>
            </w:pPr>
            <w:r/>
            <w:r>
              <w:rPr>
                <w:rFonts w:ascii="Times New Roman" w:hAnsi="Times New Roman"/>
                <w:b w:val="0"/>
                <w:sz w:val="18"/>
              </w:rPr>
              <w:t>135323</w:t>
            </w:r>
          </w:p>
        </w:tc>
        <w:tc>
          <w:tcPr>
            <w:tcW w:type="dxa" w:w="776"/>
            <w:vAlign w:val="center"/>
            <w:tcBorders>
              <w:bottom w:val="single" w:sz="8" w:color="000000"/>
            </w:tcBorders>
          </w:tcPr>
          <w:p>
            <w:pPr>
              <w:keepNext w:val="0"/>
              <w:spacing w:after="40" w:before="40" w:line="240" w:lineRule="auto"/>
              <w:jc w:val="center"/>
            </w:pPr>
            <w:r/>
            <w:r>
              <w:rPr>
                <w:rFonts w:ascii="Times New Roman" w:hAnsi="Times New Roman"/>
                <w:b w:val="0"/>
                <w:sz w:val="18"/>
              </w:rPr>
              <w:t>8123.7</w:t>
            </w:r>
          </w:p>
        </w:tc>
        <w:tc>
          <w:tcPr>
            <w:tcW w:type="dxa" w:w="865"/>
            <w:vAlign w:val="center"/>
            <w:tcBorders>
              <w:bottom w:val="single" w:sz="8" w:color="000000"/>
            </w:tcBorders>
          </w:tcPr>
          <w:p>
            <w:pPr>
              <w:keepNext w:val="0"/>
              <w:spacing w:after="40" w:before="40" w:line="240" w:lineRule="auto"/>
              <w:jc w:val="center"/>
            </w:pPr>
            <w:r/>
            <w:r>
              <w:rPr>
                <w:rFonts w:ascii="Times New Roman" w:hAnsi="Times New Roman"/>
                <w:b w:val="0"/>
                <w:sz w:val="18"/>
              </w:rPr>
              <w:t>7678.9</w:t>
            </w:r>
          </w:p>
        </w:tc>
        <w:tc>
          <w:tcPr>
            <w:tcW w:type="dxa" w:w="776"/>
            <w:vAlign w:val="center"/>
            <w:tcBorders>
              <w:bottom w:val="single" w:sz="8" w:color="000000"/>
            </w:tcBorders>
          </w:tcPr>
          <w:p>
            <w:pPr>
              <w:keepNext w:val="0"/>
              <w:spacing w:after="40" w:before="40" w:line="240" w:lineRule="auto"/>
              <w:jc w:val="center"/>
            </w:pPr>
            <w:r/>
            <w:r>
              <w:rPr>
                <w:rFonts w:ascii="Times New Roman" w:hAnsi="Times New Roman"/>
                <w:b w:val="0"/>
                <w:sz w:val="18"/>
              </w:rPr>
              <w:t>7452.5</w:t>
            </w:r>
          </w:p>
        </w:tc>
        <w:tc>
          <w:tcPr>
            <w:tcW w:type="dxa" w:w="776"/>
            <w:vAlign w:val="center"/>
            <w:tcBorders>
              <w:bottom w:val="single" w:sz="8" w:color="000000"/>
            </w:tcBorders>
          </w:tcPr>
          <w:p>
            <w:pPr>
              <w:keepNext w:val="0"/>
              <w:spacing w:after="40" w:before="40" w:line="240" w:lineRule="auto"/>
              <w:jc w:val="center"/>
            </w:pPr>
            <w:r/>
            <w:r>
              <w:rPr>
                <w:rFonts w:ascii="Times New Roman" w:hAnsi="Times New Roman"/>
                <w:b w:val="0"/>
                <w:sz w:val="18"/>
              </w:rPr>
              <w:t>7307.1</w:t>
            </w:r>
          </w:p>
        </w:tc>
        <w:tc>
          <w:tcPr>
            <w:tcW w:type="dxa" w:w="687"/>
            <w:vAlign w:val="center"/>
            <w:tcBorders>
              <w:bottom w:val="single" w:sz="8" w:color="000000"/>
            </w:tcBorders>
          </w:tcPr>
          <w:p>
            <w:pPr>
              <w:keepNext w:val="0"/>
              <w:spacing w:after="40" w:before="40" w:line="240" w:lineRule="auto"/>
              <w:jc w:val="center"/>
            </w:pPr>
            <w:r/>
            <w:r>
              <w:rPr>
                <w:rFonts w:ascii="Times New Roman" w:hAnsi="Times New Roman"/>
                <w:b w:val="0"/>
                <w:sz w:val="18"/>
              </w:rPr>
              <w:t>145.5</w:t>
            </w:r>
          </w:p>
        </w:tc>
        <w:tc>
          <w:tcPr>
            <w:tcW w:type="dxa" w:w="1132"/>
            <w:vAlign w:val="center"/>
            <w:tcBorders>
              <w:bottom w:val="single" w:sz="8" w:color="000000"/>
            </w:tcBorders>
          </w:tcPr>
          <w:p>
            <w:pPr>
              <w:keepNext w:val="0"/>
              <w:spacing w:after="40" w:before="40" w:line="240" w:lineRule="auto"/>
              <w:jc w:val="center"/>
            </w:pPr>
            <w:r/>
            <w:r>
              <w:rPr>
                <w:rFonts w:ascii="Times New Roman" w:hAnsi="Times New Roman"/>
                <w:b w:val="0"/>
                <w:sz w:val="18"/>
              </w:rPr>
              <w:t>92</w:t>
            </w:r>
          </w:p>
        </w:tc>
        <w:tc>
          <w:tcPr>
            <w:tcW w:type="dxa" w:w="1043"/>
            <w:vAlign w:val="center"/>
            <w:tcBorders>
              <w:bottom w:val="single" w:sz="8" w:color="000000"/>
            </w:tcBorders>
          </w:tcPr>
          <w:p>
            <w:pPr>
              <w:keepNext w:val="0"/>
              <w:spacing w:after="40" w:before="40" w:line="240" w:lineRule="auto"/>
              <w:jc w:val="center"/>
            </w:pPr>
            <w:r/>
            <w:r>
              <w:rPr>
                <w:rFonts w:ascii="Times New Roman" w:hAnsi="Times New Roman"/>
                <w:b w:val="0"/>
                <w:sz w:val="18"/>
              </w:rPr>
              <w:t>52</w:t>
            </w:r>
          </w:p>
        </w:tc>
        <w:tc>
          <w:tcPr>
            <w:tcW w:type="dxa" w:w="1577"/>
            <w:vAlign w:val="center"/>
            <w:tcBorders>
              <w:bottom w:val="single" w:sz="8" w:color="000000"/>
            </w:tcBorders>
          </w:tcPr>
          <w:p>
            <w:pPr>
              <w:keepNext w:val="0"/>
              <w:spacing w:after="40" w:before="40" w:line="240" w:lineRule="auto"/>
              <w:jc w:val="center"/>
            </w:pPr>
            <w:r/>
            <w:r>
              <w:rPr>
                <w:rFonts w:ascii="Times New Roman" w:hAnsi="Times New Roman"/>
                <w:b w:val="0"/>
                <w:sz w:val="18"/>
              </w:rPr>
              <w:t>232</w:t>
            </w:r>
          </w:p>
        </w:tc>
      </w:tr>
    </w:tbl>
    <w:p>
      <w:pPr>
        <w:spacing w:after="320" w:before="100" w:line="240" w:lineRule="auto"/>
        <w:jc w:val="both"/>
      </w:pPr>
      <w:r>
        <w:rPr>
          <w:rFonts w:ascii="Times New Roman" w:hAnsi="Times New Roman"/>
          <w:b w:val="0"/>
          <w:i/>
          <w:sz w:val="16"/>
        </w:rPr>
        <w:t>The four-model sequence is reported in full: OLS and the spatial-lag model by AIC, the two local models by corrected AIC. All seven windows converged within a cap of 200 backfitting iterations, verified from the recorded bandwidth trajectory rather than inferred; the final twenty iterations hold a single value in every window for both surfaces shown. A positive gain over GWR means the multiscale model fits better. Bandwidths are counts of counties out of 3,103.</w:t>
      </w:r>
    </w:p>
    <w:sectPr w:rsidR="00FC693F" w:rsidRPr="0006063C" w:rsidSect="00034616">
      <w:footerReference w:type="default" r:id="rId12"/>
      <w:pgSz w:w="12240" w:h="15840"/>
      <w:pgMar w:top="1440" w:right="1440" w:bottom="1440" w:left="1440" w:header="720" w:footer="720" w:gutter="0"/>
      <w:cols w:space="720"/>
      <w:docGrid w:linePitch="360"/>
      <w:lnNumType w:countBy="1" w:restart="continuous" w:distan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40"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