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Additional file 1</w:t>
      </w:r>
    </w:p>
    <w:p>
      <w:r>
        <w:rPr>
          <w:b/>
        </w:rPr>
        <w:t>Table S1. The comparison of FMD and VFA between women aged &lt;50 years and ≥50 years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rPr>
                <w:rFonts w:ascii="Times New Roman" w:hAnsi="Times New Roman"/>
                <w:b/>
                <w:sz w:val="20"/>
              </w:rPr>
              <w:t>Variable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b/>
                <w:sz w:val="20"/>
              </w:rPr>
              <w:t>&lt;50 years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b/>
                <w:sz w:val="20"/>
              </w:rPr>
              <w:t>≥50 years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b/>
                <w:sz w:val="20"/>
              </w:rPr>
              <w:t>P value</w:t>
            </w:r>
          </w:p>
        </w:tc>
      </w:tr>
      <w:tr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FMD (%)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4.38 [4.07, 4.67]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3.33 [3.17, 3.48]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&lt;0.001</w:t>
            </w:r>
          </w:p>
        </w:tc>
      </w:tr>
      <w:tr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VFA (cm²)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86.0 [58.0, 107.0]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92.0 [44.5, 120.2]</w:t>
            </w:r>
          </w:p>
        </w:tc>
        <w:tc>
          <w:tcPr>
            <w:tcW w:type="dxa" w:w="2340"/>
          </w:tcPr>
          <w:p>
            <w:r>
              <w:rPr>
                <w:rFonts w:ascii="Times New Roman" w:hAnsi="Times New Roman"/>
                <w:sz w:val="20"/>
              </w:rPr>
              <w:t>0.032</w:t>
            </w:r>
          </w:p>
        </w:tc>
      </w:tr>
    </w:tbl>
    <w:p>
      <w:r>
        <w:t>Values are median [IQR]. FMD, flow-mediated dilation; IQR, interquartile range; VFA, visceral fat area.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