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72B472" w14:textId="1E7200B0" w:rsidR="009E121E" w:rsidRPr="00D2170B" w:rsidRDefault="00313502" w:rsidP="009E121E">
      <w:pPr>
        <w:rPr>
          <w:bCs/>
        </w:rPr>
      </w:pPr>
      <w:r>
        <w:rPr>
          <w:b/>
        </w:rPr>
        <w:t>Fig</w:t>
      </w:r>
      <w:r w:rsidR="003B53AD">
        <w:rPr>
          <w:b/>
        </w:rPr>
        <w:t>ure</w:t>
      </w:r>
      <w:r w:rsidR="009E121E">
        <w:rPr>
          <w:b/>
        </w:rPr>
        <w:t xml:space="preserve"> </w:t>
      </w:r>
      <w:r>
        <w:rPr>
          <w:b/>
        </w:rPr>
        <w:t>S</w:t>
      </w:r>
      <w:r w:rsidR="009E121E">
        <w:rPr>
          <w:b/>
        </w:rPr>
        <w:t xml:space="preserve">1. </w:t>
      </w:r>
      <w:r w:rsidR="00A514B3">
        <w:rPr>
          <w:b/>
        </w:rPr>
        <w:t xml:space="preserve">Extension Phase </w:t>
      </w:r>
      <w:r w:rsidR="009E121E">
        <w:rPr>
          <w:b/>
        </w:rPr>
        <w:t>Participant Flow Diagram</w:t>
      </w:r>
      <w:r w:rsidR="00A514B3">
        <w:rPr>
          <w:b/>
        </w:rPr>
        <w:t xml:space="preserve"> by Neflamapimod Drug </w:t>
      </w:r>
      <w:proofErr w:type="spellStart"/>
      <w:r w:rsidR="00A514B3">
        <w:rPr>
          <w:b/>
        </w:rPr>
        <w:t>Batchj</w:t>
      </w:r>
      <w:proofErr w:type="spellEnd"/>
    </w:p>
    <w:p w14:paraId="2A7B0B78" w14:textId="6EFA68F8" w:rsidR="009E121E" w:rsidRDefault="009E121E" w:rsidP="009E121E">
      <w:pPr>
        <w:rPr>
          <w:b/>
        </w:rPr>
      </w:pPr>
    </w:p>
    <w:p w14:paraId="06AC4DE6" w14:textId="47FD40F5" w:rsidR="00A514B3" w:rsidRDefault="00A514B3" w:rsidP="009E121E">
      <w:pPr>
        <w:rPr>
          <w:b/>
        </w:rPr>
      </w:pPr>
      <w:r w:rsidRPr="009B30C3">
        <w:rPr>
          <w:noProof/>
        </w:rPr>
        <w:drawing>
          <wp:inline distT="0" distB="0" distL="0" distR="0" wp14:anchorId="59B1D257" wp14:editId="763279A9">
            <wp:extent cx="5943600" cy="2907665"/>
            <wp:effectExtent l="0" t="0" r="0" b="635"/>
            <wp:docPr id="669362067" name="Picture 1" descr="A chart with blue and green str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62067" name="Picture 1" descr="A chart with blue and green stripes&#10;&#10;AI-generated content may be incorrect."/>
                    <pic:cNvPicPr/>
                  </pic:nvPicPr>
                  <pic:blipFill>
                    <a:blip r:embed="rId5"/>
                    <a:stretch>
                      <a:fillRect/>
                    </a:stretch>
                  </pic:blipFill>
                  <pic:spPr>
                    <a:xfrm>
                      <a:off x="0" y="0"/>
                      <a:ext cx="5943600" cy="2907665"/>
                    </a:xfrm>
                    <a:prstGeom prst="rect">
                      <a:avLst/>
                    </a:prstGeom>
                  </pic:spPr>
                </pic:pic>
              </a:graphicData>
            </a:graphic>
          </wp:inline>
        </w:drawing>
      </w:r>
    </w:p>
    <w:p w14:paraId="6FB7D759" w14:textId="77777777" w:rsidR="009E121E" w:rsidRDefault="009E121E" w:rsidP="009E121E">
      <w:pPr>
        <w:rPr>
          <w:b/>
        </w:rPr>
      </w:pPr>
    </w:p>
    <w:p w14:paraId="3361AAC8" w14:textId="44E19B3D" w:rsidR="009E121E" w:rsidRDefault="009E121E">
      <w:pPr>
        <w:rPr>
          <w:b/>
        </w:rPr>
      </w:pPr>
      <w:r>
        <w:rPr>
          <w:b/>
        </w:rPr>
        <w:br w:type="page"/>
      </w:r>
    </w:p>
    <w:p w14:paraId="1ED3587C" w14:textId="44592C71" w:rsidR="006E01E8" w:rsidRDefault="00313502">
      <w:pPr>
        <w:rPr>
          <w:b/>
        </w:rPr>
      </w:pPr>
      <w:r>
        <w:rPr>
          <w:b/>
        </w:rPr>
        <w:lastRenderedPageBreak/>
        <w:t>Fig</w:t>
      </w:r>
      <w:r w:rsidR="003B53AD">
        <w:rPr>
          <w:b/>
        </w:rPr>
        <w:t>ure</w:t>
      </w:r>
      <w:r>
        <w:rPr>
          <w:b/>
        </w:rPr>
        <w:t xml:space="preserve"> S</w:t>
      </w:r>
      <w:r w:rsidR="006E01E8">
        <w:rPr>
          <w:b/>
        </w:rPr>
        <w:t xml:space="preserve">2. </w:t>
      </w:r>
      <w:r w:rsidR="006E01E8" w:rsidRPr="006E01E8">
        <w:rPr>
          <w:b/>
        </w:rPr>
        <w:t>Pharmacokinetic Results by Neflamapimod Drug Product</w:t>
      </w:r>
    </w:p>
    <w:p w14:paraId="6818331F" w14:textId="77777777" w:rsidR="006E01E8" w:rsidRDefault="006E01E8">
      <w:pPr>
        <w:rPr>
          <w:b/>
        </w:rPr>
      </w:pPr>
    </w:p>
    <w:p w14:paraId="30A6D941" w14:textId="1722BCF9" w:rsidR="006E01E8" w:rsidRDefault="006E01E8">
      <w:pPr>
        <w:rPr>
          <w:b/>
        </w:rPr>
      </w:pPr>
      <w:r w:rsidRPr="006E01E8">
        <w:rPr>
          <w:b/>
          <w:noProof/>
        </w:rPr>
        <w:drawing>
          <wp:inline distT="0" distB="0" distL="0" distR="0" wp14:anchorId="2AB848D1" wp14:editId="5A2F25E3">
            <wp:extent cx="5943600" cy="2668270"/>
            <wp:effectExtent l="0" t="0" r="0" b="0"/>
            <wp:docPr id="193306171" name="Picture 1" descr="A comparison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06171" name="Picture 1" descr="A comparison of a graph&#10;&#10;AI-generated content may be incorrect."/>
                    <pic:cNvPicPr/>
                  </pic:nvPicPr>
                  <pic:blipFill>
                    <a:blip r:embed="rId6"/>
                    <a:stretch>
                      <a:fillRect/>
                    </a:stretch>
                  </pic:blipFill>
                  <pic:spPr>
                    <a:xfrm>
                      <a:off x="0" y="0"/>
                      <a:ext cx="5943600" cy="2668270"/>
                    </a:xfrm>
                    <a:prstGeom prst="rect">
                      <a:avLst/>
                    </a:prstGeom>
                  </pic:spPr>
                </pic:pic>
              </a:graphicData>
            </a:graphic>
          </wp:inline>
        </w:drawing>
      </w:r>
    </w:p>
    <w:p w14:paraId="1BAAD538" w14:textId="77777777" w:rsidR="003B53AD" w:rsidRDefault="00E358CC">
      <w:pPr>
        <w:rPr>
          <w:rFonts w:ascii="Times New Roman" w:hAnsi="Times New Roman" w:cs="Times New Roman"/>
        </w:rPr>
      </w:pPr>
      <w:r>
        <w:rPr>
          <w:rFonts w:ascii="Times New Roman" w:hAnsi="Times New Roman" w:cs="Times New Roman"/>
          <w:b/>
          <w:bCs/>
        </w:rPr>
        <w:t xml:space="preserve">Legend.  </w:t>
      </w:r>
      <w:r>
        <w:rPr>
          <w:rFonts w:ascii="Times New Roman" w:hAnsi="Times New Roman" w:cs="Times New Roman"/>
        </w:rPr>
        <w:t>A.  Mean trough plasma drug concentration (</w:t>
      </w:r>
      <w:proofErr w:type="spellStart"/>
      <w:r>
        <w:rPr>
          <w:rFonts w:ascii="Times New Roman" w:hAnsi="Times New Roman" w:cs="Times New Roman"/>
        </w:rPr>
        <w:t>C</w:t>
      </w:r>
      <w:r>
        <w:rPr>
          <w:rFonts w:ascii="Times New Roman" w:hAnsi="Times New Roman" w:cs="Times New Roman"/>
          <w:vertAlign w:val="subscript"/>
        </w:rPr>
        <w:t>Trough</w:t>
      </w:r>
      <w:proofErr w:type="spellEnd"/>
      <w:r>
        <w:rPr>
          <w:rFonts w:ascii="Times New Roman" w:hAnsi="Times New Roman" w:cs="Times New Roman"/>
        </w:rPr>
        <w:t>) by neflamapimod drug product batch (</w:t>
      </w:r>
      <w:r>
        <w:rPr>
          <w:rFonts w:ascii="Times New Roman" w:hAnsi="Times New Roman" w:cs="Times New Roman"/>
          <w:i/>
          <w:iCs/>
        </w:rPr>
        <w:t>P=</w:t>
      </w:r>
      <w:r>
        <w:rPr>
          <w:rFonts w:ascii="Times New Roman" w:hAnsi="Times New Roman" w:cs="Times New Roman"/>
        </w:rPr>
        <w:t xml:space="preserve">0.003 for the difference between Batch A and </w:t>
      </w:r>
      <w:proofErr w:type="spellStart"/>
      <w:r>
        <w:rPr>
          <w:rFonts w:ascii="Times New Roman" w:hAnsi="Times New Roman" w:cs="Times New Roman"/>
        </w:rPr>
        <w:t>DBatch</w:t>
      </w:r>
      <w:proofErr w:type="spellEnd"/>
      <w:r>
        <w:rPr>
          <w:rFonts w:ascii="Times New Roman" w:hAnsi="Times New Roman" w:cs="Times New Roman"/>
        </w:rPr>
        <w:t xml:space="preserve"> B). The dashed line is the 5 ng/mL concentration that was the expected mean </w:t>
      </w:r>
      <w:proofErr w:type="spellStart"/>
      <w:r>
        <w:rPr>
          <w:rFonts w:ascii="Times New Roman" w:hAnsi="Times New Roman" w:cs="Times New Roman"/>
        </w:rPr>
        <w:t>C</w:t>
      </w:r>
      <w:r>
        <w:rPr>
          <w:rFonts w:ascii="Times New Roman" w:hAnsi="Times New Roman" w:cs="Times New Roman"/>
          <w:vertAlign w:val="subscript"/>
        </w:rPr>
        <w:t>Trough</w:t>
      </w:r>
      <w:proofErr w:type="spellEnd"/>
      <w:r>
        <w:rPr>
          <w:rFonts w:ascii="Times New Roman" w:hAnsi="Times New Roman" w:cs="Times New Roman"/>
          <w:vertAlign w:val="subscript"/>
        </w:rPr>
        <w:t xml:space="preserve"> </w:t>
      </w:r>
      <w:r>
        <w:rPr>
          <w:rFonts w:ascii="Times New Roman" w:hAnsi="Times New Roman" w:cs="Times New Roman"/>
        </w:rPr>
        <w:t xml:space="preserve">at steady state for 40mg TID based on data from prior clinical studies. B. Percentage of participants within each neflamapimod batch group whose </w:t>
      </w:r>
      <w:proofErr w:type="spellStart"/>
      <w:r>
        <w:rPr>
          <w:rFonts w:ascii="Times New Roman" w:hAnsi="Times New Roman" w:cs="Times New Roman"/>
        </w:rPr>
        <w:t>C</w:t>
      </w:r>
      <w:r>
        <w:rPr>
          <w:rFonts w:ascii="Times New Roman" w:hAnsi="Times New Roman" w:cs="Times New Roman"/>
          <w:vertAlign w:val="subscript"/>
        </w:rPr>
        <w:t>Trough</w:t>
      </w:r>
      <w:proofErr w:type="spellEnd"/>
      <w:r>
        <w:rPr>
          <w:rFonts w:ascii="Times New Roman" w:hAnsi="Times New Roman" w:cs="Times New Roman"/>
          <w:vertAlign w:val="subscript"/>
        </w:rPr>
        <w:t xml:space="preserve"> </w:t>
      </w:r>
      <w:r>
        <w:rPr>
          <w:rFonts w:ascii="Times New Roman" w:hAnsi="Times New Roman" w:cs="Times New Roman"/>
        </w:rPr>
        <w:t xml:space="preserve">exceeded the individual participant target of 4 ng/mL </w:t>
      </w:r>
      <w:proofErr w:type="spellStart"/>
      <w:r>
        <w:rPr>
          <w:rFonts w:ascii="Times New Roman" w:hAnsi="Times New Roman" w:cs="Times New Roman"/>
        </w:rPr>
        <w:t>deriuved</w:t>
      </w:r>
      <w:proofErr w:type="spellEnd"/>
      <w:r>
        <w:rPr>
          <w:rFonts w:ascii="Times New Roman" w:hAnsi="Times New Roman" w:cs="Times New Roman"/>
        </w:rPr>
        <w:t xml:space="preserve"> in prior PK-PD analyses (P=0.02 for difference </w:t>
      </w:r>
      <w:proofErr w:type="spellStart"/>
      <w:r>
        <w:rPr>
          <w:rFonts w:ascii="Times New Roman" w:hAnsi="Times New Roman" w:cs="Times New Roman"/>
        </w:rPr>
        <w:t>vetween</w:t>
      </w:r>
      <w:proofErr w:type="spellEnd"/>
      <w:r>
        <w:rPr>
          <w:rFonts w:ascii="Times New Roman" w:hAnsi="Times New Roman" w:cs="Times New Roman"/>
        </w:rPr>
        <w:t xml:space="preserve"> DP Batch A and DP Batch B in the percentage of participants who achieved a </w:t>
      </w:r>
      <w:proofErr w:type="spellStart"/>
      <w:r>
        <w:rPr>
          <w:rFonts w:ascii="Times New Roman" w:hAnsi="Times New Roman" w:cs="Times New Roman"/>
        </w:rPr>
        <w:t>C</w:t>
      </w:r>
      <w:r w:rsidRPr="00960520">
        <w:rPr>
          <w:rFonts w:ascii="Times New Roman" w:hAnsi="Times New Roman" w:cs="Times New Roman"/>
          <w:vertAlign w:val="subscript"/>
        </w:rPr>
        <w:t>Trough</w:t>
      </w:r>
      <w:proofErr w:type="spellEnd"/>
      <w:r w:rsidRPr="00960520">
        <w:rPr>
          <w:rFonts w:ascii="Times New Roman" w:hAnsi="Times New Roman" w:cs="Times New Roman"/>
          <w:vertAlign w:val="subscript"/>
        </w:rPr>
        <w:t xml:space="preserve"> </w:t>
      </w:r>
      <w:r>
        <w:rPr>
          <w:rFonts w:ascii="Times New Roman" w:hAnsi="Times New Roman" w:cs="Times New Roman"/>
        </w:rPr>
        <w:t xml:space="preserve">of 4 ng/mL).  Plasma samples for </w:t>
      </w:r>
      <w:proofErr w:type="spellStart"/>
      <w:r w:rsidRPr="00960520">
        <w:rPr>
          <w:rFonts w:ascii="Times New Roman" w:hAnsi="Times New Roman" w:cs="Times New Roman"/>
        </w:rPr>
        <w:t>C</w:t>
      </w:r>
      <w:r w:rsidRPr="00960520">
        <w:rPr>
          <w:rFonts w:ascii="Times New Roman" w:hAnsi="Times New Roman" w:cs="Times New Roman"/>
          <w:vertAlign w:val="subscript"/>
        </w:rPr>
        <w:t>Trough</w:t>
      </w:r>
      <w:proofErr w:type="spellEnd"/>
      <w:r w:rsidRPr="00960520">
        <w:rPr>
          <w:rFonts w:ascii="Times New Roman" w:hAnsi="Times New Roman" w:cs="Times New Roman"/>
          <w:b/>
          <w:bCs/>
        </w:rPr>
        <w:t xml:space="preserve"> </w:t>
      </w:r>
      <w:r>
        <w:rPr>
          <w:rFonts w:ascii="Times New Roman" w:hAnsi="Times New Roman" w:cs="Times New Roman"/>
        </w:rPr>
        <w:t xml:space="preserve">obtained at Week 2 of the randomized phase and Week 4 of the extension phase.  Participants/caregivers were instructed to not take their morning dose of study drug on those visit dates, come to the clinical site and provide a sample for pharmacokinetic determination prior to taking their morning dose. The time that the sample was obtained and the time of the last dose of study drug was recorded.  To obtain a true </w:t>
      </w:r>
      <w:proofErr w:type="spellStart"/>
      <w:r>
        <w:rPr>
          <w:rFonts w:ascii="Times New Roman" w:hAnsi="Times New Roman" w:cs="Times New Roman"/>
        </w:rPr>
        <w:t>C</w:t>
      </w:r>
      <w:r>
        <w:rPr>
          <w:rFonts w:ascii="Times New Roman" w:hAnsi="Times New Roman" w:cs="Times New Roman"/>
          <w:vertAlign w:val="subscript"/>
        </w:rPr>
        <w:t>Trough</w:t>
      </w:r>
      <w:proofErr w:type="spellEnd"/>
      <w:r>
        <w:rPr>
          <w:rFonts w:ascii="Times New Roman" w:hAnsi="Times New Roman" w:cs="Times New Roman"/>
          <w:vertAlign w:val="subscript"/>
        </w:rPr>
        <w:t xml:space="preserve"> </w:t>
      </w:r>
      <w:r>
        <w:rPr>
          <w:rFonts w:ascii="Times New Roman" w:hAnsi="Times New Roman" w:cs="Times New Roman"/>
        </w:rPr>
        <w:t>value, pharmacokinetic modeling was utilized to regress back to 12-hour post-dose timepoint using the measured value and time post-dose the sample was obtained, which varied between 8 and up to more than 20 hours after the evening dose (mean = 15.5 hours post evening dose).</w:t>
      </w:r>
    </w:p>
    <w:p w14:paraId="5B2B2DB6" w14:textId="77777777" w:rsidR="003B53AD" w:rsidRDefault="003B53AD">
      <w:pPr>
        <w:rPr>
          <w:rFonts w:ascii="Times New Roman" w:hAnsi="Times New Roman" w:cs="Times New Roman"/>
        </w:rPr>
      </w:pPr>
    </w:p>
    <w:p w14:paraId="78E2399E" w14:textId="77777777" w:rsidR="003B53AD" w:rsidRDefault="003B53AD">
      <w:pPr>
        <w:rPr>
          <w:rFonts w:ascii="Times New Roman" w:hAnsi="Times New Roman" w:cs="Times New Roman"/>
        </w:rPr>
      </w:pPr>
    </w:p>
    <w:p w14:paraId="5B3D9DB2" w14:textId="77777777" w:rsidR="003B53AD" w:rsidRDefault="003B53AD">
      <w:pPr>
        <w:rPr>
          <w:rFonts w:ascii="Times New Roman" w:hAnsi="Times New Roman" w:cs="Times New Roman"/>
        </w:rPr>
      </w:pPr>
    </w:p>
    <w:p w14:paraId="1A303376" w14:textId="77777777" w:rsidR="003B53AD" w:rsidRDefault="003B53AD">
      <w:pPr>
        <w:rPr>
          <w:rFonts w:ascii="Times New Roman" w:hAnsi="Times New Roman" w:cs="Times New Roman"/>
        </w:rPr>
      </w:pPr>
    </w:p>
    <w:p w14:paraId="29D58AA7" w14:textId="77777777" w:rsidR="003B53AD" w:rsidRDefault="003B53AD">
      <w:pPr>
        <w:rPr>
          <w:rFonts w:ascii="Times New Roman" w:hAnsi="Times New Roman" w:cs="Times New Roman"/>
        </w:rPr>
      </w:pPr>
    </w:p>
    <w:p w14:paraId="08C2D409" w14:textId="77777777" w:rsidR="003B53AD" w:rsidRDefault="003B53AD">
      <w:pPr>
        <w:rPr>
          <w:rFonts w:ascii="Times New Roman" w:hAnsi="Times New Roman" w:cs="Times New Roman"/>
        </w:rPr>
      </w:pPr>
    </w:p>
    <w:p w14:paraId="52E9361C" w14:textId="11D9788A" w:rsidR="003B53AD" w:rsidRPr="003B53AD" w:rsidRDefault="003B53AD" w:rsidP="003B53AD">
      <w:pPr>
        <w:rPr>
          <w:b/>
          <w:bCs/>
        </w:rPr>
      </w:pPr>
      <w:r>
        <w:rPr>
          <w:rFonts w:ascii="Times New Roman" w:hAnsi="Times New Roman" w:cs="Times New Roman"/>
          <w:b/>
          <w:bCs/>
        </w:rPr>
        <w:t>Figure S3. M</w:t>
      </w:r>
      <w:r w:rsidRPr="003B53AD">
        <w:rPr>
          <w:rFonts w:ascii="Times New Roman" w:hAnsi="Times New Roman" w:cs="Times New Roman"/>
          <w:b/>
          <w:bCs/>
        </w:rPr>
        <w:t>ean change in CDR-SB and ADCS-CGIC</w:t>
      </w:r>
      <w:r>
        <w:rPr>
          <w:rFonts w:ascii="Times New Roman" w:hAnsi="Times New Roman" w:cs="Times New Roman"/>
          <w:b/>
          <w:bCs/>
        </w:rPr>
        <w:t xml:space="preserve"> </w:t>
      </w:r>
      <w:r w:rsidRPr="003B53AD">
        <w:rPr>
          <w:rFonts w:ascii="Times New Roman" w:hAnsi="Times New Roman" w:cs="Times New Roman"/>
          <w:b/>
          <w:bCs/>
        </w:rPr>
        <w:t>during first 16 weeks of the Extension Phase with DP Batch B, compared to DP Batch A</w:t>
      </w:r>
    </w:p>
    <w:p w14:paraId="250C260D" w14:textId="57CDC057" w:rsidR="003B53AD" w:rsidRDefault="003B53AD">
      <w:pPr>
        <w:rPr>
          <w:rFonts w:ascii="Times New Roman" w:hAnsi="Times New Roman" w:cs="Times New Roman"/>
          <w:b/>
          <w:bCs/>
        </w:rPr>
      </w:pPr>
    </w:p>
    <w:p w14:paraId="07181DE1" w14:textId="79DE9541" w:rsidR="003B53AD" w:rsidRDefault="003B53AD">
      <w:pPr>
        <w:rPr>
          <w:rFonts w:ascii="Times New Roman" w:hAnsi="Times New Roman" w:cs="Times New Roman"/>
          <w:b/>
          <w:bCs/>
        </w:rPr>
      </w:pPr>
      <w:r w:rsidRPr="003B53AD">
        <w:rPr>
          <w:rFonts w:ascii="Times New Roman" w:hAnsi="Times New Roman" w:cs="Times New Roman"/>
          <w:b/>
          <w:bCs/>
        </w:rPr>
        <w:drawing>
          <wp:inline distT="0" distB="0" distL="0" distR="0" wp14:anchorId="6B10D991" wp14:editId="2259D0C4">
            <wp:extent cx="5943600" cy="2212085"/>
            <wp:effectExtent l="0" t="0" r="0" b="0"/>
            <wp:docPr id="41626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26614" name=""/>
                    <pic:cNvPicPr/>
                  </pic:nvPicPr>
                  <pic:blipFill>
                    <a:blip r:embed="rId7"/>
                    <a:stretch>
                      <a:fillRect/>
                    </a:stretch>
                  </pic:blipFill>
                  <pic:spPr>
                    <a:xfrm>
                      <a:off x="0" y="0"/>
                      <a:ext cx="5943600" cy="2212085"/>
                    </a:xfrm>
                    <a:prstGeom prst="rect">
                      <a:avLst/>
                    </a:prstGeom>
                  </pic:spPr>
                </pic:pic>
              </a:graphicData>
            </a:graphic>
          </wp:inline>
        </w:drawing>
      </w:r>
    </w:p>
    <w:p w14:paraId="402E38BB" w14:textId="37B25158" w:rsidR="003B53AD" w:rsidRDefault="003B53AD">
      <w:pPr>
        <w:rPr>
          <w:rFonts w:ascii="Times New Roman" w:hAnsi="Times New Roman" w:cs="Times New Roman"/>
          <w:b/>
          <w:bCs/>
        </w:rPr>
      </w:pPr>
    </w:p>
    <w:p w14:paraId="5C189CC0" w14:textId="0576DF0E" w:rsidR="00C71B8C" w:rsidRDefault="00C71B8C" w:rsidP="00C71B8C">
      <w:pPr>
        <w:rPr>
          <w:rFonts w:ascii="Times New Roman" w:hAnsi="Times New Roman" w:cs="Times New Roman"/>
        </w:rPr>
      </w:pPr>
      <w:r>
        <w:rPr>
          <w:rFonts w:ascii="Times New Roman" w:hAnsi="Times New Roman" w:cs="Times New Roman"/>
          <w:b/>
          <w:bCs/>
        </w:rPr>
        <w:t xml:space="preserve">Legend.   </w:t>
      </w:r>
      <w:r>
        <w:rPr>
          <w:rFonts w:ascii="Times New Roman" w:hAnsi="Times New Roman" w:cs="Times New Roman"/>
        </w:rPr>
        <w:t xml:space="preserve">DP Batch A:  Batch of neflamapimod capsules utilized during the placebo-controlled period and in a subset of participants during the extension.  </w:t>
      </w:r>
      <w:r w:rsidRPr="00C71B8C">
        <w:rPr>
          <w:rFonts w:ascii="Times New Roman" w:hAnsi="Times New Roman" w:cs="Times New Roman"/>
        </w:rPr>
        <w:t>Due to batch- to-batch variability in polymorphic solid- state forms, did not achieve expected plasma drug concentrations for 40mg TID.</w:t>
      </w:r>
      <w:r>
        <w:rPr>
          <w:rFonts w:ascii="Times New Roman" w:hAnsi="Times New Roman" w:cs="Times New Roman"/>
          <w:b/>
          <w:bCs/>
        </w:rPr>
        <w:t xml:space="preserve">  </w:t>
      </w:r>
      <w:r w:rsidRPr="00C71B8C">
        <w:rPr>
          <w:rFonts w:ascii="Times New Roman" w:hAnsi="Times New Roman" w:cs="Times New Roman"/>
        </w:rPr>
        <w:t>DP Batch B:</w:t>
      </w:r>
      <w:r w:rsidRPr="00C71B8C">
        <w:rPr>
          <w:rFonts w:ascii="Times New Roman" w:hAnsi="Times New Roman" w:cs="Times New Roman"/>
          <w:b/>
          <w:bCs/>
        </w:rPr>
        <w:t xml:space="preserve"> </w:t>
      </w:r>
      <w:r w:rsidRPr="00C71B8C">
        <w:rPr>
          <w:rFonts w:ascii="Times New Roman" w:hAnsi="Times New Roman" w:cs="Times New Roman"/>
        </w:rPr>
        <w:t>Achieved the expected plasma drug concentrations for 40mg T</w:t>
      </w:r>
      <w:r>
        <w:rPr>
          <w:rFonts w:ascii="Times New Roman" w:hAnsi="Times New Roman" w:cs="Times New Roman"/>
        </w:rPr>
        <w:t>ID.</w:t>
      </w:r>
    </w:p>
    <w:p w14:paraId="102D0B33" w14:textId="3F7EAA68" w:rsidR="00C71B8C" w:rsidRDefault="00C71B8C" w:rsidP="00C71B8C">
      <w:pPr>
        <w:rPr>
          <w:rFonts w:ascii="Times New Roman" w:hAnsi="Times New Roman" w:cs="Times New Roman"/>
        </w:rPr>
      </w:pPr>
      <w:r>
        <w:rPr>
          <w:rFonts w:ascii="Times New Roman" w:hAnsi="Times New Roman" w:cs="Times New Roman"/>
        </w:rPr>
        <w:t>Change in CDR-SB:  Change from start of extension phase (study week 16; end of placebo-controlled period) analyzed by linear mixed effects (LME) model incorporating data from both week 8 and 16 of the extension.</w:t>
      </w:r>
    </w:p>
    <w:p w14:paraId="337D1D67" w14:textId="0690E5EE" w:rsidR="00C71B8C" w:rsidRPr="00C71B8C" w:rsidRDefault="00C71B8C" w:rsidP="00C71B8C">
      <w:pPr>
        <w:rPr>
          <w:rFonts w:ascii="Times New Roman" w:hAnsi="Times New Roman" w:cs="Times New Roman"/>
          <w:b/>
          <w:bCs/>
        </w:rPr>
      </w:pPr>
      <w:r>
        <w:rPr>
          <w:rFonts w:ascii="Times New Roman" w:hAnsi="Times New Roman" w:cs="Times New Roman"/>
        </w:rPr>
        <w:t>Alzheimer's Disease Collaborative Study (ADCS) - Clinical Global Impression of Change (CGIC): obtained at week 8 of the extension to assess clinical global impression of change from start of extension to week 8 of the extension, analyzed by Mann-Whitney rank sum test.</w:t>
      </w:r>
    </w:p>
    <w:p w14:paraId="51117F1E" w14:textId="59600F34" w:rsidR="00E358CC" w:rsidRDefault="00E358CC">
      <w:pPr>
        <w:rPr>
          <w:b/>
        </w:rPr>
      </w:pPr>
    </w:p>
    <w:p w14:paraId="6B43FA75" w14:textId="77777777" w:rsidR="006E01E8" w:rsidRDefault="006E01E8">
      <w:pPr>
        <w:rPr>
          <w:b/>
        </w:rPr>
      </w:pPr>
    </w:p>
    <w:p w14:paraId="3FCEECCC" w14:textId="41977A84" w:rsidR="006E01E8" w:rsidRDefault="006E01E8">
      <w:pPr>
        <w:rPr>
          <w:b/>
        </w:rPr>
      </w:pPr>
      <w:r>
        <w:rPr>
          <w:b/>
        </w:rPr>
        <w:br w:type="page"/>
      </w:r>
    </w:p>
    <w:p w14:paraId="2ECF875D" w14:textId="3CB5F224" w:rsidR="009E121E" w:rsidRPr="009E121E" w:rsidRDefault="00313502">
      <w:pPr>
        <w:rPr>
          <w:b/>
          <w:bCs/>
        </w:rPr>
      </w:pPr>
      <w:r>
        <w:rPr>
          <w:b/>
          <w:bCs/>
        </w:rPr>
        <w:lastRenderedPageBreak/>
        <w:t>Fig</w:t>
      </w:r>
      <w:r w:rsidR="003B53AD">
        <w:rPr>
          <w:b/>
          <w:bCs/>
        </w:rPr>
        <w:t>ure</w:t>
      </w:r>
      <w:r>
        <w:rPr>
          <w:b/>
          <w:bCs/>
        </w:rPr>
        <w:t xml:space="preserve"> S</w:t>
      </w:r>
      <w:r w:rsidR="003B53AD">
        <w:rPr>
          <w:b/>
          <w:bCs/>
        </w:rPr>
        <w:t>4.</w:t>
      </w:r>
      <w:r w:rsidR="009E121E" w:rsidRPr="009E121E">
        <w:rPr>
          <w:b/>
          <w:bCs/>
        </w:rPr>
        <w:t xml:space="preserve"> Pharmacokinetic-Pharmacodynamic Relationship in 24-Week Placebo-Controlled Study</w:t>
      </w:r>
      <w:r w:rsidR="009E121E" w:rsidRPr="009E121E">
        <w:rPr>
          <w:b/>
          <w:bCs/>
          <w:vertAlign w:val="superscript"/>
        </w:rPr>
        <w:t>1</w:t>
      </w:r>
      <w:r w:rsidR="009E121E" w:rsidRPr="009E121E">
        <w:rPr>
          <w:b/>
          <w:bCs/>
        </w:rPr>
        <w:t xml:space="preserve"> of Neflamapimod in Early Alzheimer’s Disease (AD)</w:t>
      </w:r>
    </w:p>
    <w:p w14:paraId="66AB61C7" w14:textId="14FB84E4" w:rsidR="009E121E" w:rsidRDefault="009E121E">
      <w:r w:rsidRPr="009E121E">
        <w:rPr>
          <w:noProof/>
        </w:rPr>
        <w:drawing>
          <wp:inline distT="0" distB="0" distL="0" distR="0" wp14:anchorId="1025DC33" wp14:editId="2659FB1C">
            <wp:extent cx="5943600" cy="4514850"/>
            <wp:effectExtent l="0" t="0" r="0" b="0"/>
            <wp:docPr id="1680471043" name="Picture 1" descr="A screen 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471043" name="Picture 1" descr="A screen shot of a computer screen&#10;&#10;AI-generated content may be incorrect."/>
                    <pic:cNvPicPr/>
                  </pic:nvPicPr>
                  <pic:blipFill>
                    <a:blip r:embed="rId8"/>
                    <a:stretch>
                      <a:fillRect/>
                    </a:stretch>
                  </pic:blipFill>
                  <pic:spPr>
                    <a:xfrm>
                      <a:off x="0" y="0"/>
                      <a:ext cx="5943600" cy="4514850"/>
                    </a:xfrm>
                    <a:prstGeom prst="rect">
                      <a:avLst/>
                    </a:prstGeom>
                  </pic:spPr>
                </pic:pic>
              </a:graphicData>
            </a:graphic>
          </wp:inline>
        </w:drawing>
      </w:r>
    </w:p>
    <w:p w14:paraId="11C30071" w14:textId="77777777" w:rsidR="009E121E" w:rsidRDefault="009E121E"/>
    <w:p w14:paraId="2935F22C" w14:textId="321A9CCB" w:rsidR="009E121E" w:rsidRPr="009E121E" w:rsidRDefault="009E121E" w:rsidP="009E121E">
      <w:r>
        <w:t xml:space="preserve">Adapted from </w:t>
      </w:r>
      <w:r w:rsidRPr="009E121E">
        <w:t xml:space="preserve">Prins et al. Alzheimer's Research &amp; Therapy (2021) 13:106 </w:t>
      </w:r>
      <w:hyperlink r:id="rId9" w:history="1">
        <w:r w:rsidRPr="009E121E">
          <w:rPr>
            <w:rStyle w:val="Hyperlink"/>
          </w:rPr>
          <w:t>https://doi.org/10.1186/s13195-021-00843-2</w:t>
        </w:r>
      </w:hyperlink>
    </w:p>
    <w:p w14:paraId="43960C04" w14:textId="77777777" w:rsidR="009E121E" w:rsidRDefault="009E121E"/>
    <w:p w14:paraId="5436F59A" w14:textId="77777777" w:rsidR="009E121E" w:rsidRDefault="009E121E"/>
    <w:p w14:paraId="4B64700F" w14:textId="77777777" w:rsidR="009E121E" w:rsidRDefault="009E121E"/>
    <w:p w14:paraId="16ECC103" w14:textId="13B5595F" w:rsidR="009E121E" w:rsidRDefault="009E121E">
      <w:r>
        <w:br w:type="page"/>
      </w:r>
    </w:p>
    <w:p w14:paraId="2F325DB7" w14:textId="4821C8AC" w:rsidR="009E121E" w:rsidRDefault="00313502">
      <w:pPr>
        <w:rPr>
          <w:b/>
          <w:bCs/>
        </w:rPr>
      </w:pPr>
      <w:r>
        <w:rPr>
          <w:b/>
          <w:bCs/>
        </w:rPr>
        <w:lastRenderedPageBreak/>
        <w:t>Fig</w:t>
      </w:r>
      <w:r w:rsidR="003B53AD">
        <w:rPr>
          <w:b/>
          <w:bCs/>
        </w:rPr>
        <w:t>ure</w:t>
      </w:r>
      <w:r>
        <w:rPr>
          <w:b/>
          <w:bCs/>
        </w:rPr>
        <w:t xml:space="preserve"> S</w:t>
      </w:r>
      <w:r w:rsidR="003B53AD">
        <w:rPr>
          <w:b/>
          <w:bCs/>
        </w:rPr>
        <w:t>5</w:t>
      </w:r>
      <w:r w:rsidR="009E121E">
        <w:rPr>
          <w:b/>
          <w:bCs/>
        </w:rPr>
        <w:t xml:space="preserve">. </w:t>
      </w:r>
      <w:r w:rsidR="009E121E" w:rsidRPr="009E121E">
        <w:rPr>
          <w:b/>
          <w:bCs/>
        </w:rPr>
        <w:t>Neflamapimod Concentration Effect Relationships</w:t>
      </w:r>
    </w:p>
    <w:p w14:paraId="565759B0" w14:textId="5244329C" w:rsidR="009E121E" w:rsidRDefault="009E121E">
      <w:pPr>
        <w:rPr>
          <w:b/>
          <w:bCs/>
        </w:rPr>
      </w:pPr>
      <w:r w:rsidRPr="009E121E">
        <w:rPr>
          <w:b/>
          <w:bCs/>
          <w:noProof/>
        </w:rPr>
        <w:drawing>
          <wp:inline distT="0" distB="0" distL="0" distR="0" wp14:anchorId="1D565A06" wp14:editId="3D0D7584">
            <wp:extent cx="5943600" cy="3436620"/>
            <wp:effectExtent l="0" t="0" r="0" b="0"/>
            <wp:docPr id="1379243255"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243255" name="Picture 1" descr="A screenshot of a computer screen&#10;&#10;AI-generated content may be incorrect."/>
                    <pic:cNvPicPr/>
                  </pic:nvPicPr>
                  <pic:blipFill>
                    <a:blip r:embed="rId10"/>
                    <a:stretch>
                      <a:fillRect/>
                    </a:stretch>
                  </pic:blipFill>
                  <pic:spPr>
                    <a:xfrm>
                      <a:off x="0" y="0"/>
                      <a:ext cx="5943600" cy="3436620"/>
                    </a:xfrm>
                    <a:prstGeom prst="rect">
                      <a:avLst/>
                    </a:prstGeom>
                  </pic:spPr>
                </pic:pic>
              </a:graphicData>
            </a:graphic>
          </wp:inline>
        </w:drawing>
      </w:r>
    </w:p>
    <w:p w14:paraId="7470DEDC" w14:textId="77777777" w:rsidR="009E121E" w:rsidRDefault="009E121E">
      <w:pPr>
        <w:rPr>
          <w:b/>
          <w:bCs/>
        </w:rPr>
      </w:pPr>
    </w:p>
    <w:p w14:paraId="5BCC3CCC" w14:textId="4545363A" w:rsidR="009E121E" w:rsidRDefault="009E121E">
      <w:pPr>
        <w:rPr>
          <w:b/>
          <w:bCs/>
        </w:rPr>
      </w:pPr>
      <w:r>
        <w:rPr>
          <w:b/>
          <w:bCs/>
        </w:rPr>
        <w:br w:type="page"/>
      </w:r>
    </w:p>
    <w:sectPr w:rsidR="009E12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altName w:val="Helvetica"/>
    <w:panose1 w:val="020B0604020202020204"/>
    <w:charset w:val="00"/>
    <w:family w:val="swiss"/>
    <w:pitch w:val="variable"/>
    <w:sig w:usb0="E0002EFF" w:usb1="C000785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393636"/>
    <w:multiLevelType w:val="hybridMultilevel"/>
    <w:tmpl w:val="CC20960E"/>
    <w:lvl w:ilvl="0" w:tplc="23D898F0">
      <w:start w:val="1"/>
      <w:numFmt w:val="bullet"/>
      <w:lvlText w:val="•"/>
      <w:lvlJc w:val="left"/>
      <w:pPr>
        <w:tabs>
          <w:tab w:val="num" w:pos="720"/>
        </w:tabs>
        <w:ind w:left="720" w:hanging="360"/>
      </w:pPr>
      <w:rPr>
        <w:rFonts w:ascii="Arial" w:hAnsi="Arial" w:hint="default"/>
      </w:rPr>
    </w:lvl>
    <w:lvl w:ilvl="1" w:tplc="CF54781E">
      <w:start w:val="1"/>
      <w:numFmt w:val="bullet"/>
      <w:lvlText w:val="•"/>
      <w:lvlJc w:val="left"/>
      <w:pPr>
        <w:tabs>
          <w:tab w:val="num" w:pos="1440"/>
        </w:tabs>
        <w:ind w:left="1440" w:hanging="360"/>
      </w:pPr>
      <w:rPr>
        <w:rFonts w:ascii="Arial" w:hAnsi="Arial" w:hint="default"/>
      </w:rPr>
    </w:lvl>
    <w:lvl w:ilvl="2" w:tplc="973C4D82" w:tentative="1">
      <w:start w:val="1"/>
      <w:numFmt w:val="bullet"/>
      <w:lvlText w:val="•"/>
      <w:lvlJc w:val="left"/>
      <w:pPr>
        <w:tabs>
          <w:tab w:val="num" w:pos="2160"/>
        </w:tabs>
        <w:ind w:left="2160" w:hanging="360"/>
      </w:pPr>
      <w:rPr>
        <w:rFonts w:ascii="Arial" w:hAnsi="Arial" w:hint="default"/>
      </w:rPr>
    </w:lvl>
    <w:lvl w:ilvl="3" w:tplc="D4484AA6" w:tentative="1">
      <w:start w:val="1"/>
      <w:numFmt w:val="bullet"/>
      <w:lvlText w:val="•"/>
      <w:lvlJc w:val="left"/>
      <w:pPr>
        <w:tabs>
          <w:tab w:val="num" w:pos="2880"/>
        </w:tabs>
        <w:ind w:left="2880" w:hanging="360"/>
      </w:pPr>
      <w:rPr>
        <w:rFonts w:ascii="Arial" w:hAnsi="Arial" w:hint="default"/>
      </w:rPr>
    </w:lvl>
    <w:lvl w:ilvl="4" w:tplc="4018546E" w:tentative="1">
      <w:start w:val="1"/>
      <w:numFmt w:val="bullet"/>
      <w:lvlText w:val="•"/>
      <w:lvlJc w:val="left"/>
      <w:pPr>
        <w:tabs>
          <w:tab w:val="num" w:pos="3600"/>
        </w:tabs>
        <w:ind w:left="3600" w:hanging="360"/>
      </w:pPr>
      <w:rPr>
        <w:rFonts w:ascii="Arial" w:hAnsi="Arial" w:hint="default"/>
      </w:rPr>
    </w:lvl>
    <w:lvl w:ilvl="5" w:tplc="615201AA" w:tentative="1">
      <w:start w:val="1"/>
      <w:numFmt w:val="bullet"/>
      <w:lvlText w:val="•"/>
      <w:lvlJc w:val="left"/>
      <w:pPr>
        <w:tabs>
          <w:tab w:val="num" w:pos="4320"/>
        </w:tabs>
        <w:ind w:left="4320" w:hanging="360"/>
      </w:pPr>
      <w:rPr>
        <w:rFonts w:ascii="Arial" w:hAnsi="Arial" w:hint="default"/>
      </w:rPr>
    </w:lvl>
    <w:lvl w:ilvl="6" w:tplc="1E7AA9D4" w:tentative="1">
      <w:start w:val="1"/>
      <w:numFmt w:val="bullet"/>
      <w:lvlText w:val="•"/>
      <w:lvlJc w:val="left"/>
      <w:pPr>
        <w:tabs>
          <w:tab w:val="num" w:pos="5040"/>
        </w:tabs>
        <w:ind w:left="5040" w:hanging="360"/>
      </w:pPr>
      <w:rPr>
        <w:rFonts w:ascii="Arial" w:hAnsi="Arial" w:hint="default"/>
      </w:rPr>
    </w:lvl>
    <w:lvl w:ilvl="7" w:tplc="94701834" w:tentative="1">
      <w:start w:val="1"/>
      <w:numFmt w:val="bullet"/>
      <w:lvlText w:val="•"/>
      <w:lvlJc w:val="left"/>
      <w:pPr>
        <w:tabs>
          <w:tab w:val="num" w:pos="5760"/>
        </w:tabs>
        <w:ind w:left="5760" w:hanging="360"/>
      </w:pPr>
      <w:rPr>
        <w:rFonts w:ascii="Arial" w:hAnsi="Arial" w:hint="default"/>
      </w:rPr>
    </w:lvl>
    <w:lvl w:ilvl="8" w:tplc="E060492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3AB51B0"/>
    <w:multiLevelType w:val="hybridMultilevel"/>
    <w:tmpl w:val="4BBCCE8A"/>
    <w:lvl w:ilvl="0" w:tplc="223A5BD4">
      <w:start w:val="1"/>
      <w:numFmt w:val="bullet"/>
      <w:lvlText w:val="•"/>
      <w:lvlJc w:val="left"/>
      <w:pPr>
        <w:tabs>
          <w:tab w:val="num" w:pos="720"/>
        </w:tabs>
        <w:ind w:left="720" w:hanging="360"/>
      </w:pPr>
      <w:rPr>
        <w:rFonts w:ascii="Arial" w:hAnsi="Arial" w:hint="default"/>
      </w:rPr>
    </w:lvl>
    <w:lvl w:ilvl="1" w:tplc="6D0A950A">
      <w:start w:val="1"/>
      <w:numFmt w:val="bullet"/>
      <w:lvlText w:val="•"/>
      <w:lvlJc w:val="left"/>
      <w:pPr>
        <w:tabs>
          <w:tab w:val="num" w:pos="1440"/>
        </w:tabs>
        <w:ind w:left="1440" w:hanging="360"/>
      </w:pPr>
      <w:rPr>
        <w:rFonts w:ascii="Arial" w:hAnsi="Arial" w:hint="default"/>
      </w:rPr>
    </w:lvl>
    <w:lvl w:ilvl="2" w:tplc="34FC0E6C" w:tentative="1">
      <w:start w:val="1"/>
      <w:numFmt w:val="bullet"/>
      <w:lvlText w:val="•"/>
      <w:lvlJc w:val="left"/>
      <w:pPr>
        <w:tabs>
          <w:tab w:val="num" w:pos="2160"/>
        </w:tabs>
        <w:ind w:left="2160" w:hanging="360"/>
      </w:pPr>
      <w:rPr>
        <w:rFonts w:ascii="Arial" w:hAnsi="Arial" w:hint="default"/>
      </w:rPr>
    </w:lvl>
    <w:lvl w:ilvl="3" w:tplc="A9FCC258" w:tentative="1">
      <w:start w:val="1"/>
      <w:numFmt w:val="bullet"/>
      <w:lvlText w:val="•"/>
      <w:lvlJc w:val="left"/>
      <w:pPr>
        <w:tabs>
          <w:tab w:val="num" w:pos="2880"/>
        </w:tabs>
        <w:ind w:left="2880" w:hanging="360"/>
      </w:pPr>
      <w:rPr>
        <w:rFonts w:ascii="Arial" w:hAnsi="Arial" w:hint="default"/>
      </w:rPr>
    </w:lvl>
    <w:lvl w:ilvl="4" w:tplc="62A4B9EE" w:tentative="1">
      <w:start w:val="1"/>
      <w:numFmt w:val="bullet"/>
      <w:lvlText w:val="•"/>
      <w:lvlJc w:val="left"/>
      <w:pPr>
        <w:tabs>
          <w:tab w:val="num" w:pos="3600"/>
        </w:tabs>
        <w:ind w:left="3600" w:hanging="360"/>
      </w:pPr>
      <w:rPr>
        <w:rFonts w:ascii="Arial" w:hAnsi="Arial" w:hint="default"/>
      </w:rPr>
    </w:lvl>
    <w:lvl w:ilvl="5" w:tplc="6AEEC886" w:tentative="1">
      <w:start w:val="1"/>
      <w:numFmt w:val="bullet"/>
      <w:lvlText w:val="•"/>
      <w:lvlJc w:val="left"/>
      <w:pPr>
        <w:tabs>
          <w:tab w:val="num" w:pos="4320"/>
        </w:tabs>
        <w:ind w:left="4320" w:hanging="360"/>
      </w:pPr>
      <w:rPr>
        <w:rFonts w:ascii="Arial" w:hAnsi="Arial" w:hint="default"/>
      </w:rPr>
    </w:lvl>
    <w:lvl w:ilvl="6" w:tplc="489292FE" w:tentative="1">
      <w:start w:val="1"/>
      <w:numFmt w:val="bullet"/>
      <w:lvlText w:val="•"/>
      <w:lvlJc w:val="left"/>
      <w:pPr>
        <w:tabs>
          <w:tab w:val="num" w:pos="5040"/>
        </w:tabs>
        <w:ind w:left="5040" w:hanging="360"/>
      </w:pPr>
      <w:rPr>
        <w:rFonts w:ascii="Arial" w:hAnsi="Arial" w:hint="default"/>
      </w:rPr>
    </w:lvl>
    <w:lvl w:ilvl="7" w:tplc="A29CACA0" w:tentative="1">
      <w:start w:val="1"/>
      <w:numFmt w:val="bullet"/>
      <w:lvlText w:val="•"/>
      <w:lvlJc w:val="left"/>
      <w:pPr>
        <w:tabs>
          <w:tab w:val="num" w:pos="5760"/>
        </w:tabs>
        <w:ind w:left="5760" w:hanging="360"/>
      </w:pPr>
      <w:rPr>
        <w:rFonts w:ascii="Arial" w:hAnsi="Arial" w:hint="default"/>
      </w:rPr>
    </w:lvl>
    <w:lvl w:ilvl="8" w:tplc="E1227A80" w:tentative="1">
      <w:start w:val="1"/>
      <w:numFmt w:val="bullet"/>
      <w:lvlText w:val="•"/>
      <w:lvlJc w:val="left"/>
      <w:pPr>
        <w:tabs>
          <w:tab w:val="num" w:pos="6480"/>
        </w:tabs>
        <w:ind w:left="6480" w:hanging="360"/>
      </w:pPr>
      <w:rPr>
        <w:rFonts w:ascii="Arial" w:hAnsi="Arial" w:hint="default"/>
      </w:rPr>
    </w:lvl>
  </w:abstractNum>
  <w:num w:numId="1" w16cid:durableId="1965773265">
    <w:abstractNumId w:val="1"/>
  </w:num>
  <w:num w:numId="2" w16cid:durableId="143925691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21E"/>
    <w:rsid w:val="00063577"/>
    <w:rsid w:val="00313502"/>
    <w:rsid w:val="00382316"/>
    <w:rsid w:val="003B53AD"/>
    <w:rsid w:val="003D5945"/>
    <w:rsid w:val="005514FE"/>
    <w:rsid w:val="005F581D"/>
    <w:rsid w:val="00671FDD"/>
    <w:rsid w:val="006E01E8"/>
    <w:rsid w:val="00841649"/>
    <w:rsid w:val="009174DB"/>
    <w:rsid w:val="009C3565"/>
    <w:rsid w:val="009E121E"/>
    <w:rsid w:val="00A514B3"/>
    <w:rsid w:val="00AE24D9"/>
    <w:rsid w:val="00BF7701"/>
    <w:rsid w:val="00C629CA"/>
    <w:rsid w:val="00C71B8C"/>
    <w:rsid w:val="00CA54EE"/>
    <w:rsid w:val="00CF5307"/>
    <w:rsid w:val="00D2170B"/>
    <w:rsid w:val="00E358CC"/>
    <w:rsid w:val="00F32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F33BFA"/>
  <w15:chartTrackingRefBased/>
  <w15:docId w15:val="{8F7FD31D-6010-5D47-B4E0-53C049C9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2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12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12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12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2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2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2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2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2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2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12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12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12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2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12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2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2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21E"/>
    <w:rPr>
      <w:rFonts w:eastAsiaTheme="majorEastAsia" w:cstheme="majorBidi"/>
      <w:color w:val="272727" w:themeColor="text1" w:themeTint="D8"/>
    </w:rPr>
  </w:style>
  <w:style w:type="paragraph" w:styleId="Title">
    <w:name w:val="Title"/>
    <w:basedOn w:val="Normal"/>
    <w:next w:val="Normal"/>
    <w:link w:val="TitleChar"/>
    <w:uiPriority w:val="10"/>
    <w:qFormat/>
    <w:rsid w:val="009E12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2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2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2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21E"/>
    <w:pPr>
      <w:spacing w:before="160"/>
      <w:jc w:val="center"/>
    </w:pPr>
    <w:rPr>
      <w:i/>
      <w:iCs/>
      <w:color w:val="404040" w:themeColor="text1" w:themeTint="BF"/>
    </w:rPr>
  </w:style>
  <w:style w:type="character" w:customStyle="1" w:styleId="QuoteChar">
    <w:name w:val="Quote Char"/>
    <w:basedOn w:val="DefaultParagraphFont"/>
    <w:link w:val="Quote"/>
    <w:uiPriority w:val="29"/>
    <w:rsid w:val="009E121E"/>
    <w:rPr>
      <w:i/>
      <w:iCs/>
      <w:color w:val="404040" w:themeColor="text1" w:themeTint="BF"/>
    </w:rPr>
  </w:style>
  <w:style w:type="paragraph" w:styleId="ListParagraph">
    <w:name w:val="List Paragraph"/>
    <w:basedOn w:val="Normal"/>
    <w:uiPriority w:val="34"/>
    <w:qFormat/>
    <w:rsid w:val="009E121E"/>
    <w:pPr>
      <w:ind w:left="720"/>
      <w:contextualSpacing/>
    </w:pPr>
  </w:style>
  <w:style w:type="character" w:styleId="IntenseEmphasis">
    <w:name w:val="Intense Emphasis"/>
    <w:basedOn w:val="DefaultParagraphFont"/>
    <w:uiPriority w:val="21"/>
    <w:qFormat/>
    <w:rsid w:val="009E121E"/>
    <w:rPr>
      <w:i/>
      <w:iCs/>
      <w:color w:val="0F4761" w:themeColor="accent1" w:themeShade="BF"/>
    </w:rPr>
  </w:style>
  <w:style w:type="paragraph" w:styleId="IntenseQuote">
    <w:name w:val="Intense Quote"/>
    <w:basedOn w:val="Normal"/>
    <w:next w:val="Normal"/>
    <w:link w:val="IntenseQuoteChar"/>
    <w:uiPriority w:val="30"/>
    <w:qFormat/>
    <w:rsid w:val="009E12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21E"/>
    <w:rPr>
      <w:i/>
      <w:iCs/>
      <w:color w:val="0F4761" w:themeColor="accent1" w:themeShade="BF"/>
    </w:rPr>
  </w:style>
  <w:style w:type="character" w:styleId="IntenseReference">
    <w:name w:val="Intense Reference"/>
    <w:basedOn w:val="DefaultParagraphFont"/>
    <w:uiPriority w:val="32"/>
    <w:qFormat/>
    <w:rsid w:val="009E121E"/>
    <w:rPr>
      <w:b/>
      <w:bCs/>
      <w:smallCaps/>
      <w:color w:val="0F4761" w:themeColor="accent1" w:themeShade="BF"/>
      <w:spacing w:val="5"/>
    </w:rPr>
  </w:style>
  <w:style w:type="character" w:styleId="Hyperlink">
    <w:name w:val="Hyperlink"/>
    <w:basedOn w:val="DefaultParagraphFont"/>
    <w:uiPriority w:val="99"/>
    <w:unhideWhenUsed/>
    <w:rsid w:val="009E121E"/>
    <w:rPr>
      <w:color w:val="467886" w:themeColor="hyperlink"/>
      <w:u w:val="single"/>
    </w:rPr>
  </w:style>
  <w:style w:type="character" w:styleId="UnresolvedMention">
    <w:name w:val="Unresolved Mention"/>
    <w:basedOn w:val="DefaultParagraphFont"/>
    <w:uiPriority w:val="99"/>
    <w:semiHidden/>
    <w:unhideWhenUsed/>
    <w:rsid w:val="009E121E"/>
    <w:rPr>
      <w:color w:val="605E5C"/>
      <w:shd w:val="clear" w:color="auto" w:fill="E1DFDD"/>
    </w:rPr>
  </w:style>
  <w:style w:type="paragraph" w:customStyle="1" w:styleId="tablebody">
    <w:name w:val="table:body"/>
    <w:basedOn w:val="Normal"/>
    <w:rsid w:val="009E121E"/>
    <w:pPr>
      <w:keepNext/>
      <w:numPr>
        <w:ilvl w:val="12"/>
      </w:numPr>
      <w:suppressAutoHyphens/>
      <w:spacing w:before="20" w:after="20" w:line="240" w:lineRule="auto"/>
    </w:pPr>
    <w:rPr>
      <w:rFonts w:ascii="Times New Roman" w:eastAsia="Times New Roman" w:hAnsi="Times New Roman" w:cs="Times New Roman"/>
      <w:kern w:val="0"/>
      <w:sz w:val="20"/>
      <w:szCs w:val="20"/>
      <w14:ligatures w14:val="none"/>
    </w:rPr>
  </w:style>
  <w:style w:type="paragraph" w:styleId="NormalWeb">
    <w:name w:val="Normal (Web)"/>
    <w:basedOn w:val="Normal"/>
    <w:uiPriority w:val="99"/>
    <w:semiHidden/>
    <w:unhideWhenUsed/>
    <w:rsid w:val="003B53A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doi.org/10.1186/s13195-021-0084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406</Words>
  <Characters>2458</Characters>
  <Application>Microsoft Office Word</Application>
  <DocSecurity>0</DocSecurity>
  <Lines>74</Lines>
  <Paragraphs>14</Paragraphs>
  <ScaleCrop>false</ScaleCrop>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Alam</dc:creator>
  <cp:keywords/>
  <dc:description/>
  <cp:lastModifiedBy>John Alam</cp:lastModifiedBy>
  <cp:revision>5</cp:revision>
  <cp:lastPrinted>2026-07-22T10:03:00Z</cp:lastPrinted>
  <dcterms:created xsi:type="dcterms:W3CDTF">2026-07-22T09:48:00Z</dcterms:created>
  <dcterms:modified xsi:type="dcterms:W3CDTF">2026-07-27T12:56:00Z</dcterms:modified>
</cp:coreProperties>
</file>