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B77D2" w14:textId="0F887398" w:rsidR="0054502F" w:rsidRPr="00EA38B6" w:rsidRDefault="0054502F" w:rsidP="0054502F">
      <w:pPr>
        <w:spacing w:line="480" w:lineRule="auto"/>
        <w:ind w:left="979" w:hangingChars="400" w:hanging="979"/>
        <w:rPr>
          <w:rFonts w:ascii="Times New Roman" w:hAnsi="Times New Roman" w:cs="Times New Roman"/>
          <w:b/>
          <w:bCs/>
        </w:rPr>
      </w:pPr>
      <w:r w:rsidRPr="00EA38B6">
        <w:rPr>
          <w:rFonts w:ascii="Times New Roman" w:hAnsi="Times New Roman" w:cs="Times New Roman"/>
          <w:b/>
          <w:bCs/>
        </w:rPr>
        <w:t xml:space="preserve">Supplementary Material </w:t>
      </w:r>
    </w:p>
    <w:p w14:paraId="7144F6B2" w14:textId="5834B047" w:rsidR="0054502F" w:rsidRPr="00EA38B6" w:rsidRDefault="0054502F" w:rsidP="0054502F">
      <w:pPr>
        <w:spacing w:line="480" w:lineRule="auto"/>
        <w:ind w:left="979" w:hangingChars="400" w:hanging="979"/>
        <w:rPr>
          <w:rFonts w:ascii="Times New Roman" w:hAnsi="Times New Roman" w:cs="Times New Roman"/>
          <w:b/>
          <w:bCs/>
        </w:rPr>
      </w:pPr>
      <w:r w:rsidRPr="00EA38B6">
        <w:rPr>
          <w:rFonts w:ascii="Times New Roman" w:hAnsi="Times New Roman" w:cs="Times New Roman"/>
          <w:b/>
          <w:bCs/>
        </w:rPr>
        <w:t>Supplementary Methods, Tables, and Figures</w:t>
      </w:r>
    </w:p>
    <w:p w14:paraId="7DB8FF2D" w14:textId="014CA6B0" w:rsidR="0054502F" w:rsidRPr="00EA38B6" w:rsidRDefault="0054502F" w:rsidP="0054502F">
      <w:pPr>
        <w:spacing w:line="480" w:lineRule="auto"/>
        <w:rPr>
          <w:rFonts w:ascii="Times New Roman" w:hAnsi="Times New Roman" w:cs="Times New Roman"/>
          <w:b/>
          <w:bCs/>
        </w:rPr>
      </w:pPr>
      <w:r w:rsidRPr="00EA38B6">
        <w:rPr>
          <w:rFonts w:ascii="Times New Roman" w:hAnsi="Times New Roman" w:cs="Times New Roman"/>
          <w:b/>
          <w:bCs/>
        </w:rPr>
        <w:t>Dynamic evolution of subchorionic hematoma and its association with pregnancy outcomes and mode of delivery: a real-world cohort study</w:t>
      </w:r>
    </w:p>
    <w:p w14:paraId="6852D6EB" w14:textId="77777777" w:rsidR="00D22A0A" w:rsidRPr="00D22A0A" w:rsidRDefault="00D22A0A"/>
    <w:p w14:paraId="32755AEA" w14:textId="77777777" w:rsidR="0054502F" w:rsidRPr="00EA38B6" w:rsidRDefault="0054502F" w:rsidP="00EA38B6">
      <w:pPr>
        <w:spacing w:line="480" w:lineRule="auto"/>
        <w:rPr>
          <w:rFonts w:ascii="Times New Roman" w:hAnsi="Times New Roman" w:cs="Times New Roman"/>
        </w:rPr>
      </w:pPr>
      <w:r w:rsidRPr="00EA38B6">
        <w:rPr>
          <w:rFonts w:ascii="Times New Roman" w:hAnsi="Times New Roman" w:cs="Times New Roman"/>
          <w:b/>
          <w:bCs/>
        </w:rPr>
        <w:t>Supplementary Methods</w:t>
      </w:r>
    </w:p>
    <w:p w14:paraId="27BBD89A" w14:textId="378A8ACD" w:rsidR="007F0BC6" w:rsidRPr="00393C2B" w:rsidRDefault="007F0BC6" w:rsidP="00E559DC">
      <w:pPr>
        <w:pStyle w:val="a3"/>
        <w:numPr>
          <w:ilvl w:val="0"/>
          <w:numId w:val="1"/>
        </w:numPr>
        <w:spacing w:line="480" w:lineRule="auto"/>
        <w:ind w:firstLineChars="0"/>
        <w:rPr>
          <w:rFonts w:ascii="Times New Roman" w:hAnsi="Times New Roman" w:cs="Times New Roman"/>
          <w:b/>
          <w:bCs/>
        </w:rPr>
      </w:pPr>
      <w:r w:rsidRPr="00393C2B">
        <w:rPr>
          <w:rFonts w:ascii="Times New Roman" w:hAnsi="Times New Roman" w:cs="Times New Roman"/>
          <w:b/>
          <w:bCs/>
        </w:rPr>
        <w:t>Calculation of the SCH-to-gestational tissue ratio</w:t>
      </w:r>
    </w:p>
    <w:p w14:paraId="4642DD24"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The SCH-to-gestational tissue ratio was calculated for each ultrasound examination to quantify the relative burden of subchorionic hematoma across different gestational stages. Different calculation methods were applied according to gestational age.</w:t>
      </w:r>
    </w:p>
    <w:p w14:paraId="43C8EC3E" w14:textId="77777777" w:rsidR="007F0BC6" w:rsidRPr="00EA38B6" w:rsidRDefault="007F0BC6" w:rsidP="00EA38B6">
      <w:pPr>
        <w:spacing w:line="480" w:lineRule="auto"/>
        <w:rPr>
          <w:rFonts w:ascii="Times New Roman" w:hAnsi="Times New Roman" w:cs="Times New Roman"/>
          <w:b/>
          <w:bCs/>
        </w:rPr>
      </w:pPr>
      <w:r w:rsidRPr="00EA38B6">
        <w:rPr>
          <w:rFonts w:ascii="Times New Roman" w:hAnsi="Times New Roman" w:cs="Times New Roman"/>
          <w:b/>
          <w:bCs/>
        </w:rPr>
        <w:t>Early pregnancy</w:t>
      </w:r>
    </w:p>
    <w:p w14:paraId="0E1BE670"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For ultrasound examinations performed before 12 weeks of gestation, the relative burden of SCH was estimated using the SCH-to-gestational-sac area ratio. Both the SCH and the gestational sac were approximated as ellipses based on their long and short diameters. The ratio was calculated as:</w:t>
      </w:r>
    </w:p>
    <w:p w14:paraId="21C86DCB" w14:textId="77777777" w:rsidR="007F0BC6" w:rsidRPr="00EA38B6" w:rsidRDefault="007F0BC6" w:rsidP="00EA38B6">
      <w:pPr>
        <w:spacing w:line="480" w:lineRule="auto"/>
        <w:ind w:firstLineChars="300" w:firstLine="720"/>
        <w:rPr>
          <w:rFonts w:ascii="Times New Roman" w:hAnsi="Times New Roman" w:cs="Times New Roman"/>
        </w:rPr>
      </w:pPr>
      <w:r w:rsidRPr="00EA38B6">
        <w:rPr>
          <w:rFonts w:ascii="Times New Roman" w:hAnsi="Times New Roman" w:cs="Times New Roman"/>
        </w:rPr>
        <w:t>R = Aₕ / Aₙ = (L × W) / (r₁ × r₂)</w:t>
      </w:r>
    </w:p>
    <w:p w14:paraId="391C9432" w14:textId="3F8645A7" w:rsidR="0054502F"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 xml:space="preserve">Where L and W are the long and short diameters of the hematoma, and r₁ and r₂ are the long and short diameters of the gestational sac. The measurement method is illustrated in Supplementary Figure </w:t>
      </w:r>
      <w:r w:rsidR="00D22A0A">
        <w:rPr>
          <w:rFonts w:ascii="Times New Roman" w:hAnsi="Times New Roman" w:cs="Times New Roman"/>
        </w:rPr>
        <w:t>S</w:t>
      </w:r>
      <w:r w:rsidRPr="00EA38B6">
        <w:rPr>
          <w:rFonts w:ascii="Times New Roman" w:hAnsi="Times New Roman" w:cs="Times New Roman"/>
        </w:rPr>
        <w:t>1.</w:t>
      </w:r>
    </w:p>
    <w:p w14:paraId="11B4B477" w14:textId="77777777" w:rsidR="007F0BC6" w:rsidRPr="00EA38B6" w:rsidRDefault="007F0BC6" w:rsidP="00EA38B6">
      <w:pPr>
        <w:spacing w:line="480" w:lineRule="auto"/>
        <w:rPr>
          <w:rFonts w:ascii="Times New Roman" w:hAnsi="Times New Roman" w:cs="Times New Roman"/>
          <w:b/>
          <w:bCs/>
        </w:rPr>
      </w:pPr>
      <w:r w:rsidRPr="00EA38B6">
        <w:rPr>
          <w:rFonts w:ascii="Times New Roman" w:hAnsi="Times New Roman" w:cs="Times New Roman"/>
          <w:b/>
          <w:bCs/>
        </w:rPr>
        <w:t>Second and third trimesters</w:t>
      </w:r>
    </w:p>
    <w:p w14:paraId="5C7BEC2E"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For ultrasound examinations performed at or after 12 weeks of gestation, the relative burden of SCH was estimated using the SCH-to-total gestational tissue volume ratio:</w:t>
      </w:r>
    </w:p>
    <w:p w14:paraId="10257DF1" w14:textId="522C7011" w:rsidR="007F0BC6" w:rsidRPr="00EA38B6" w:rsidRDefault="007F0BC6" w:rsidP="00EA38B6">
      <w:pPr>
        <w:spacing w:line="480" w:lineRule="auto"/>
        <w:ind w:firstLineChars="300" w:firstLine="720"/>
        <w:rPr>
          <w:rFonts w:ascii="Times New Roman" w:hAnsi="Times New Roman" w:cs="Times New Roman"/>
        </w:rPr>
      </w:pPr>
      <w:r w:rsidRPr="00EA38B6">
        <w:rPr>
          <w:rFonts w:ascii="Times New Roman" w:hAnsi="Times New Roman" w:cs="Times New Roman"/>
        </w:rPr>
        <w:t xml:space="preserve">R = Vₕ/ Vₕ + Vₚ + Vₐ + </w:t>
      </w:r>
      <w:proofErr w:type="spellStart"/>
      <w:r w:rsidRPr="00EA38B6">
        <w:rPr>
          <w:rFonts w:ascii="Times New Roman" w:hAnsi="Times New Roman" w:cs="Times New Roman"/>
        </w:rPr>
        <w:t>Vf</w:t>
      </w:r>
      <w:proofErr w:type="spellEnd"/>
      <w:r w:rsidR="00DD0126" w:rsidRPr="00DD0126">
        <w:t xml:space="preserve"> </w:t>
      </w:r>
    </w:p>
    <w:p w14:paraId="095D35E9"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lastRenderedPageBreak/>
        <w:t>where:</w:t>
      </w:r>
    </w:p>
    <w:p w14:paraId="57E9D754"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ab/>
        <w:t>•</w:t>
      </w:r>
      <w:r w:rsidRPr="00EA38B6">
        <w:rPr>
          <w:rFonts w:ascii="Times New Roman" w:hAnsi="Times New Roman" w:cs="Times New Roman"/>
        </w:rPr>
        <w:tab/>
        <w:t>Vₕ: SCH volume (approximated as an ellipsoid)</w:t>
      </w:r>
    </w:p>
    <w:p w14:paraId="40F68762"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 xml:space="preserve">         </w:t>
      </w:r>
      <w:r w:rsidRPr="00EA38B6">
        <w:rPr>
          <w:rFonts w:ascii="Times New Roman" w:hAnsi="Times New Roman" w:cs="Times New Roman"/>
          <w:bCs/>
        </w:rPr>
        <w:t>Vₕ ≈ (4/3) × π × (L/2) × (W/2) × (H/2)</w:t>
      </w:r>
    </w:p>
    <w:p w14:paraId="4CB49A96"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ab/>
        <w:t>•</w:t>
      </w:r>
      <w:r w:rsidRPr="00EA38B6">
        <w:rPr>
          <w:rFonts w:ascii="Times New Roman" w:hAnsi="Times New Roman" w:cs="Times New Roman"/>
        </w:rPr>
        <w:tab/>
        <w:t>Vₚ: placental volume (approximated as a cuboid)</w:t>
      </w:r>
    </w:p>
    <w:p w14:paraId="479B3A1E" w14:textId="77777777" w:rsidR="007F0BC6" w:rsidRPr="00EA38B6" w:rsidRDefault="007F0BC6" w:rsidP="00EA38B6">
      <w:pPr>
        <w:spacing w:line="480" w:lineRule="auto"/>
        <w:rPr>
          <w:rFonts w:ascii="Times New Roman" w:hAnsi="Times New Roman" w:cs="Times New Roman"/>
        </w:rPr>
      </w:pPr>
      <w:r w:rsidRPr="00EA38B6">
        <w:rPr>
          <w:rFonts w:ascii="Times New Roman" w:hAnsi="Times New Roman" w:cs="Times New Roman"/>
        </w:rPr>
        <w:t xml:space="preserve">         </w:t>
      </w:r>
      <w:r w:rsidRPr="00EA38B6">
        <w:rPr>
          <w:rFonts w:ascii="Times New Roman" w:hAnsi="Times New Roman" w:cs="Times New Roman"/>
          <w:bCs/>
        </w:rPr>
        <w:t>Vₚ ≈ L × W × T</w:t>
      </w:r>
    </w:p>
    <w:p w14:paraId="291171A2" w14:textId="77777777" w:rsidR="007F0BC6" w:rsidRPr="00EA38B6" w:rsidRDefault="007F0BC6" w:rsidP="00EA38B6">
      <w:pPr>
        <w:tabs>
          <w:tab w:val="left" w:pos="500"/>
          <w:tab w:val="left" w:pos="900"/>
        </w:tabs>
        <w:spacing w:line="480" w:lineRule="auto"/>
        <w:rPr>
          <w:rFonts w:ascii="Times New Roman" w:hAnsi="Times New Roman" w:cs="Times New Roman"/>
        </w:rPr>
      </w:pPr>
      <w:r w:rsidRPr="00EA38B6">
        <w:rPr>
          <w:rFonts w:ascii="Times New Roman" w:hAnsi="Times New Roman" w:cs="Times New Roman"/>
        </w:rPr>
        <w:tab/>
        <w:t>•</w:t>
      </w:r>
      <w:r w:rsidRPr="00EA38B6">
        <w:rPr>
          <w:rFonts w:ascii="Times New Roman" w:hAnsi="Times New Roman" w:cs="Times New Roman"/>
        </w:rPr>
        <w:tab/>
        <w:t>Vₐ: amniotic fluid volume (approximated using the maximum vertical pocket as a sphere)</w:t>
      </w:r>
    </w:p>
    <w:p w14:paraId="1D411A70" w14:textId="77777777" w:rsidR="007F0BC6" w:rsidRPr="00EA38B6" w:rsidRDefault="007F0BC6" w:rsidP="00EA38B6">
      <w:pPr>
        <w:tabs>
          <w:tab w:val="left" w:pos="567"/>
          <w:tab w:val="left" w:pos="1134"/>
        </w:tabs>
        <w:spacing w:line="480" w:lineRule="auto"/>
        <w:rPr>
          <w:rFonts w:ascii="Times New Roman" w:hAnsi="Times New Roman" w:cs="Times New Roman"/>
          <w:bCs/>
        </w:rPr>
      </w:pPr>
      <w:r w:rsidRPr="00EA38B6">
        <w:rPr>
          <w:rFonts w:ascii="Times New Roman" w:hAnsi="Times New Roman" w:cs="Times New Roman"/>
        </w:rPr>
        <w:t xml:space="preserve">         </w:t>
      </w:r>
      <w:r w:rsidRPr="00EA38B6">
        <w:rPr>
          <w:rFonts w:ascii="Times New Roman" w:hAnsi="Times New Roman" w:cs="Times New Roman"/>
          <w:bCs/>
        </w:rPr>
        <w:t>Vₐ ≈ (4/3) × π × (A/</w:t>
      </w:r>
      <w:proofErr w:type="gramStart"/>
      <w:r w:rsidRPr="00EA38B6">
        <w:rPr>
          <w:rFonts w:ascii="Times New Roman" w:hAnsi="Times New Roman" w:cs="Times New Roman"/>
          <w:bCs/>
        </w:rPr>
        <w:t>2)³</w:t>
      </w:r>
      <w:proofErr w:type="gramEnd"/>
    </w:p>
    <w:p w14:paraId="659FF235" w14:textId="77777777" w:rsidR="007F0BC6" w:rsidRPr="00EA38B6" w:rsidRDefault="007F0BC6" w:rsidP="00EA38B6">
      <w:pPr>
        <w:tabs>
          <w:tab w:val="left" w:pos="567"/>
          <w:tab w:val="left" w:pos="900"/>
        </w:tabs>
        <w:spacing w:line="480" w:lineRule="auto"/>
        <w:rPr>
          <w:rFonts w:ascii="Times New Roman" w:hAnsi="Times New Roman" w:cs="Times New Roman"/>
        </w:rPr>
      </w:pPr>
      <w:r w:rsidRPr="00EA38B6">
        <w:rPr>
          <w:rFonts w:ascii="Times New Roman" w:hAnsi="Times New Roman" w:cs="Times New Roman"/>
        </w:rPr>
        <w:tab/>
        <w:t>•</w:t>
      </w:r>
      <w:r w:rsidRPr="00EA38B6">
        <w:rPr>
          <w:rFonts w:ascii="Times New Roman" w:hAnsi="Times New Roman" w:cs="Times New Roman"/>
        </w:rPr>
        <w:tab/>
      </w:r>
      <w:proofErr w:type="spellStart"/>
      <w:r w:rsidRPr="00EA38B6">
        <w:rPr>
          <w:rFonts w:ascii="Times New Roman" w:hAnsi="Times New Roman" w:cs="Times New Roman"/>
        </w:rPr>
        <w:t>V</w:t>
      </w:r>
      <w:r w:rsidRPr="00EA38B6">
        <w:rPr>
          <w:rFonts w:ascii="Times New Roman" w:hAnsi="Times New Roman" w:cs="Times New Roman"/>
          <w:vertAlign w:val="subscript"/>
        </w:rPr>
        <w:t>f</w:t>
      </w:r>
      <w:proofErr w:type="spellEnd"/>
      <w:r w:rsidRPr="00EA38B6">
        <w:rPr>
          <w:rFonts w:ascii="Times New Roman" w:hAnsi="Times New Roman" w:cs="Times New Roman"/>
        </w:rPr>
        <w:t xml:space="preserve">: fetal volume (approximated as an ellipsoid using biparietal diameter and femur length). </w:t>
      </w:r>
    </w:p>
    <w:p w14:paraId="441BCBF2" w14:textId="77777777" w:rsidR="007F0BC6" w:rsidRPr="00EA38B6" w:rsidRDefault="007F0BC6" w:rsidP="00EA38B6">
      <w:pPr>
        <w:spacing w:line="480" w:lineRule="auto"/>
        <w:ind w:left="720" w:firstLineChars="100" w:firstLine="240"/>
        <w:rPr>
          <w:rFonts w:ascii="Times New Roman" w:hAnsi="Times New Roman" w:cs="Times New Roman"/>
        </w:rPr>
      </w:pPr>
      <w:r w:rsidRPr="00EA38B6">
        <w:rPr>
          <w:rFonts w:ascii="Times New Roman" w:hAnsi="Times New Roman" w:cs="Times New Roman"/>
        </w:rPr>
        <w:t xml:space="preserve"> </w:t>
      </w:r>
      <w:proofErr w:type="spellStart"/>
      <w:r w:rsidRPr="00EA38B6">
        <w:rPr>
          <w:rFonts w:ascii="Times New Roman" w:hAnsi="Times New Roman" w:cs="Times New Roman"/>
        </w:rPr>
        <w:t>V</w:t>
      </w:r>
      <w:r w:rsidRPr="00EA38B6">
        <w:rPr>
          <w:rFonts w:ascii="Times New Roman" w:hAnsi="Times New Roman" w:cs="Times New Roman"/>
          <w:vertAlign w:val="subscript"/>
        </w:rPr>
        <w:t>f</w:t>
      </w:r>
      <w:proofErr w:type="spellEnd"/>
      <w:r w:rsidRPr="00EA38B6">
        <w:rPr>
          <w:rFonts w:ascii="Times New Roman" w:hAnsi="Times New Roman" w:cs="Times New Roman"/>
        </w:rPr>
        <w:t xml:space="preserve"> ≈ (4/</w:t>
      </w:r>
      <w:proofErr w:type="gramStart"/>
      <w:r w:rsidRPr="00EA38B6">
        <w:rPr>
          <w:rFonts w:ascii="Times New Roman" w:hAnsi="Times New Roman" w:cs="Times New Roman"/>
        </w:rPr>
        <w:t>3)π</w:t>
      </w:r>
      <w:proofErr w:type="gramEnd"/>
      <w:r w:rsidRPr="00EA38B6">
        <w:rPr>
          <w:rFonts w:ascii="Times New Roman" w:hAnsi="Times New Roman" w:cs="Times New Roman"/>
        </w:rPr>
        <w:t xml:space="preserve"> × (BPD/2)² × (FL/2)</w:t>
      </w:r>
    </w:p>
    <w:p w14:paraId="0728FB4D" w14:textId="1D2AED17" w:rsidR="00DB4EC4" w:rsidRPr="00EA38B6" w:rsidRDefault="00DB4EC4" w:rsidP="00EA38B6">
      <w:pPr>
        <w:spacing w:line="480" w:lineRule="auto"/>
        <w:rPr>
          <w:rFonts w:ascii="Times New Roman" w:hAnsi="Times New Roman" w:cs="Times New Roman"/>
        </w:rPr>
      </w:pPr>
      <w:r w:rsidRPr="00EA38B6">
        <w:rPr>
          <w:rFonts w:ascii="Times New Roman" w:hAnsi="Times New Roman" w:cs="Times New Roman"/>
        </w:rPr>
        <w:t xml:space="preserve">The ultrasonographic measurements used in the volume-based calculation are illustrated in Supplementary Figure </w:t>
      </w:r>
      <w:r w:rsidR="00D22A0A">
        <w:rPr>
          <w:rFonts w:ascii="Times New Roman" w:hAnsi="Times New Roman" w:cs="Times New Roman"/>
        </w:rPr>
        <w:t>S</w:t>
      </w:r>
      <w:r w:rsidRPr="00EA38B6">
        <w:rPr>
          <w:rFonts w:ascii="Times New Roman" w:hAnsi="Times New Roman" w:cs="Times New Roman"/>
        </w:rPr>
        <w:t>2.</w:t>
      </w:r>
    </w:p>
    <w:p w14:paraId="4A3D6E2C" w14:textId="77777777" w:rsidR="00DB4EC4" w:rsidRDefault="00DB4EC4" w:rsidP="00EA38B6">
      <w:pPr>
        <w:spacing w:line="480" w:lineRule="auto"/>
        <w:rPr>
          <w:rFonts w:ascii="Times New Roman" w:hAnsi="Times New Roman" w:cs="Times New Roman"/>
        </w:rPr>
      </w:pPr>
      <w:r w:rsidRPr="00EA38B6">
        <w:rPr>
          <w:rFonts w:ascii="Times New Roman" w:hAnsi="Times New Roman" w:cs="Times New Roman"/>
        </w:rPr>
        <w:t>All SCH-to-gestational tissue ratios were recorded as continuous, dimensionless variables.</w:t>
      </w:r>
    </w:p>
    <w:p w14:paraId="0CC7360A" w14:textId="0467FF40" w:rsidR="00393C2B" w:rsidRPr="00393C2B" w:rsidRDefault="00393C2B" w:rsidP="00393C2B">
      <w:pPr>
        <w:pStyle w:val="a3"/>
        <w:numPr>
          <w:ilvl w:val="0"/>
          <w:numId w:val="1"/>
        </w:numPr>
        <w:spacing w:line="480" w:lineRule="auto"/>
        <w:ind w:firstLineChars="0"/>
        <w:rPr>
          <w:rFonts w:ascii="Times New Roman" w:hAnsi="Times New Roman" w:cs="Times New Roman"/>
          <w:b/>
          <w:bCs/>
        </w:rPr>
      </w:pPr>
      <w:r w:rsidRPr="00393C2B">
        <w:rPr>
          <w:rFonts w:ascii="Times New Roman" w:hAnsi="Times New Roman" w:cs="Times New Roman"/>
          <w:b/>
          <w:bCs/>
        </w:rPr>
        <w:t>Standardization of SCH location</w:t>
      </w:r>
    </w:p>
    <w:p w14:paraId="5170CE7C" w14:textId="77777777" w:rsidR="00393C2B" w:rsidRPr="00393C2B" w:rsidRDefault="00393C2B" w:rsidP="00393C2B">
      <w:pPr>
        <w:widowControl w:val="0"/>
        <w:spacing w:line="480" w:lineRule="auto"/>
        <w:jc w:val="both"/>
        <w:rPr>
          <w:rFonts w:ascii="Times New Roman" w:hAnsi="Times New Roman" w:cs="Times New Roman"/>
        </w:rPr>
      </w:pPr>
      <w:r w:rsidRPr="00393C2B">
        <w:rPr>
          <w:rFonts w:ascii="Times New Roman" w:hAnsi="Times New Roman" w:cs="Times New Roman"/>
        </w:rPr>
        <w:t>The anatomical location of SCH was extracted from the original ultrasonographic reports and standardized according to its relationship with the gestational sac, placenta, fetal membranes, and lower uterine segment. Based on the terminology routinely used in our institutional ultrasound reports, SCH was classified into one of four predefined categories:</w:t>
      </w:r>
    </w:p>
    <w:p w14:paraId="6FAE555E" w14:textId="77777777" w:rsidR="00393C2B" w:rsidRPr="00393C2B" w:rsidRDefault="00393C2B" w:rsidP="00393C2B">
      <w:pPr>
        <w:widowControl w:val="0"/>
        <w:numPr>
          <w:ilvl w:val="0"/>
          <w:numId w:val="2"/>
        </w:numPr>
        <w:spacing w:line="480" w:lineRule="auto"/>
        <w:jc w:val="both"/>
        <w:rPr>
          <w:rFonts w:ascii="Times New Roman" w:hAnsi="Times New Roman" w:cs="Times New Roman"/>
        </w:rPr>
      </w:pPr>
      <w:r w:rsidRPr="00393C2B">
        <w:rPr>
          <w:rFonts w:ascii="Times New Roman" w:hAnsi="Times New Roman" w:cs="Times New Roman"/>
          <w:b/>
          <w:bCs/>
        </w:rPr>
        <w:t>Peri-gestational-sac SCH:</w:t>
      </w:r>
      <w:r w:rsidRPr="00393C2B">
        <w:rPr>
          <w:rFonts w:ascii="Times New Roman" w:hAnsi="Times New Roman" w:cs="Times New Roman"/>
        </w:rPr>
        <w:t xml:space="preserve"> Hematoma located adjacent to the gestational sac </w:t>
      </w:r>
      <w:r w:rsidRPr="00393C2B">
        <w:rPr>
          <w:rFonts w:ascii="Times New Roman" w:hAnsi="Times New Roman" w:cs="Times New Roman"/>
        </w:rPr>
        <w:lastRenderedPageBreak/>
        <w:t>during early pregnancy before complete placental formation.</w:t>
      </w:r>
    </w:p>
    <w:p w14:paraId="0E0DEDB0" w14:textId="77777777" w:rsidR="00393C2B" w:rsidRPr="00393C2B" w:rsidRDefault="00393C2B" w:rsidP="00393C2B">
      <w:pPr>
        <w:widowControl w:val="0"/>
        <w:numPr>
          <w:ilvl w:val="0"/>
          <w:numId w:val="2"/>
        </w:numPr>
        <w:spacing w:line="480" w:lineRule="auto"/>
        <w:jc w:val="both"/>
        <w:rPr>
          <w:rFonts w:ascii="Times New Roman" w:hAnsi="Times New Roman" w:cs="Times New Roman"/>
        </w:rPr>
      </w:pPr>
      <w:proofErr w:type="spellStart"/>
      <w:r w:rsidRPr="00393C2B">
        <w:rPr>
          <w:rFonts w:ascii="Times New Roman" w:hAnsi="Times New Roman" w:cs="Times New Roman"/>
          <w:b/>
          <w:bCs/>
        </w:rPr>
        <w:t>Intraplacental</w:t>
      </w:r>
      <w:proofErr w:type="spellEnd"/>
      <w:r w:rsidRPr="00393C2B">
        <w:rPr>
          <w:rFonts w:ascii="Times New Roman" w:hAnsi="Times New Roman" w:cs="Times New Roman"/>
          <w:b/>
          <w:bCs/>
        </w:rPr>
        <w:t xml:space="preserve"> SCH:</w:t>
      </w:r>
      <w:r w:rsidRPr="00393C2B">
        <w:rPr>
          <w:rFonts w:ascii="Times New Roman" w:hAnsi="Times New Roman" w:cs="Times New Roman"/>
        </w:rPr>
        <w:t xml:space="preserve"> Hematoma located within the placental parenchyma.</w:t>
      </w:r>
    </w:p>
    <w:p w14:paraId="47643A0D" w14:textId="77777777" w:rsidR="00393C2B" w:rsidRPr="00393C2B" w:rsidRDefault="00393C2B" w:rsidP="00393C2B">
      <w:pPr>
        <w:widowControl w:val="0"/>
        <w:numPr>
          <w:ilvl w:val="0"/>
          <w:numId w:val="2"/>
        </w:numPr>
        <w:spacing w:line="480" w:lineRule="auto"/>
        <w:jc w:val="both"/>
        <w:rPr>
          <w:rFonts w:ascii="Times New Roman" w:hAnsi="Times New Roman" w:cs="Times New Roman"/>
        </w:rPr>
      </w:pPr>
      <w:r w:rsidRPr="00393C2B">
        <w:rPr>
          <w:rFonts w:ascii="Times New Roman" w:hAnsi="Times New Roman" w:cs="Times New Roman"/>
          <w:b/>
          <w:bCs/>
        </w:rPr>
        <w:t>Retro-membranous SCH:</w:t>
      </w:r>
      <w:r w:rsidRPr="00393C2B">
        <w:rPr>
          <w:rFonts w:ascii="Times New Roman" w:hAnsi="Times New Roman" w:cs="Times New Roman"/>
        </w:rPr>
        <w:t xml:space="preserve"> Hematoma located between the fetal membranes and the uterine wall without direct placental involvement.</w:t>
      </w:r>
    </w:p>
    <w:p w14:paraId="6B13D8A4" w14:textId="77777777" w:rsidR="00393C2B" w:rsidRPr="00393C2B" w:rsidRDefault="00393C2B" w:rsidP="00393C2B">
      <w:pPr>
        <w:widowControl w:val="0"/>
        <w:numPr>
          <w:ilvl w:val="0"/>
          <w:numId w:val="2"/>
        </w:numPr>
        <w:spacing w:line="480" w:lineRule="auto"/>
        <w:jc w:val="both"/>
        <w:rPr>
          <w:rFonts w:ascii="Times New Roman" w:hAnsi="Times New Roman" w:cs="Times New Roman"/>
        </w:rPr>
      </w:pPr>
      <w:r w:rsidRPr="00393C2B">
        <w:rPr>
          <w:rFonts w:ascii="Times New Roman" w:hAnsi="Times New Roman" w:cs="Times New Roman"/>
          <w:b/>
          <w:bCs/>
        </w:rPr>
        <w:t>Lower uterine segment SCH:</w:t>
      </w:r>
      <w:r w:rsidRPr="00393C2B">
        <w:rPr>
          <w:rFonts w:ascii="Times New Roman" w:hAnsi="Times New Roman" w:cs="Times New Roman"/>
        </w:rPr>
        <w:t xml:space="preserve"> Hematoma located predominantly within the lower uterine segment, superior to the internal cervical </w:t>
      </w:r>
      <w:proofErr w:type="spellStart"/>
      <w:r w:rsidRPr="00393C2B">
        <w:rPr>
          <w:rFonts w:ascii="Times New Roman" w:hAnsi="Times New Roman" w:cs="Times New Roman"/>
        </w:rPr>
        <w:t>os</w:t>
      </w:r>
      <w:proofErr w:type="spellEnd"/>
      <w:r w:rsidRPr="00393C2B">
        <w:rPr>
          <w:rFonts w:ascii="Times New Roman" w:hAnsi="Times New Roman" w:cs="Times New Roman"/>
        </w:rPr>
        <w:t>.</w:t>
      </w:r>
    </w:p>
    <w:p w14:paraId="7A559050" w14:textId="77777777" w:rsidR="00DD0126" w:rsidRDefault="00393C2B" w:rsidP="00DD0126">
      <w:pPr>
        <w:spacing w:line="480" w:lineRule="auto"/>
        <w:rPr>
          <w:rFonts w:ascii="Times New Roman" w:hAnsi="Times New Roman" w:cs="Times New Roman"/>
        </w:rPr>
      </w:pPr>
      <w:r w:rsidRPr="00393C2B">
        <w:rPr>
          <w:rFonts w:ascii="Times New Roman" w:hAnsi="Times New Roman" w:cs="Times New Roman"/>
        </w:rPr>
        <w:t xml:space="preserve">The standardized SCH location was treated as a categorical variable and included in </w:t>
      </w:r>
      <w:r w:rsidR="00DD0126" w:rsidRPr="00DD0126">
        <w:rPr>
          <w:rFonts w:ascii="Times New Roman" w:hAnsi="Times New Roman" w:cs="Times New Roman"/>
        </w:rPr>
        <w:t>subsequent descriptive analyses and regression models.</w:t>
      </w:r>
    </w:p>
    <w:p w14:paraId="1F9A1810" w14:textId="0DA447D3" w:rsidR="00A25FEE" w:rsidRPr="00DD0126" w:rsidRDefault="00A25FEE" w:rsidP="00DD0126">
      <w:pPr>
        <w:pStyle w:val="a3"/>
        <w:numPr>
          <w:ilvl w:val="0"/>
          <w:numId w:val="1"/>
        </w:numPr>
        <w:spacing w:line="480" w:lineRule="auto"/>
        <w:ind w:firstLineChars="0"/>
        <w:rPr>
          <w:rFonts w:ascii="Times New Roman" w:hAnsi="Times New Roman" w:cs="Times New Roman"/>
          <w:b/>
          <w:bCs/>
        </w:rPr>
      </w:pPr>
      <w:r w:rsidRPr="00DD0126">
        <w:rPr>
          <w:rFonts w:ascii="Times New Roman" w:hAnsi="Times New Roman" w:cs="Times New Roman"/>
          <w:b/>
          <w:bCs/>
        </w:rPr>
        <w:t>Classification of SCH burden</w:t>
      </w:r>
    </w:p>
    <w:p w14:paraId="7599D542"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To facilitate stratified analyses and clinical interpretation, the SCH-to-gestational tissue ratio was further converted into an ordinal categorical variable according to gestational-age-specific thresholds. Because the anatomical composition of gestational tissues and the ultrasonographic assessment methods differ substantially across gestational stages, separate grading criteria were applied before and after 12 weeks of gestation.</w:t>
      </w:r>
    </w:p>
    <w:p w14:paraId="29972EB4"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The grading thresholds were defined with reference to previously reported SCH classification approaches and adapted according to the gestational-age-specific measurement methods used in the present study. These categories were applied for exploratory stratification and statistical analyses rather than as independent diagnostic criteria.</w:t>
      </w:r>
    </w:p>
    <w:p w14:paraId="27E76E42"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For pregnancies before 12 weeks of gestation, SCH burden was graded based on the SCH-to-gestational-sac area ratio:</w:t>
      </w:r>
    </w:p>
    <w:p w14:paraId="747D9CA9" w14:textId="77777777" w:rsidR="00A25FEE" w:rsidRPr="00A25FEE" w:rsidRDefault="00A25FEE" w:rsidP="00A25FEE">
      <w:pPr>
        <w:widowControl w:val="0"/>
        <w:numPr>
          <w:ilvl w:val="0"/>
          <w:numId w:val="3"/>
        </w:numPr>
        <w:spacing w:line="480" w:lineRule="auto"/>
        <w:jc w:val="both"/>
        <w:rPr>
          <w:rFonts w:ascii="Times New Roman" w:hAnsi="Times New Roman" w:cs="Times New Roman"/>
        </w:rPr>
      </w:pPr>
      <w:r w:rsidRPr="00A25FEE">
        <w:rPr>
          <w:rFonts w:ascii="Times New Roman" w:hAnsi="Times New Roman" w:cs="Times New Roman"/>
          <w:b/>
          <w:bCs/>
        </w:rPr>
        <w:t>Low grade:</w:t>
      </w:r>
      <w:r w:rsidRPr="00A25FEE">
        <w:rPr>
          <w:rFonts w:ascii="Times New Roman" w:hAnsi="Times New Roman" w:cs="Times New Roman"/>
        </w:rPr>
        <w:t xml:space="preserve"> R &lt; 1/3 </w:t>
      </w:r>
    </w:p>
    <w:p w14:paraId="11EFF290" w14:textId="77777777" w:rsidR="00A25FEE" w:rsidRPr="00A25FEE" w:rsidRDefault="00A25FEE" w:rsidP="00A25FEE">
      <w:pPr>
        <w:widowControl w:val="0"/>
        <w:numPr>
          <w:ilvl w:val="0"/>
          <w:numId w:val="3"/>
        </w:numPr>
        <w:spacing w:line="480" w:lineRule="auto"/>
        <w:jc w:val="both"/>
        <w:rPr>
          <w:rFonts w:ascii="Times New Roman" w:hAnsi="Times New Roman" w:cs="Times New Roman"/>
        </w:rPr>
      </w:pPr>
      <w:r w:rsidRPr="00A25FEE">
        <w:rPr>
          <w:rFonts w:ascii="Times New Roman" w:hAnsi="Times New Roman" w:cs="Times New Roman"/>
          <w:b/>
          <w:bCs/>
        </w:rPr>
        <w:lastRenderedPageBreak/>
        <w:t>Medium grade:</w:t>
      </w:r>
      <w:r w:rsidRPr="00A25FEE">
        <w:rPr>
          <w:rFonts w:ascii="Times New Roman" w:hAnsi="Times New Roman" w:cs="Times New Roman"/>
        </w:rPr>
        <w:t xml:space="preserve"> 1/3 ≤ R ≤ 2/3 </w:t>
      </w:r>
    </w:p>
    <w:p w14:paraId="3D3938D5" w14:textId="77777777" w:rsidR="00A25FEE" w:rsidRPr="00A25FEE" w:rsidRDefault="00A25FEE" w:rsidP="00A25FEE">
      <w:pPr>
        <w:widowControl w:val="0"/>
        <w:numPr>
          <w:ilvl w:val="0"/>
          <w:numId w:val="3"/>
        </w:numPr>
        <w:spacing w:line="480" w:lineRule="auto"/>
        <w:jc w:val="both"/>
        <w:rPr>
          <w:rFonts w:ascii="Times New Roman" w:hAnsi="Times New Roman" w:cs="Times New Roman"/>
        </w:rPr>
      </w:pPr>
      <w:r w:rsidRPr="00A25FEE">
        <w:rPr>
          <w:rFonts w:ascii="Times New Roman" w:hAnsi="Times New Roman" w:cs="Times New Roman"/>
          <w:b/>
          <w:bCs/>
        </w:rPr>
        <w:t>High grade:</w:t>
      </w:r>
      <w:r w:rsidRPr="00A25FEE">
        <w:rPr>
          <w:rFonts w:ascii="Times New Roman" w:hAnsi="Times New Roman" w:cs="Times New Roman"/>
        </w:rPr>
        <w:t xml:space="preserve"> R &gt; 2/3</w:t>
      </w:r>
    </w:p>
    <w:p w14:paraId="574617E6"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For pregnancies at or after 12 weeks of gestation, SCH burden was graded based on the SCH-to-total gestational tissue volume ratio:</w:t>
      </w:r>
    </w:p>
    <w:p w14:paraId="370FA833" w14:textId="77777777" w:rsidR="00A25FEE" w:rsidRPr="00A25FEE" w:rsidRDefault="00A25FEE" w:rsidP="00A25FEE">
      <w:pPr>
        <w:widowControl w:val="0"/>
        <w:numPr>
          <w:ilvl w:val="0"/>
          <w:numId w:val="4"/>
        </w:numPr>
        <w:spacing w:line="480" w:lineRule="auto"/>
        <w:jc w:val="both"/>
        <w:rPr>
          <w:rFonts w:ascii="Times New Roman" w:hAnsi="Times New Roman" w:cs="Times New Roman"/>
        </w:rPr>
      </w:pPr>
      <w:r w:rsidRPr="00A25FEE">
        <w:rPr>
          <w:rFonts w:ascii="Times New Roman" w:hAnsi="Times New Roman" w:cs="Times New Roman"/>
          <w:b/>
          <w:bCs/>
        </w:rPr>
        <w:t>Low grade:</w:t>
      </w:r>
      <w:r w:rsidRPr="00A25FEE">
        <w:rPr>
          <w:rFonts w:ascii="Times New Roman" w:hAnsi="Times New Roman" w:cs="Times New Roman"/>
        </w:rPr>
        <w:t xml:space="preserve"> R &lt; 0.05 </w:t>
      </w:r>
    </w:p>
    <w:p w14:paraId="6EB4779A" w14:textId="77777777" w:rsidR="00A25FEE" w:rsidRPr="00A25FEE" w:rsidRDefault="00A25FEE" w:rsidP="00A25FEE">
      <w:pPr>
        <w:widowControl w:val="0"/>
        <w:numPr>
          <w:ilvl w:val="0"/>
          <w:numId w:val="4"/>
        </w:numPr>
        <w:spacing w:line="480" w:lineRule="auto"/>
        <w:jc w:val="both"/>
        <w:rPr>
          <w:rFonts w:ascii="Times New Roman" w:hAnsi="Times New Roman" w:cs="Times New Roman"/>
        </w:rPr>
      </w:pPr>
      <w:r w:rsidRPr="00A25FEE">
        <w:rPr>
          <w:rFonts w:ascii="Times New Roman" w:hAnsi="Times New Roman" w:cs="Times New Roman"/>
          <w:b/>
          <w:bCs/>
        </w:rPr>
        <w:t>Medium grade:</w:t>
      </w:r>
      <w:r w:rsidRPr="00A25FEE">
        <w:rPr>
          <w:rFonts w:ascii="Times New Roman" w:hAnsi="Times New Roman" w:cs="Times New Roman"/>
        </w:rPr>
        <w:t xml:space="preserve"> 0.05 ≤ R ≤ 0.25 </w:t>
      </w:r>
    </w:p>
    <w:p w14:paraId="1C5D4F4D" w14:textId="77777777" w:rsidR="00A25FEE" w:rsidRPr="00A25FEE" w:rsidRDefault="00A25FEE" w:rsidP="00A25FEE">
      <w:pPr>
        <w:widowControl w:val="0"/>
        <w:numPr>
          <w:ilvl w:val="0"/>
          <w:numId w:val="4"/>
        </w:numPr>
        <w:spacing w:line="480" w:lineRule="auto"/>
        <w:jc w:val="both"/>
        <w:rPr>
          <w:rFonts w:ascii="Times New Roman" w:hAnsi="Times New Roman" w:cs="Times New Roman"/>
        </w:rPr>
      </w:pPr>
      <w:r w:rsidRPr="00A25FEE">
        <w:rPr>
          <w:rFonts w:ascii="Times New Roman" w:hAnsi="Times New Roman" w:cs="Times New Roman"/>
          <w:b/>
          <w:bCs/>
        </w:rPr>
        <w:t>High grade:</w:t>
      </w:r>
      <w:r w:rsidRPr="00A25FEE">
        <w:rPr>
          <w:rFonts w:ascii="Times New Roman" w:hAnsi="Times New Roman" w:cs="Times New Roman"/>
        </w:rPr>
        <w:t xml:space="preserve"> R &gt; 0.25</w:t>
      </w:r>
    </w:p>
    <w:p w14:paraId="4401F260" w14:textId="77777777" w:rsidR="00DD0126" w:rsidRDefault="00A25FEE" w:rsidP="00DD0126">
      <w:pPr>
        <w:spacing w:line="480" w:lineRule="auto"/>
        <w:rPr>
          <w:rFonts w:ascii="Times New Roman" w:hAnsi="Times New Roman" w:cs="Times New Roman"/>
        </w:rPr>
      </w:pPr>
      <w:r w:rsidRPr="00A25FEE">
        <w:rPr>
          <w:rFonts w:ascii="Times New Roman" w:hAnsi="Times New Roman" w:cs="Times New Roman"/>
        </w:rPr>
        <w:t xml:space="preserve">The resulting SCH grade was stored as an ordinal categorical variable (Low, Medium, High) and was used for </w:t>
      </w:r>
      <w:r w:rsidR="00DD0126" w:rsidRPr="00DD0126">
        <w:rPr>
          <w:rFonts w:ascii="Times New Roman" w:hAnsi="Times New Roman" w:cs="Times New Roman"/>
        </w:rPr>
        <w:t>descriptive analyses, subgroup comparisons, regression analyses, and trend analyses.</w:t>
      </w:r>
    </w:p>
    <w:p w14:paraId="1C2C89A3" w14:textId="193C69D2" w:rsidR="00A25FEE" w:rsidRPr="00DD0126" w:rsidRDefault="00A25FEE" w:rsidP="00DD0126">
      <w:pPr>
        <w:pStyle w:val="a3"/>
        <w:numPr>
          <w:ilvl w:val="0"/>
          <w:numId w:val="1"/>
        </w:numPr>
        <w:spacing w:line="480" w:lineRule="auto"/>
        <w:ind w:firstLineChars="0"/>
        <w:rPr>
          <w:rFonts w:ascii="Times New Roman" w:hAnsi="Times New Roman" w:cs="Times New Roman"/>
          <w:b/>
          <w:bCs/>
        </w:rPr>
      </w:pPr>
      <w:r w:rsidRPr="00DD0126">
        <w:rPr>
          <w:rFonts w:ascii="Times New Roman" w:hAnsi="Times New Roman" w:cs="Times New Roman"/>
          <w:b/>
          <w:bCs/>
        </w:rPr>
        <w:t>Definition of longitudinal SCH variables</w:t>
      </w:r>
    </w:p>
    <w:p w14:paraId="73A8E3E4"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Because SCH represents a dynamic ultrasonographic finding that may change in size and relative burden during pregnancy, all available ultrasound examinations documenting SCH were reviewed chronologically for each participant. The SCH-to-gestational tissue ratio was calculated for each examination using the gestational-age-specific methods described above.</w:t>
      </w:r>
    </w:p>
    <w:p w14:paraId="313B8C14"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To characterize the temporal evolution of SCH burden, three longitudinal SCH ratio variables were derived:</w:t>
      </w:r>
    </w:p>
    <w:p w14:paraId="5479A478" w14:textId="77777777" w:rsidR="00A25FEE" w:rsidRPr="00A25FEE" w:rsidRDefault="00A25FEE" w:rsidP="00A25FEE">
      <w:pPr>
        <w:widowControl w:val="0"/>
        <w:numPr>
          <w:ilvl w:val="0"/>
          <w:numId w:val="5"/>
        </w:numPr>
        <w:spacing w:line="480" w:lineRule="auto"/>
        <w:jc w:val="both"/>
        <w:rPr>
          <w:rFonts w:ascii="Times New Roman" w:hAnsi="Times New Roman" w:cs="Times New Roman"/>
        </w:rPr>
      </w:pPr>
      <w:r w:rsidRPr="00A25FEE">
        <w:rPr>
          <w:rFonts w:ascii="Times New Roman" w:hAnsi="Times New Roman" w:cs="Times New Roman"/>
          <w:b/>
          <w:bCs/>
        </w:rPr>
        <w:t>Initial SCH ratio:</w:t>
      </w:r>
      <w:r w:rsidRPr="00A25FEE">
        <w:rPr>
          <w:rFonts w:ascii="Times New Roman" w:hAnsi="Times New Roman" w:cs="Times New Roman"/>
        </w:rPr>
        <w:t xml:space="preserve"> defined as the SCH-to-gestational tissue ratio measured at the first ultrasound examination confirming the presence of SCH.</w:t>
      </w:r>
    </w:p>
    <w:p w14:paraId="59A77B31" w14:textId="77777777" w:rsidR="00A25FEE" w:rsidRPr="00A25FEE" w:rsidRDefault="00A25FEE" w:rsidP="00A25FEE">
      <w:pPr>
        <w:widowControl w:val="0"/>
        <w:numPr>
          <w:ilvl w:val="0"/>
          <w:numId w:val="5"/>
        </w:numPr>
        <w:spacing w:line="480" w:lineRule="auto"/>
        <w:jc w:val="both"/>
        <w:rPr>
          <w:rFonts w:ascii="Times New Roman" w:hAnsi="Times New Roman" w:cs="Times New Roman"/>
        </w:rPr>
      </w:pPr>
      <w:r w:rsidRPr="00A25FEE">
        <w:rPr>
          <w:rFonts w:ascii="Times New Roman" w:hAnsi="Times New Roman" w:cs="Times New Roman"/>
          <w:b/>
          <w:bCs/>
        </w:rPr>
        <w:t>Maximum SCH ratio:</w:t>
      </w:r>
      <w:r w:rsidRPr="00A25FEE">
        <w:rPr>
          <w:rFonts w:ascii="Times New Roman" w:hAnsi="Times New Roman" w:cs="Times New Roman"/>
        </w:rPr>
        <w:t xml:space="preserve"> defined as the highest SCH-to-gestational tissue ratio recorded during the follow-up period.</w:t>
      </w:r>
    </w:p>
    <w:p w14:paraId="327C7F12" w14:textId="77777777" w:rsidR="00DD0126" w:rsidRDefault="00A25FEE" w:rsidP="006A6AD3">
      <w:pPr>
        <w:numPr>
          <w:ilvl w:val="0"/>
          <w:numId w:val="5"/>
        </w:numPr>
        <w:spacing w:line="480" w:lineRule="auto"/>
        <w:rPr>
          <w:rFonts w:ascii="Times New Roman" w:hAnsi="Times New Roman" w:cs="Times New Roman"/>
        </w:rPr>
      </w:pPr>
      <w:r w:rsidRPr="00A25FEE">
        <w:rPr>
          <w:rFonts w:ascii="Times New Roman" w:hAnsi="Times New Roman" w:cs="Times New Roman"/>
          <w:b/>
          <w:bCs/>
        </w:rPr>
        <w:lastRenderedPageBreak/>
        <w:t>Final SCH ratio:</w:t>
      </w:r>
      <w:r w:rsidRPr="00A25FEE">
        <w:rPr>
          <w:rFonts w:ascii="Times New Roman" w:hAnsi="Times New Roman" w:cs="Times New Roman"/>
        </w:rPr>
        <w:t xml:space="preserve"> </w:t>
      </w:r>
      <w:r w:rsidR="00DD0126" w:rsidRPr="00DD0126">
        <w:rPr>
          <w:rFonts w:ascii="Times New Roman" w:hAnsi="Times New Roman" w:cs="Times New Roman"/>
        </w:rPr>
        <w:t>defined as the SCH-to-gestational tissue ratio measured at the last available ultrasound examination during pregnancy follow-up.</w:t>
      </w:r>
    </w:p>
    <w:p w14:paraId="0A40017B" w14:textId="43127D00" w:rsidR="00D900E7" w:rsidRPr="00DD0126" w:rsidRDefault="00A25FEE" w:rsidP="00D900E7">
      <w:pPr>
        <w:spacing w:line="480" w:lineRule="auto"/>
        <w:rPr>
          <w:rFonts w:ascii="Times New Roman" w:hAnsi="Times New Roman" w:cs="Times New Roman"/>
        </w:rPr>
      </w:pPr>
      <w:r w:rsidRPr="00A25FEE">
        <w:rPr>
          <w:rFonts w:ascii="Times New Roman" w:hAnsi="Times New Roman" w:cs="Times New Roman"/>
        </w:rPr>
        <w:t xml:space="preserve">These longitudinal SCH ratio variables </w:t>
      </w:r>
      <w:r w:rsidR="00D900E7" w:rsidRPr="00A25FEE">
        <w:rPr>
          <w:rFonts w:ascii="Times New Roman" w:hAnsi="Times New Roman" w:cs="Times New Roman"/>
        </w:rPr>
        <w:t>were</w:t>
      </w:r>
      <w:r w:rsidR="00D900E7" w:rsidRPr="00D900E7">
        <w:rPr>
          <w:rFonts w:ascii="Times New Roman" w:hAnsi="Times New Roman" w:cs="Times New Roman"/>
        </w:rPr>
        <w:t xml:space="preserve"> retained as continuous measures and were used in subsequent correlation analyses and regression models.</w:t>
      </w:r>
    </w:p>
    <w:p w14:paraId="286B1AD7" w14:textId="57FF2DBF" w:rsidR="00A25FEE" w:rsidRPr="00A25FEE" w:rsidRDefault="00A25FEE" w:rsidP="00A25FEE">
      <w:pPr>
        <w:pStyle w:val="a3"/>
        <w:numPr>
          <w:ilvl w:val="0"/>
          <w:numId w:val="1"/>
        </w:numPr>
        <w:spacing w:line="480" w:lineRule="auto"/>
        <w:ind w:firstLineChars="0"/>
        <w:rPr>
          <w:rFonts w:ascii="Times New Roman" w:hAnsi="Times New Roman" w:cs="Times New Roman"/>
          <w:b/>
          <w:bCs/>
        </w:rPr>
      </w:pPr>
      <w:r w:rsidRPr="00A25FEE">
        <w:rPr>
          <w:rFonts w:ascii="Times New Roman" w:hAnsi="Times New Roman" w:cs="Times New Roman"/>
          <w:b/>
          <w:bCs/>
        </w:rPr>
        <w:t>Definition</w:t>
      </w:r>
      <w:r w:rsidR="00DD0126">
        <w:rPr>
          <w:rFonts w:ascii="Times New Roman" w:hAnsi="Times New Roman" w:cs="Times New Roman"/>
          <w:b/>
          <w:bCs/>
        </w:rPr>
        <w:t>s</w:t>
      </w:r>
      <w:r w:rsidRPr="00A25FEE">
        <w:rPr>
          <w:rFonts w:ascii="Times New Roman" w:hAnsi="Times New Roman" w:cs="Times New Roman" w:hint="eastAsia"/>
          <w:b/>
          <w:bCs/>
        </w:rPr>
        <w:t xml:space="preserve"> </w:t>
      </w:r>
      <w:r w:rsidRPr="00A25FEE">
        <w:rPr>
          <w:rFonts w:ascii="Times New Roman" w:hAnsi="Times New Roman" w:cs="Times New Roman"/>
          <w:b/>
          <w:bCs/>
        </w:rPr>
        <w:t>of pregnancy outcomes and delivery modes</w:t>
      </w:r>
    </w:p>
    <w:p w14:paraId="2FF1617B" w14:textId="77777777" w:rsidR="00A25FEE" w:rsidRPr="00A25FEE" w:rsidRDefault="00A25FEE" w:rsidP="00A25FEE">
      <w:pPr>
        <w:widowControl w:val="0"/>
        <w:spacing w:line="480" w:lineRule="auto"/>
        <w:jc w:val="both"/>
        <w:rPr>
          <w:rFonts w:ascii="Times New Roman" w:hAnsi="Times New Roman" w:cs="Times New Roman"/>
          <w:b/>
          <w:bCs/>
        </w:rPr>
      </w:pPr>
      <w:r w:rsidRPr="00A25FEE">
        <w:rPr>
          <w:rFonts w:ascii="Times New Roman" w:hAnsi="Times New Roman" w:cs="Times New Roman"/>
          <w:b/>
          <w:bCs/>
        </w:rPr>
        <w:t>Definition of pregnancy outcomes</w:t>
      </w:r>
    </w:p>
    <w:p w14:paraId="5A356813" w14:textId="74985998"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Pregnancy outcomes were classified according to gestational age at pregnancy</w:t>
      </w:r>
      <w:r w:rsidR="00DD0126">
        <w:rPr>
          <w:rFonts w:ascii="Times New Roman" w:hAnsi="Times New Roman" w:cs="Times New Roman"/>
        </w:rPr>
        <w:t xml:space="preserve"> loss</w:t>
      </w:r>
      <w:r w:rsidRPr="00A25FEE">
        <w:rPr>
          <w:rFonts w:ascii="Times New Roman" w:hAnsi="Times New Roman" w:cs="Times New Roman"/>
        </w:rPr>
        <w:t xml:space="preserve"> or delivery based on the final clinical outcome documented in the electronic medical records.</w:t>
      </w:r>
    </w:p>
    <w:p w14:paraId="4DE68A2D"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The pregnancy outcomes were categorized into four groups:</w:t>
      </w:r>
    </w:p>
    <w:p w14:paraId="204FC20E" w14:textId="77777777" w:rsidR="00A25FEE" w:rsidRPr="00A25FEE" w:rsidRDefault="00A25FEE" w:rsidP="00A25FEE">
      <w:pPr>
        <w:widowControl w:val="0"/>
        <w:numPr>
          <w:ilvl w:val="0"/>
          <w:numId w:val="6"/>
        </w:numPr>
        <w:spacing w:line="480" w:lineRule="auto"/>
        <w:jc w:val="both"/>
        <w:rPr>
          <w:rFonts w:ascii="Times New Roman" w:hAnsi="Times New Roman" w:cs="Times New Roman"/>
        </w:rPr>
      </w:pPr>
      <w:r w:rsidRPr="00A25FEE">
        <w:rPr>
          <w:rFonts w:ascii="Times New Roman" w:hAnsi="Times New Roman" w:cs="Times New Roman"/>
          <w:b/>
          <w:bCs/>
        </w:rPr>
        <w:t>Miscarriage / inevitable abortion:</w:t>
      </w:r>
      <w:r w:rsidRPr="00A25FEE">
        <w:rPr>
          <w:rFonts w:ascii="Times New Roman" w:hAnsi="Times New Roman" w:cs="Times New Roman"/>
        </w:rPr>
        <w:t xml:space="preserve"> pregnancy loss occurring before 22 weeks of gestation.</w:t>
      </w:r>
    </w:p>
    <w:p w14:paraId="2ED46788" w14:textId="77777777" w:rsidR="00A25FEE" w:rsidRPr="00A25FEE" w:rsidRDefault="00A25FEE" w:rsidP="00A25FEE">
      <w:pPr>
        <w:widowControl w:val="0"/>
        <w:numPr>
          <w:ilvl w:val="0"/>
          <w:numId w:val="6"/>
        </w:numPr>
        <w:spacing w:line="480" w:lineRule="auto"/>
        <w:jc w:val="both"/>
        <w:rPr>
          <w:rFonts w:ascii="Times New Roman" w:hAnsi="Times New Roman" w:cs="Times New Roman"/>
        </w:rPr>
      </w:pPr>
      <w:r w:rsidRPr="00A25FEE">
        <w:rPr>
          <w:rFonts w:ascii="Times New Roman" w:hAnsi="Times New Roman" w:cs="Times New Roman"/>
          <w:b/>
          <w:bCs/>
        </w:rPr>
        <w:t>Extremely preterm birth:</w:t>
      </w:r>
      <w:r w:rsidRPr="00A25FEE">
        <w:rPr>
          <w:rFonts w:ascii="Times New Roman" w:hAnsi="Times New Roman" w:cs="Times New Roman"/>
        </w:rPr>
        <w:t xml:space="preserve"> delivery occurring at ≥22 and &lt;28 weeks of gestation.</w:t>
      </w:r>
    </w:p>
    <w:p w14:paraId="25949B15" w14:textId="77777777" w:rsidR="00A25FEE" w:rsidRPr="00A25FEE" w:rsidRDefault="00A25FEE" w:rsidP="00A25FEE">
      <w:pPr>
        <w:widowControl w:val="0"/>
        <w:numPr>
          <w:ilvl w:val="0"/>
          <w:numId w:val="6"/>
        </w:numPr>
        <w:spacing w:line="480" w:lineRule="auto"/>
        <w:jc w:val="both"/>
        <w:rPr>
          <w:rFonts w:ascii="Times New Roman" w:hAnsi="Times New Roman" w:cs="Times New Roman"/>
        </w:rPr>
      </w:pPr>
      <w:r w:rsidRPr="00A25FEE">
        <w:rPr>
          <w:rFonts w:ascii="Times New Roman" w:hAnsi="Times New Roman" w:cs="Times New Roman"/>
          <w:b/>
          <w:bCs/>
        </w:rPr>
        <w:t>Preterm birth:</w:t>
      </w:r>
      <w:r w:rsidRPr="00A25FEE">
        <w:rPr>
          <w:rFonts w:ascii="Times New Roman" w:hAnsi="Times New Roman" w:cs="Times New Roman"/>
        </w:rPr>
        <w:t xml:space="preserve"> delivery occurring at ≥28 and &lt;37 weeks of gestation.</w:t>
      </w:r>
    </w:p>
    <w:p w14:paraId="510E43D4" w14:textId="77777777" w:rsidR="00A25FEE" w:rsidRPr="00A25FEE" w:rsidRDefault="00A25FEE" w:rsidP="00A25FEE">
      <w:pPr>
        <w:widowControl w:val="0"/>
        <w:numPr>
          <w:ilvl w:val="0"/>
          <w:numId w:val="6"/>
        </w:numPr>
        <w:spacing w:line="480" w:lineRule="auto"/>
        <w:jc w:val="both"/>
        <w:rPr>
          <w:rFonts w:ascii="Times New Roman" w:hAnsi="Times New Roman" w:cs="Times New Roman"/>
        </w:rPr>
      </w:pPr>
      <w:r w:rsidRPr="00A25FEE">
        <w:rPr>
          <w:rFonts w:ascii="Times New Roman" w:hAnsi="Times New Roman" w:cs="Times New Roman"/>
          <w:b/>
          <w:bCs/>
        </w:rPr>
        <w:t>Full-term birth:</w:t>
      </w:r>
      <w:r w:rsidRPr="00A25FEE">
        <w:rPr>
          <w:rFonts w:ascii="Times New Roman" w:hAnsi="Times New Roman" w:cs="Times New Roman"/>
        </w:rPr>
        <w:t xml:space="preserve"> delivery occurring at ≥37 weeks of gestation.</w:t>
      </w:r>
    </w:p>
    <w:p w14:paraId="4278049E" w14:textId="0822F5AD"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For logistic regression analyses, full-term birth was defined as the outcome event, whereas all other pregnancy outcomes were considered non-full-term outcomes.</w:t>
      </w:r>
    </w:p>
    <w:p w14:paraId="11560727" w14:textId="77777777" w:rsidR="00A25FEE" w:rsidRPr="00A25FEE" w:rsidRDefault="00A25FEE" w:rsidP="00A25FEE">
      <w:pPr>
        <w:widowControl w:val="0"/>
        <w:spacing w:line="480" w:lineRule="auto"/>
        <w:jc w:val="both"/>
        <w:rPr>
          <w:rFonts w:ascii="Times New Roman" w:hAnsi="Times New Roman" w:cs="Times New Roman"/>
          <w:b/>
          <w:bCs/>
        </w:rPr>
      </w:pPr>
      <w:r w:rsidRPr="00A25FEE">
        <w:rPr>
          <w:rFonts w:ascii="Times New Roman" w:hAnsi="Times New Roman" w:cs="Times New Roman"/>
          <w:b/>
          <w:bCs/>
        </w:rPr>
        <w:t>Definition of delivery modes</w:t>
      </w:r>
    </w:p>
    <w:p w14:paraId="2C5D3045" w14:textId="77777777" w:rsidR="00A25FEE" w:rsidRP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Delivery mode was determined based on the final pregnancy outcome documented in the electronic medical records. Four categories were used:</w:t>
      </w:r>
    </w:p>
    <w:p w14:paraId="0E119D63" w14:textId="336B0559" w:rsidR="00A25FEE" w:rsidRPr="00A25FEE" w:rsidRDefault="00A25FEE" w:rsidP="00A25FEE">
      <w:pPr>
        <w:widowControl w:val="0"/>
        <w:numPr>
          <w:ilvl w:val="0"/>
          <w:numId w:val="7"/>
        </w:numPr>
        <w:spacing w:line="480" w:lineRule="auto"/>
        <w:jc w:val="both"/>
        <w:rPr>
          <w:rFonts w:ascii="Times New Roman" w:hAnsi="Times New Roman" w:cs="Times New Roman"/>
        </w:rPr>
      </w:pPr>
      <w:r w:rsidRPr="00A25FEE">
        <w:rPr>
          <w:rFonts w:ascii="Times New Roman" w:hAnsi="Times New Roman" w:cs="Times New Roman"/>
          <w:b/>
          <w:bCs/>
        </w:rPr>
        <w:t>Spontaneous</w:t>
      </w:r>
      <w:r>
        <w:rPr>
          <w:rFonts w:ascii="Times New Roman" w:hAnsi="Times New Roman" w:cs="Times New Roman" w:hint="eastAsia"/>
          <w:b/>
          <w:bCs/>
        </w:rPr>
        <w:t xml:space="preserve"> </w:t>
      </w:r>
      <w:r w:rsidRPr="00A25FEE">
        <w:rPr>
          <w:rFonts w:ascii="Times New Roman" w:hAnsi="Times New Roman" w:cs="Times New Roman"/>
          <w:b/>
          <w:bCs/>
        </w:rPr>
        <w:t>vaginal delivery:</w:t>
      </w:r>
      <w:r w:rsidRPr="00A25FEE">
        <w:rPr>
          <w:rFonts w:ascii="Times New Roman" w:hAnsi="Times New Roman" w:cs="Times New Roman"/>
        </w:rPr>
        <w:t xml:space="preserve"> vaginal delivery occurring without </w:t>
      </w:r>
      <w:r w:rsidRPr="00A25FEE">
        <w:rPr>
          <w:rFonts w:ascii="Times New Roman" w:hAnsi="Times New Roman" w:cs="Times New Roman"/>
        </w:rPr>
        <w:lastRenderedPageBreak/>
        <w:t>instrumental assistance.</w:t>
      </w:r>
    </w:p>
    <w:p w14:paraId="54CF9C08" w14:textId="71448A09" w:rsidR="00A25FEE" w:rsidRPr="00A25FEE" w:rsidRDefault="00A25FEE" w:rsidP="00A25FEE">
      <w:pPr>
        <w:widowControl w:val="0"/>
        <w:numPr>
          <w:ilvl w:val="0"/>
          <w:numId w:val="7"/>
        </w:numPr>
        <w:spacing w:line="480" w:lineRule="auto"/>
        <w:jc w:val="both"/>
        <w:rPr>
          <w:rFonts w:ascii="Times New Roman" w:hAnsi="Times New Roman" w:cs="Times New Roman"/>
        </w:rPr>
      </w:pPr>
      <w:r w:rsidRPr="00A25FEE">
        <w:rPr>
          <w:rFonts w:ascii="Times New Roman" w:hAnsi="Times New Roman" w:cs="Times New Roman"/>
          <w:b/>
          <w:bCs/>
        </w:rPr>
        <w:t>Assisted vaginal delivery:</w:t>
      </w:r>
      <w:r w:rsidRPr="00A25FEE">
        <w:rPr>
          <w:rFonts w:ascii="Times New Roman" w:hAnsi="Times New Roman" w:cs="Times New Roman"/>
        </w:rPr>
        <w:t xml:space="preserve"> vaginal delivery requiring obstetric instrumental assistance, </w:t>
      </w:r>
      <w:r w:rsidR="00DD0126" w:rsidRPr="00DD0126">
        <w:rPr>
          <w:rFonts w:ascii="Times New Roman" w:hAnsi="Times New Roman" w:cs="Times New Roman"/>
        </w:rPr>
        <w:t>including vacuum-assisted or forceps-assisted delivery.</w:t>
      </w:r>
    </w:p>
    <w:p w14:paraId="3BA1BA2B" w14:textId="77777777" w:rsidR="00A25FEE" w:rsidRPr="00A25FEE" w:rsidRDefault="00A25FEE" w:rsidP="00A25FEE">
      <w:pPr>
        <w:widowControl w:val="0"/>
        <w:numPr>
          <w:ilvl w:val="0"/>
          <w:numId w:val="7"/>
        </w:numPr>
        <w:spacing w:line="480" w:lineRule="auto"/>
        <w:jc w:val="both"/>
        <w:rPr>
          <w:rFonts w:ascii="Times New Roman" w:hAnsi="Times New Roman" w:cs="Times New Roman"/>
        </w:rPr>
      </w:pPr>
      <w:r w:rsidRPr="00A25FEE">
        <w:rPr>
          <w:rFonts w:ascii="Times New Roman" w:hAnsi="Times New Roman" w:cs="Times New Roman"/>
          <w:b/>
          <w:bCs/>
        </w:rPr>
        <w:t>Cesarean section:</w:t>
      </w:r>
      <w:r w:rsidRPr="00A25FEE">
        <w:rPr>
          <w:rFonts w:ascii="Times New Roman" w:hAnsi="Times New Roman" w:cs="Times New Roman"/>
        </w:rPr>
        <w:t xml:space="preserve"> delivery performed by cesarean operation.</w:t>
      </w:r>
    </w:p>
    <w:p w14:paraId="466FE69A" w14:textId="77777777" w:rsidR="00A25FEE" w:rsidRPr="00A25FEE" w:rsidRDefault="00A25FEE" w:rsidP="00A25FEE">
      <w:pPr>
        <w:widowControl w:val="0"/>
        <w:numPr>
          <w:ilvl w:val="0"/>
          <w:numId w:val="7"/>
        </w:numPr>
        <w:spacing w:line="480" w:lineRule="auto"/>
        <w:jc w:val="both"/>
        <w:rPr>
          <w:rFonts w:ascii="Times New Roman" w:hAnsi="Times New Roman" w:cs="Times New Roman"/>
        </w:rPr>
      </w:pPr>
      <w:r w:rsidRPr="00A25FEE">
        <w:rPr>
          <w:rFonts w:ascii="Times New Roman" w:hAnsi="Times New Roman" w:cs="Times New Roman"/>
          <w:b/>
          <w:bCs/>
        </w:rPr>
        <w:t>Miscarriage-related procedure:</w:t>
      </w:r>
      <w:r w:rsidRPr="00A25FEE">
        <w:rPr>
          <w:rFonts w:ascii="Times New Roman" w:hAnsi="Times New Roman" w:cs="Times New Roman"/>
        </w:rPr>
        <w:t xml:space="preserve"> procedures performed for pregnancy loss, including surgical evacuation or other related interventions.</w:t>
      </w:r>
    </w:p>
    <w:p w14:paraId="4DEE79C3" w14:textId="69F50698" w:rsidR="00A25FEE" w:rsidRDefault="00A25FEE" w:rsidP="00A25FEE">
      <w:pPr>
        <w:widowControl w:val="0"/>
        <w:spacing w:line="480" w:lineRule="auto"/>
        <w:jc w:val="both"/>
        <w:rPr>
          <w:rFonts w:ascii="Times New Roman" w:hAnsi="Times New Roman" w:cs="Times New Roman"/>
        </w:rPr>
      </w:pPr>
      <w:r w:rsidRPr="00A25FEE">
        <w:rPr>
          <w:rFonts w:ascii="Times New Roman" w:hAnsi="Times New Roman" w:cs="Times New Roman"/>
        </w:rPr>
        <w:t>Delivery mode was treated as a categorical variable and was used for descriptive analyses and correlation analyses evaluating the association between SCH characteristics and mode of delivery.</w:t>
      </w:r>
      <w:r w:rsidR="00DD0126" w:rsidRPr="00DD0126">
        <w:t xml:space="preserve"> </w:t>
      </w:r>
      <w:r w:rsidR="00DD0126" w:rsidRPr="00DD0126">
        <w:rPr>
          <w:rFonts w:ascii="Times New Roman" w:hAnsi="Times New Roman" w:cs="Times New Roman"/>
        </w:rPr>
        <w:t>Unless otherwise specified, all derived variables described above were incorporated into the statistical analyses presented in the main manuscript.</w:t>
      </w:r>
    </w:p>
    <w:p w14:paraId="21EDE9AB" w14:textId="40AD6302" w:rsidR="00121B44" w:rsidRPr="00121B44" w:rsidRDefault="00121B44" w:rsidP="00121B44">
      <w:pPr>
        <w:spacing w:line="480" w:lineRule="auto"/>
        <w:ind w:left="979" w:hangingChars="400" w:hanging="979"/>
        <w:rPr>
          <w:rFonts w:ascii="Times New Roman" w:hAnsi="Times New Roman" w:cs="Times New Roman"/>
          <w:b/>
          <w:bCs/>
        </w:rPr>
      </w:pPr>
      <w:r w:rsidRPr="00121B44">
        <w:rPr>
          <w:rFonts w:ascii="Times New Roman" w:hAnsi="Times New Roman" w:cs="Times New Roman"/>
          <w:b/>
          <w:bCs/>
        </w:rPr>
        <w:t>Supplementary Figure S1</w:t>
      </w:r>
    </w:p>
    <w:p w14:paraId="4BDBED18" w14:textId="0A4B1967" w:rsidR="00121B44" w:rsidRDefault="00121B44" w:rsidP="00A25FEE">
      <w:pPr>
        <w:widowControl w:val="0"/>
        <w:spacing w:line="480" w:lineRule="auto"/>
        <w:jc w:val="both"/>
        <w:rPr>
          <w:rFonts w:ascii="Times New Roman" w:hAnsi="Times New Roman" w:cs="Times New Roman"/>
        </w:rPr>
      </w:pPr>
      <w:r w:rsidRPr="00121B44">
        <w:rPr>
          <w:rFonts w:ascii="Times New Roman" w:hAnsi="Times New Roman" w:cs="Times New Roman"/>
        </w:rPr>
        <w:t>Ultrasonographic measurements used for calculating the SCH-to-gestational-sac area ratio before 12 weeks of gestation.</w:t>
      </w:r>
    </w:p>
    <w:p w14:paraId="217FC0B1" w14:textId="4142323A" w:rsidR="00121B44" w:rsidRDefault="00121B44" w:rsidP="00A25FEE">
      <w:pPr>
        <w:widowControl w:val="0"/>
        <w:spacing w:line="480" w:lineRule="auto"/>
        <w:jc w:val="both"/>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hint="eastAsia"/>
          <w:noProof/>
        </w:rPr>
        <w:drawing>
          <wp:inline distT="0" distB="0" distL="0" distR="0" wp14:anchorId="155E6000" wp14:editId="60959CB1">
            <wp:extent cx="2466951" cy="2121031"/>
            <wp:effectExtent l="0" t="0" r="0" b="0"/>
            <wp:docPr id="21291957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95717" name="图片 2129195717"/>
                    <pic:cNvPicPr/>
                  </pic:nvPicPr>
                  <pic:blipFill>
                    <a:blip r:embed="rId5">
                      <a:extLst>
                        <a:ext uri="{28A0092B-C50C-407E-A947-70E740481C1C}">
                          <a14:useLocalDpi xmlns:a14="http://schemas.microsoft.com/office/drawing/2010/main" val="0"/>
                        </a:ext>
                      </a:extLst>
                    </a:blip>
                    <a:stretch>
                      <a:fillRect/>
                    </a:stretch>
                  </pic:blipFill>
                  <pic:spPr>
                    <a:xfrm>
                      <a:off x="0" y="0"/>
                      <a:ext cx="2503791" cy="2152705"/>
                    </a:xfrm>
                    <a:prstGeom prst="rect">
                      <a:avLst/>
                    </a:prstGeom>
                  </pic:spPr>
                </pic:pic>
              </a:graphicData>
            </a:graphic>
          </wp:inline>
        </w:drawing>
      </w:r>
    </w:p>
    <w:p w14:paraId="2CFEAA26" w14:textId="0D44E04A" w:rsidR="00121B44" w:rsidRDefault="00121B44" w:rsidP="00A25FEE">
      <w:pPr>
        <w:widowControl w:val="0"/>
        <w:spacing w:line="480" w:lineRule="auto"/>
        <w:jc w:val="both"/>
        <w:rPr>
          <w:rFonts w:ascii="Times New Roman" w:hAnsi="Times New Roman" w:cs="Times New Roman"/>
        </w:rPr>
      </w:pPr>
      <w:r w:rsidRPr="00121B44">
        <w:rPr>
          <w:rFonts w:ascii="Times New Roman" w:hAnsi="Times New Roman" w:cs="Times New Roman"/>
        </w:rPr>
        <w:t>Blue arrows indicate the long (L) and short (W) diameters of the subchorionic hematoma (SCH), whereas orange arrows indicate the long (r₁) and short (r₂) diameters of the gestational sac. These measurements were used to calculate the SCH-to-</w:t>
      </w:r>
      <w:r w:rsidRPr="00121B44">
        <w:rPr>
          <w:rFonts w:ascii="Times New Roman" w:hAnsi="Times New Roman" w:cs="Times New Roman"/>
        </w:rPr>
        <w:lastRenderedPageBreak/>
        <w:t>gestational-sac area ratio described in the Supplementary Methods.</w:t>
      </w:r>
    </w:p>
    <w:p w14:paraId="3DC22662" w14:textId="38B8B2CD" w:rsidR="00121B44" w:rsidRPr="00121B44" w:rsidRDefault="00121B44" w:rsidP="00121B44">
      <w:pPr>
        <w:spacing w:line="480" w:lineRule="auto"/>
        <w:ind w:left="979" w:hangingChars="400" w:hanging="979"/>
        <w:rPr>
          <w:rFonts w:ascii="Times New Roman" w:hAnsi="Times New Roman" w:cs="Times New Roman"/>
          <w:b/>
          <w:bCs/>
        </w:rPr>
      </w:pPr>
      <w:r w:rsidRPr="00121B44">
        <w:rPr>
          <w:rFonts w:ascii="Times New Roman" w:hAnsi="Times New Roman" w:cs="Times New Roman"/>
          <w:b/>
          <w:bCs/>
        </w:rPr>
        <w:t>Supplementary Figure S</w:t>
      </w:r>
      <w:r>
        <w:rPr>
          <w:rFonts w:ascii="Times New Roman" w:hAnsi="Times New Roman" w:cs="Times New Roman" w:hint="eastAsia"/>
          <w:b/>
          <w:bCs/>
        </w:rPr>
        <w:t>2</w:t>
      </w:r>
    </w:p>
    <w:p w14:paraId="5F8EFDE3" w14:textId="2958586B" w:rsidR="00121B44" w:rsidRDefault="00121B44" w:rsidP="00A25FEE">
      <w:pPr>
        <w:widowControl w:val="0"/>
        <w:spacing w:line="480" w:lineRule="auto"/>
        <w:jc w:val="both"/>
        <w:rPr>
          <w:rFonts w:ascii="Times New Roman" w:hAnsi="Times New Roman" w:cs="Times New Roman"/>
        </w:rPr>
      </w:pPr>
      <w:r w:rsidRPr="00121B44">
        <w:rPr>
          <w:rFonts w:ascii="Times New Roman" w:hAnsi="Times New Roman" w:cs="Times New Roman"/>
        </w:rPr>
        <w:t>Ultrasonographic measurements used for calculating the SCH-to-total gestational tissue volume ratio at or after 12 weeks of gestation.</w:t>
      </w:r>
    </w:p>
    <w:p w14:paraId="4D70F25E" w14:textId="57F6FD9F" w:rsidR="00121B44" w:rsidRDefault="00121B44" w:rsidP="00A25FEE">
      <w:pPr>
        <w:widowControl w:val="0"/>
        <w:spacing w:line="480" w:lineRule="auto"/>
        <w:jc w:val="both"/>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noProof/>
        </w:rPr>
        <w:drawing>
          <wp:inline distT="0" distB="0" distL="0" distR="0" wp14:anchorId="75B28EDB" wp14:editId="5E1F6357">
            <wp:extent cx="2516956" cy="2516956"/>
            <wp:effectExtent l="0" t="0" r="0" b="0"/>
            <wp:docPr id="19985011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01111" name="图片 1998501111"/>
                    <pic:cNvPicPr/>
                  </pic:nvPicPr>
                  <pic:blipFill>
                    <a:blip r:embed="rId6">
                      <a:extLst>
                        <a:ext uri="{28A0092B-C50C-407E-A947-70E740481C1C}">
                          <a14:useLocalDpi xmlns:a14="http://schemas.microsoft.com/office/drawing/2010/main" val="0"/>
                        </a:ext>
                      </a:extLst>
                    </a:blip>
                    <a:stretch>
                      <a:fillRect/>
                    </a:stretch>
                  </pic:blipFill>
                  <pic:spPr>
                    <a:xfrm>
                      <a:off x="0" y="0"/>
                      <a:ext cx="2526362" cy="2526362"/>
                    </a:xfrm>
                    <a:prstGeom prst="rect">
                      <a:avLst/>
                    </a:prstGeom>
                  </pic:spPr>
                </pic:pic>
              </a:graphicData>
            </a:graphic>
          </wp:inline>
        </w:drawing>
      </w:r>
    </w:p>
    <w:p w14:paraId="617E4FF9" w14:textId="12D64188" w:rsidR="00121B44" w:rsidRDefault="00121B44" w:rsidP="00A25FEE">
      <w:pPr>
        <w:widowControl w:val="0"/>
        <w:spacing w:line="480" w:lineRule="auto"/>
        <w:jc w:val="both"/>
        <w:rPr>
          <w:rFonts w:ascii="Times New Roman" w:hAnsi="Times New Roman" w:cs="Times New Roman"/>
        </w:rPr>
      </w:pPr>
      <w:r w:rsidRPr="00121B44">
        <w:rPr>
          <w:rFonts w:ascii="Times New Roman" w:hAnsi="Times New Roman" w:cs="Times New Roman"/>
        </w:rPr>
        <w:t>Green arrows indicate the long (L) and short (W) diameters of the SCH. Orange arrows indicate placental thickness (T), whereas placental length (</w:t>
      </w:r>
      <w:proofErr w:type="spellStart"/>
      <w:r w:rsidRPr="00121B44">
        <w:rPr>
          <w:rFonts w:ascii="Times New Roman" w:hAnsi="Times New Roman" w:cs="Times New Roman"/>
        </w:rPr>
        <w:t>Lp</w:t>
      </w:r>
      <w:proofErr w:type="spellEnd"/>
      <w:r w:rsidRPr="00121B44">
        <w:rPr>
          <w:rFonts w:ascii="Times New Roman" w:hAnsi="Times New Roman" w:cs="Times New Roman"/>
        </w:rPr>
        <w:t>) was measured along the maximal placental axis. The red dashed line indicates the maximum vertical pocket of amniotic fluid (A). Blue arrows indicate the biparietal diameter (BPD). Femur length (FL), obtained during routine fetal biometry, was incorporated into the estimation of fetal volume but is not illustrated in this representative image.</w:t>
      </w:r>
    </w:p>
    <w:p w14:paraId="5841072D" w14:textId="77777777" w:rsidR="00D22A0A" w:rsidRDefault="00D22A0A" w:rsidP="00A25FEE">
      <w:pPr>
        <w:widowControl w:val="0"/>
        <w:spacing w:line="480" w:lineRule="auto"/>
        <w:jc w:val="both"/>
        <w:rPr>
          <w:rFonts w:ascii="Times New Roman" w:hAnsi="Times New Roman" w:cs="Times New Roman"/>
        </w:rPr>
      </w:pPr>
    </w:p>
    <w:p w14:paraId="604396E0" w14:textId="77777777" w:rsidR="00D22A0A" w:rsidRDefault="00D22A0A" w:rsidP="00A25FEE">
      <w:pPr>
        <w:widowControl w:val="0"/>
        <w:spacing w:line="480" w:lineRule="auto"/>
        <w:jc w:val="both"/>
        <w:rPr>
          <w:rFonts w:ascii="Times New Roman" w:hAnsi="Times New Roman" w:cs="Times New Roman"/>
        </w:rPr>
      </w:pPr>
    </w:p>
    <w:p w14:paraId="4560409B" w14:textId="77777777" w:rsidR="00D22A0A" w:rsidRDefault="00D22A0A" w:rsidP="00A25FEE">
      <w:pPr>
        <w:widowControl w:val="0"/>
        <w:spacing w:line="480" w:lineRule="auto"/>
        <w:jc w:val="both"/>
        <w:rPr>
          <w:rFonts w:ascii="Times New Roman" w:hAnsi="Times New Roman" w:cs="Times New Roman"/>
        </w:rPr>
      </w:pPr>
    </w:p>
    <w:p w14:paraId="1BE9511B" w14:textId="77777777" w:rsidR="00D22A0A" w:rsidRDefault="00D22A0A" w:rsidP="00A25FEE">
      <w:pPr>
        <w:widowControl w:val="0"/>
        <w:spacing w:line="480" w:lineRule="auto"/>
        <w:jc w:val="both"/>
        <w:rPr>
          <w:rFonts w:ascii="Times New Roman" w:hAnsi="Times New Roman" w:cs="Times New Roman"/>
        </w:rPr>
      </w:pPr>
    </w:p>
    <w:p w14:paraId="08D7C36D" w14:textId="77777777" w:rsidR="00D22A0A" w:rsidRDefault="00D22A0A" w:rsidP="00A25FEE">
      <w:pPr>
        <w:widowControl w:val="0"/>
        <w:spacing w:line="480" w:lineRule="auto"/>
        <w:jc w:val="both"/>
        <w:rPr>
          <w:rFonts w:ascii="Times New Roman" w:hAnsi="Times New Roman" w:cs="Times New Roman"/>
        </w:rPr>
      </w:pPr>
    </w:p>
    <w:p w14:paraId="7BE3FAFF" w14:textId="77777777" w:rsidR="00D22A0A" w:rsidRDefault="00D22A0A" w:rsidP="00A25FEE">
      <w:pPr>
        <w:widowControl w:val="0"/>
        <w:spacing w:line="480" w:lineRule="auto"/>
        <w:jc w:val="both"/>
        <w:rPr>
          <w:rFonts w:ascii="Times New Roman" w:hAnsi="Times New Roman" w:cs="Times New Roman"/>
        </w:rPr>
      </w:pPr>
    </w:p>
    <w:p w14:paraId="378A2E78" w14:textId="48B80B6C" w:rsidR="00DB332F" w:rsidRPr="00A25FEE" w:rsidRDefault="00DB332F" w:rsidP="00DB332F">
      <w:pPr>
        <w:spacing w:line="480" w:lineRule="auto"/>
        <w:rPr>
          <w:rFonts w:ascii="Times New Roman" w:hAnsi="Times New Roman" w:cs="Times New Roman"/>
          <w:b/>
          <w:bCs/>
        </w:rPr>
      </w:pPr>
      <w:r w:rsidRPr="00DB332F">
        <w:rPr>
          <w:rFonts w:ascii="Times New Roman" w:hAnsi="Times New Roman" w:cs="Times New Roman"/>
          <w:b/>
          <w:bCs/>
        </w:rPr>
        <w:lastRenderedPageBreak/>
        <w:t xml:space="preserve">Supplementary Table </w:t>
      </w:r>
      <w:r w:rsidR="00D22A0A">
        <w:rPr>
          <w:rFonts w:ascii="Times New Roman" w:hAnsi="Times New Roman" w:cs="Times New Roman"/>
          <w:b/>
          <w:bCs/>
        </w:rPr>
        <w:t>S</w:t>
      </w:r>
      <w:r w:rsidRPr="00DB332F">
        <w:rPr>
          <w:rFonts w:ascii="Times New Roman" w:hAnsi="Times New Roman" w:cs="Times New Roman"/>
          <w:b/>
          <w:bCs/>
        </w:rPr>
        <w:t>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2"/>
        <w:gridCol w:w="5261"/>
        <w:gridCol w:w="1353"/>
      </w:tblGrid>
      <w:tr w:rsidR="00DB332F" w14:paraId="420C5C17" w14:textId="77777777" w:rsidTr="00DB332F">
        <w:trPr>
          <w:tblHeader/>
          <w:tblCellSpacing w:w="15" w:type="dxa"/>
        </w:trPr>
        <w:tc>
          <w:tcPr>
            <w:tcW w:w="1647" w:type="dxa"/>
            <w:tcBorders>
              <w:top w:val="single" w:sz="4" w:space="0" w:color="auto"/>
              <w:bottom w:val="single" w:sz="4" w:space="0" w:color="auto"/>
            </w:tcBorders>
            <w:vAlign w:val="center"/>
            <w:hideMark/>
          </w:tcPr>
          <w:p w14:paraId="55366B11" w14:textId="77777777" w:rsidR="00DB332F" w:rsidRPr="00DB332F" w:rsidRDefault="00DB332F" w:rsidP="00DB332F">
            <w:pPr>
              <w:rPr>
                <w:rFonts w:ascii="Times New Roman" w:hAnsi="Times New Roman" w:cs="Times New Roman"/>
                <w:b/>
                <w:bCs/>
              </w:rPr>
            </w:pPr>
            <w:r w:rsidRPr="00DB332F">
              <w:rPr>
                <w:rFonts w:ascii="Times New Roman" w:hAnsi="Times New Roman" w:cs="Times New Roman"/>
                <w:b/>
                <w:bCs/>
              </w:rPr>
              <w:t>Variable</w:t>
            </w:r>
          </w:p>
        </w:tc>
        <w:tc>
          <w:tcPr>
            <w:tcW w:w="0" w:type="auto"/>
            <w:tcBorders>
              <w:top w:val="single" w:sz="4" w:space="0" w:color="auto"/>
              <w:bottom w:val="single" w:sz="4" w:space="0" w:color="auto"/>
            </w:tcBorders>
            <w:vAlign w:val="center"/>
            <w:hideMark/>
          </w:tcPr>
          <w:p w14:paraId="23B63ECC" w14:textId="77777777" w:rsidR="00DB332F" w:rsidRPr="00DB332F" w:rsidRDefault="00DB332F" w:rsidP="00DB332F">
            <w:pPr>
              <w:rPr>
                <w:rFonts w:ascii="Times New Roman" w:hAnsi="Times New Roman" w:cs="Times New Roman"/>
                <w:b/>
                <w:bCs/>
              </w:rPr>
            </w:pPr>
            <w:r w:rsidRPr="00DB332F">
              <w:rPr>
                <w:rFonts w:ascii="Times New Roman" w:hAnsi="Times New Roman" w:cs="Times New Roman"/>
                <w:b/>
                <w:bCs/>
              </w:rPr>
              <w:t>Definition</w:t>
            </w:r>
          </w:p>
        </w:tc>
        <w:tc>
          <w:tcPr>
            <w:tcW w:w="0" w:type="auto"/>
            <w:tcBorders>
              <w:top w:val="single" w:sz="4" w:space="0" w:color="auto"/>
              <w:bottom w:val="single" w:sz="4" w:space="0" w:color="auto"/>
            </w:tcBorders>
            <w:vAlign w:val="center"/>
            <w:hideMark/>
          </w:tcPr>
          <w:p w14:paraId="2193E6DC" w14:textId="77777777" w:rsidR="00DB332F" w:rsidRPr="00DB332F" w:rsidRDefault="00DB332F">
            <w:pPr>
              <w:jc w:val="center"/>
              <w:rPr>
                <w:rFonts w:ascii="Times New Roman" w:hAnsi="Times New Roman" w:cs="Times New Roman"/>
                <w:b/>
                <w:bCs/>
              </w:rPr>
            </w:pPr>
            <w:r w:rsidRPr="00DB332F">
              <w:rPr>
                <w:rFonts w:ascii="Times New Roman" w:hAnsi="Times New Roman" w:cs="Times New Roman"/>
                <w:b/>
                <w:bCs/>
              </w:rPr>
              <w:t>Variable type</w:t>
            </w:r>
          </w:p>
        </w:tc>
      </w:tr>
      <w:tr w:rsidR="00DB332F" w14:paraId="640CB8E4" w14:textId="77777777" w:rsidTr="00DB332F">
        <w:trPr>
          <w:tblCellSpacing w:w="15" w:type="dxa"/>
        </w:trPr>
        <w:tc>
          <w:tcPr>
            <w:tcW w:w="1647" w:type="dxa"/>
            <w:vAlign w:val="center"/>
            <w:hideMark/>
          </w:tcPr>
          <w:p w14:paraId="6F35B3D9" w14:textId="77777777" w:rsidR="00DB332F" w:rsidRPr="00DB332F" w:rsidRDefault="00DB332F">
            <w:pPr>
              <w:rPr>
                <w:rFonts w:ascii="Times New Roman" w:hAnsi="Times New Roman" w:cs="Times New Roman"/>
              </w:rPr>
            </w:pPr>
            <w:r w:rsidRPr="00DB332F">
              <w:rPr>
                <w:rFonts w:ascii="Times New Roman" w:hAnsi="Times New Roman" w:cs="Times New Roman"/>
              </w:rPr>
              <w:t>Initial SCH ratio</w:t>
            </w:r>
          </w:p>
        </w:tc>
        <w:tc>
          <w:tcPr>
            <w:tcW w:w="0" w:type="auto"/>
            <w:vAlign w:val="center"/>
            <w:hideMark/>
          </w:tcPr>
          <w:p w14:paraId="7A416F55" w14:textId="77777777" w:rsidR="00DB332F" w:rsidRPr="00DB332F" w:rsidRDefault="00DB332F">
            <w:pPr>
              <w:rPr>
                <w:rFonts w:ascii="Times New Roman" w:hAnsi="Times New Roman" w:cs="Times New Roman"/>
              </w:rPr>
            </w:pPr>
            <w:r w:rsidRPr="00DB332F">
              <w:rPr>
                <w:rFonts w:ascii="Times New Roman" w:hAnsi="Times New Roman" w:cs="Times New Roman"/>
              </w:rPr>
              <w:t>SCH ratio at first ultrasound</w:t>
            </w:r>
          </w:p>
        </w:tc>
        <w:tc>
          <w:tcPr>
            <w:tcW w:w="0" w:type="auto"/>
            <w:vAlign w:val="center"/>
            <w:hideMark/>
          </w:tcPr>
          <w:p w14:paraId="3B591879" w14:textId="77777777" w:rsidR="00DB332F" w:rsidRPr="00DB332F" w:rsidRDefault="00DB332F">
            <w:pPr>
              <w:rPr>
                <w:rFonts w:ascii="Times New Roman" w:hAnsi="Times New Roman" w:cs="Times New Roman"/>
              </w:rPr>
            </w:pPr>
            <w:r w:rsidRPr="00DB332F">
              <w:rPr>
                <w:rFonts w:ascii="Times New Roman" w:hAnsi="Times New Roman" w:cs="Times New Roman"/>
              </w:rPr>
              <w:t>Continuous</w:t>
            </w:r>
          </w:p>
        </w:tc>
      </w:tr>
      <w:tr w:rsidR="00DB332F" w14:paraId="2D436156" w14:textId="77777777" w:rsidTr="00DB332F">
        <w:trPr>
          <w:tblCellSpacing w:w="15" w:type="dxa"/>
        </w:trPr>
        <w:tc>
          <w:tcPr>
            <w:tcW w:w="1647" w:type="dxa"/>
            <w:vAlign w:val="center"/>
            <w:hideMark/>
          </w:tcPr>
          <w:p w14:paraId="571DE1FC" w14:textId="77777777" w:rsidR="00DB332F" w:rsidRPr="00DB332F" w:rsidRDefault="00DB332F">
            <w:pPr>
              <w:rPr>
                <w:rFonts w:ascii="Times New Roman" w:hAnsi="Times New Roman" w:cs="Times New Roman"/>
              </w:rPr>
            </w:pPr>
            <w:r w:rsidRPr="00DB332F">
              <w:rPr>
                <w:rFonts w:ascii="Times New Roman" w:hAnsi="Times New Roman" w:cs="Times New Roman"/>
              </w:rPr>
              <w:t>Maximum SCH ratio</w:t>
            </w:r>
          </w:p>
        </w:tc>
        <w:tc>
          <w:tcPr>
            <w:tcW w:w="0" w:type="auto"/>
            <w:vAlign w:val="center"/>
            <w:hideMark/>
          </w:tcPr>
          <w:p w14:paraId="3073749D" w14:textId="77777777" w:rsidR="00DB332F" w:rsidRPr="00DB332F" w:rsidRDefault="00DB332F">
            <w:pPr>
              <w:rPr>
                <w:rFonts w:ascii="Times New Roman" w:hAnsi="Times New Roman" w:cs="Times New Roman"/>
              </w:rPr>
            </w:pPr>
            <w:r w:rsidRPr="00DB332F">
              <w:rPr>
                <w:rFonts w:ascii="Times New Roman" w:hAnsi="Times New Roman" w:cs="Times New Roman"/>
              </w:rPr>
              <w:t>Highest SCH ratio during follow-up</w:t>
            </w:r>
          </w:p>
        </w:tc>
        <w:tc>
          <w:tcPr>
            <w:tcW w:w="0" w:type="auto"/>
            <w:vAlign w:val="center"/>
            <w:hideMark/>
          </w:tcPr>
          <w:p w14:paraId="584D6C5F" w14:textId="77777777" w:rsidR="00DB332F" w:rsidRPr="00DB332F" w:rsidRDefault="00DB332F">
            <w:pPr>
              <w:rPr>
                <w:rFonts w:ascii="Times New Roman" w:hAnsi="Times New Roman" w:cs="Times New Roman"/>
              </w:rPr>
            </w:pPr>
            <w:r w:rsidRPr="00DB332F">
              <w:rPr>
                <w:rFonts w:ascii="Times New Roman" w:hAnsi="Times New Roman" w:cs="Times New Roman"/>
              </w:rPr>
              <w:t>Continuous</w:t>
            </w:r>
          </w:p>
        </w:tc>
      </w:tr>
      <w:tr w:rsidR="00DB332F" w14:paraId="405501F9" w14:textId="77777777" w:rsidTr="00DB332F">
        <w:trPr>
          <w:tblCellSpacing w:w="15" w:type="dxa"/>
        </w:trPr>
        <w:tc>
          <w:tcPr>
            <w:tcW w:w="1647" w:type="dxa"/>
            <w:vAlign w:val="center"/>
            <w:hideMark/>
          </w:tcPr>
          <w:p w14:paraId="0CF9FE81" w14:textId="77777777" w:rsidR="00DB332F" w:rsidRPr="00DB332F" w:rsidRDefault="00DB332F">
            <w:pPr>
              <w:rPr>
                <w:rFonts w:ascii="Times New Roman" w:hAnsi="Times New Roman" w:cs="Times New Roman"/>
              </w:rPr>
            </w:pPr>
            <w:r w:rsidRPr="00DB332F">
              <w:rPr>
                <w:rFonts w:ascii="Times New Roman" w:hAnsi="Times New Roman" w:cs="Times New Roman"/>
              </w:rPr>
              <w:t>Final SCH ratio</w:t>
            </w:r>
          </w:p>
        </w:tc>
        <w:tc>
          <w:tcPr>
            <w:tcW w:w="0" w:type="auto"/>
            <w:vAlign w:val="center"/>
            <w:hideMark/>
          </w:tcPr>
          <w:p w14:paraId="6DA561AB" w14:textId="77777777" w:rsidR="00DB332F" w:rsidRPr="00DB332F" w:rsidRDefault="00DB332F">
            <w:pPr>
              <w:rPr>
                <w:rFonts w:ascii="Times New Roman" w:hAnsi="Times New Roman" w:cs="Times New Roman"/>
              </w:rPr>
            </w:pPr>
            <w:r w:rsidRPr="00DB332F">
              <w:rPr>
                <w:rFonts w:ascii="Times New Roman" w:hAnsi="Times New Roman" w:cs="Times New Roman"/>
              </w:rPr>
              <w:t>SCH ratio at last ultrasound</w:t>
            </w:r>
          </w:p>
        </w:tc>
        <w:tc>
          <w:tcPr>
            <w:tcW w:w="0" w:type="auto"/>
            <w:vAlign w:val="center"/>
            <w:hideMark/>
          </w:tcPr>
          <w:p w14:paraId="7CA0CFE8" w14:textId="77777777" w:rsidR="00DB332F" w:rsidRPr="00DB332F" w:rsidRDefault="00DB332F">
            <w:pPr>
              <w:rPr>
                <w:rFonts w:ascii="Times New Roman" w:hAnsi="Times New Roman" w:cs="Times New Roman"/>
              </w:rPr>
            </w:pPr>
            <w:r w:rsidRPr="00DB332F">
              <w:rPr>
                <w:rFonts w:ascii="Times New Roman" w:hAnsi="Times New Roman" w:cs="Times New Roman"/>
              </w:rPr>
              <w:t>Continuous</w:t>
            </w:r>
          </w:p>
        </w:tc>
      </w:tr>
      <w:tr w:rsidR="00DB332F" w14:paraId="460756DF" w14:textId="77777777" w:rsidTr="00DB332F">
        <w:trPr>
          <w:tblCellSpacing w:w="15" w:type="dxa"/>
        </w:trPr>
        <w:tc>
          <w:tcPr>
            <w:tcW w:w="1647" w:type="dxa"/>
            <w:vAlign w:val="center"/>
            <w:hideMark/>
          </w:tcPr>
          <w:p w14:paraId="18398FB1" w14:textId="77777777" w:rsidR="00DB332F" w:rsidRPr="00DB332F" w:rsidRDefault="00DB332F">
            <w:pPr>
              <w:rPr>
                <w:rFonts w:ascii="Times New Roman" w:hAnsi="Times New Roman" w:cs="Times New Roman"/>
              </w:rPr>
            </w:pPr>
            <w:r w:rsidRPr="00DB332F">
              <w:rPr>
                <w:rFonts w:ascii="Times New Roman" w:hAnsi="Times New Roman" w:cs="Times New Roman"/>
              </w:rPr>
              <w:t>SCH location</w:t>
            </w:r>
          </w:p>
        </w:tc>
        <w:tc>
          <w:tcPr>
            <w:tcW w:w="0" w:type="auto"/>
            <w:vAlign w:val="center"/>
            <w:hideMark/>
          </w:tcPr>
          <w:p w14:paraId="734A31CB" w14:textId="77777777" w:rsidR="00DB332F" w:rsidRPr="00DB332F" w:rsidRDefault="00DB332F">
            <w:pPr>
              <w:rPr>
                <w:rFonts w:ascii="Times New Roman" w:hAnsi="Times New Roman" w:cs="Times New Roman"/>
              </w:rPr>
            </w:pPr>
            <w:r w:rsidRPr="00DB332F">
              <w:rPr>
                <w:rFonts w:ascii="Times New Roman" w:hAnsi="Times New Roman" w:cs="Times New Roman"/>
              </w:rPr>
              <w:t xml:space="preserve">Peri-gestational-sac / </w:t>
            </w:r>
            <w:proofErr w:type="spellStart"/>
            <w:r w:rsidRPr="00DB332F">
              <w:rPr>
                <w:rFonts w:ascii="Times New Roman" w:hAnsi="Times New Roman" w:cs="Times New Roman"/>
              </w:rPr>
              <w:t>Intraplacental</w:t>
            </w:r>
            <w:proofErr w:type="spellEnd"/>
            <w:r w:rsidRPr="00DB332F">
              <w:rPr>
                <w:rFonts w:ascii="Times New Roman" w:hAnsi="Times New Roman" w:cs="Times New Roman"/>
              </w:rPr>
              <w:t xml:space="preserve"> / Retro-membranous / Lower uterine segment</w:t>
            </w:r>
          </w:p>
        </w:tc>
        <w:tc>
          <w:tcPr>
            <w:tcW w:w="0" w:type="auto"/>
            <w:vAlign w:val="center"/>
            <w:hideMark/>
          </w:tcPr>
          <w:p w14:paraId="0065374E" w14:textId="77777777" w:rsidR="00DB332F" w:rsidRPr="00DB332F" w:rsidRDefault="00DB332F">
            <w:pPr>
              <w:rPr>
                <w:rFonts w:ascii="Times New Roman" w:hAnsi="Times New Roman" w:cs="Times New Roman"/>
              </w:rPr>
            </w:pPr>
            <w:r w:rsidRPr="00DB332F">
              <w:rPr>
                <w:rFonts w:ascii="Times New Roman" w:hAnsi="Times New Roman" w:cs="Times New Roman"/>
              </w:rPr>
              <w:t>Categorical</w:t>
            </w:r>
          </w:p>
        </w:tc>
      </w:tr>
      <w:tr w:rsidR="00DB332F" w14:paraId="7BB4A467" w14:textId="77777777" w:rsidTr="00DB332F">
        <w:trPr>
          <w:tblCellSpacing w:w="15" w:type="dxa"/>
        </w:trPr>
        <w:tc>
          <w:tcPr>
            <w:tcW w:w="1647" w:type="dxa"/>
            <w:vAlign w:val="center"/>
            <w:hideMark/>
          </w:tcPr>
          <w:p w14:paraId="229C70F2" w14:textId="77777777" w:rsidR="00DB332F" w:rsidRPr="00DB332F" w:rsidRDefault="00DB332F">
            <w:pPr>
              <w:rPr>
                <w:rFonts w:ascii="Times New Roman" w:hAnsi="Times New Roman" w:cs="Times New Roman"/>
              </w:rPr>
            </w:pPr>
            <w:r w:rsidRPr="00DB332F">
              <w:rPr>
                <w:rFonts w:ascii="Times New Roman" w:hAnsi="Times New Roman" w:cs="Times New Roman"/>
              </w:rPr>
              <w:t>SCH grade</w:t>
            </w:r>
          </w:p>
        </w:tc>
        <w:tc>
          <w:tcPr>
            <w:tcW w:w="0" w:type="auto"/>
            <w:vAlign w:val="center"/>
            <w:hideMark/>
          </w:tcPr>
          <w:p w14:paraId="66A5C429" w14:textId="77777777" w:rsidR="00DB332F" w:rsidRPr="00DB332F" w:rsidRDefault="00DB332F">
            <w:pPr>
              <w:rPr>
                <w:rFonts w:ascii="Times New Roman" w:hAnsi="Times New Roman" w:cs="Times New Roman"/>
              </w:rPr>
            </w:pPr>
            <w:r w:rsidRPr="00DB332F">
              <w:rPr>
                <w:rFonts w:ascii="Times New Roman" w:hAnsi="Times New Roman" w:cs="Times New Roman"/>
              </w:rPr>
              <w:t>Low / Medium / High</w:t>
            </w:r>
          </w:p>
        </w:tc>
        <w:tc>
          <w:tcPr>
            <w:tcW w:w="0" w:type="auto"/>
            <w:vAlign w:val="center"/>
            <w:hideMark/>
          </w:tcPr>
          <w:p w14:paraId="00634758" w14:textId="77777777" w:rsidR="00DB332F" w:rsidRPr="00DB332F" w:rsidRDefault="00DB332F">
            <w:pPr>
              <w:rPr>
                <w:rFonts w:ascii="Times New Roman" w:hAnsi="Times New Roman" w:cs="Times New Roman"/>
              </w:rPr>
            </w:pPr>
            <w:r w:rsidRPr="00DB332F">
              <w:rPr>
                <w:rFonts w:ascii="Times New Roman" w:hAnsi="Times New Roman" w:cs="Times New Roman"/>
              </w:rPr>
              <w:t>Ordinal</w:t>
            </w:r>
          </w:p>
        </w:tc>
      </w:tr>
      <w:tr w:rsidR="00DB332F" w14:paraId="44E54754" w14:textId="77777777" w:rsidTr="00DB332F">
        <w:trPr>
          <w:tblCellSpacing w:w="15" w:type="dxa"/>
        </w:trPr>
        <w:tc>
          <w:tcPr>
            <w:tcW w:w="1647" w:type="dxa"/>
            <w:vAlign w:val="center"/>
            <w:hideMark/>
          </w:tcPr>
          <w:p w14:paraId="5C13EE6A" w14:textId="77777777" w:rsidR="00DB332F" w:rsidRPr="00DB332F" w:rsidRDefault="00DB332F">
            <w:pPr>
              <w:rPr>
                <w:rFonts w:ascii="Times New Roman" w:hAnsi="Times New Roman" w:cs="Times New Roman"/>
              </w:rPr>
            </w:pPr>
            <w:r w:rsidRPr="00DB332F">
              <w:rPr>
                <w:rFonts w:ascii="Times New Roman" w:hAnsi="Times New Roman" w:cs="Times New Roman"/>
              </w:rPr>
              <w:t>Pregnancy outcome</w:t>
            </w:r>
          </w:p>
        </w:tc>
        <w:tc>
          <w:tcPr>
            <w:tcW w:w="0" w:type="auto"/>
            <w:vAlign w:val="center"/>
            <w:hideMark/>
          </w:tcPr>
          <w:p w14:paraId="03AE4F6C" w14:textId="77777777" w:rsidR="00DB332F" w:rsidRPr="00DB332F" w:rsidRDefault="00DB332F">
            <w:pPr>
              <w:rPr>
                <w:rFonts w:ascii="Times New Roman" w:hAnsi="Times New Roman" w:cs="Times New Roman"/>
              </w:rPr>
            </w:pPr>
            <w:r w:rsidRPr="00DB332F">
              <w:rPr>
                <w:rFonts w:ascii="Times New Roman" w:hAnsi="Times New Roman" w:cs="Times New Roman"/>
              </w:rPr>
              <w:t>Four categories</w:t>
            </w:r>
          </w:p>
        </w:tc>
        <w:tc>
          <w:tcPr>
            <w:tcW w:w="0" w:type="auto"/>
            <w:vAlign w:val="center"/>
            <w:hideMark/>
          </w:tcPr>
          <w:p w14:paraId="51299FD3" w14:textId="77777777" w:rsidR="00DB332F" w:rsidRPr="00DB332F" w:rsidRDefault="00DB332F">
            <w:pPr>
              <w:rPr>
                <w:rFonts w:ascii="Times New Roman" w:hAnsi="Times New Roman" w:cs="Times New Roman"/>
              </w:rPr>
            </w:pPr>
            <w:r w:rsidRPr="00DB332F">
              <w:rPr>
                <w:rFonts w:ascii="Times New Roman" w:hAnsi="Times New Roman" w:cs="Times New Roman"/>
              </w:rPr>
              <w:t>Categorical</w:t>
            </w:r>
          </w:p>
        </w:tc>
      </w:tr>
      <w:tr w:rsidR="00DB332F" w14:paraId="306E7EDE" w14:textId="77777777" w:rsidTr="00DB332F">
        <w:trPr>
          <w:tblCellSpacing w:w="15" w:type="dxa"/>
        </w:trPr>
        <w:tc>
          <w:tcPr>
            <w:tcW w:w="1647" w:type="dxa"/>
            <w:tcBorders>
              <w:bottom w:val="single" w:sz="4" w:space="0" w:color="auto"/>
            </w:tcBorders>
            <w:vAlign w:val="center"/>
            <w:hideMark/>
          </w:tcPr>
          <w:p w14:paraId="2AEE4E03" w14:textId="77777777" w:rsidR="00DB332F" w:rsidRPr="00DB332F" w:rsidRDefault="00DB332F">
            <w:pPr>
              <w:rPr>
                <w:rFonts w:ascii="Times New Roman" w:hAnsi="Times New Roman" w:cs="Times New Roman"/>
              </w:rPr>
            </w:pPr>
            <w:r w:rsidRPr="00DB332F">
              <w:rPr>
                <w:rFonts w:ascii="Times New Roman" w:hAnsi="Times New Roman" w:cs="Times New Roman"/>
              </w:rPr>
              <w:t>Delivery mode</w:t>
            </w:r>
          </w:p>
        </w:tc>
        <w:tc>
          <w:tcPr>
            <w:tcW w:w="0" w:type="auto"/>
            <w:tcBorders>
              <w:bottom w:val="single" w:sz="4" w:space="0" w:color="auto"/>
            </w:tcBorders>
            <w:vAlign w:val="center"/>
            <w:hideMark/>
          </w:tcPr>
          <w:p w14:paraId="1333A388" w14:textId="77777777" w:rsidR="00DB332F" w:rsidRPr="00DB332F" w:rsidRDefault="00DB332F">
            <w:pPr>
              <w:rPr>
                <w:rFonts w:ascii="Times New Roman" w:hAnsi="Times New Roman" w:cs="Times New Roman"/>
              </w:rPr>
            </w:pPr>
            <w:r w:rsidRPr="00DB332F">
              <w:rPr>
                <w:rFonts w:ascii="Times New Roman" w:hAnsi="Times New Roman" w:cs="Times New Roman"/>
              </w:rPr>
              <w:t>Four categories</w:t>
            </w:r>
          </w:p>
        </w:tc>
        <w:tc>
          <w:tcPr>
            <w:tcW w:w="0" w:type="auto"/>
            <w:tcBorders>
              <w:bottom w:val="single" w:sz="4" w:space="0" w:color="auto"/>
            </w:tcBorders>
            <w:vAlign w:val="center"/>
            <w:hideMark/>
          </w:tcPr>
          <w:p w14:paraId="3F155519" w14:textId="77777777" w:rsidR="00DB332F" w:rsidRPr="00DB332F" w:rsidRDefault="00DB332F">
            <w:pPr>
              <w:rPr>
                <w:rFonts w:ascii="Times New Roman" w:hAnsi="Times New Roman" w:cs="Times New Roman"/>
              </w:rPr>
            </w:pPr>
            <w:r w:rsidRPr="00DB332F">
              <w:rPr>
                <w:rFonts w:ascii="Times New Roman" w:hAnsi="Times New Roman" w:cs="Times New Roman"/>
              </w:rPr>
              <w:t>Categorical</w:t>
            </w:r>
          </w:p>
        </w:tc>
      </w:tr>
    </w:tbl>
    <w:p w14:paraId="4502B6F2" w14:textId="77777777" w:rsidR="00D900E7" w:rsidRDefault="00D900E7" w:rsidP="00EA38B6">
      <w:pPr>
        <w:spacing w:line="480" w:lineRule="auto"/>
        <w:rPr>
          <w:rFonts w:ascii="Times New Roman" w:hAnsi="Times New Roman" w:cs="Times New Roman"/>
          <w:b/>
          <w:bCs/>
        </w:rPr>
      </w:pPr>
    </w:p>
    <w:p w14:paraId="2FE4CD5C" w14:textId="579B0959" w:rsidR="004843C2" w:rsidRPr="004843C2" w:rsidRDefault="004843C2" w:rsidP="00EA38B6">
      <w:pPr>
        <w:spacing w:line="480" w:lineRule="auto"/>
        <w:rPr>
          <w:rFonts w:ascii="Times New Roman" w:hAnsi="Times New Roman" w:cs="Times New Roman"/>
          <w:b/>
          <w:bCs/>
        </w:rPr>
      </w:pPr>
      <w:r w:rsidRPr="004843C2">
        <w:rPr>
          <w:rFonts w:ascii="Times New Roman" w:hAnsi="Times New Roman" w:cs="Times New Roman"/>
          <w:b/>
          <w:bCs/>
        </w:rPr>
        <w:t xml:space="preserve">Supplementary Table </w:t>
      </w:r>
      <w:r w:rsidR="00D22A0A">
        <w:rPr>
          <w:rFonts w:ascii="Times New Roman" w:hAnsi="Times New Roman" w:cs="Times New Roman"/>
          <w:b/>
          <w:bCs/>
        </w:rPr>
        <w:t>S</w:t>
      </w:r>
      <w:r w:rsidRPr="004843C2">
        <w:rPr>
          <w:rFonts w:ascii="Times New Roman" w:hAnsi="Times New Roman" w:cs="Times New Roman"/>
          <w:b/>
          <w:bCs/>
        </w:rPr>
        <w:t xml:space="preserve">2. </w:t>
      </w:r>
      <w:r w:rsidR="00D900E7" w:rsidRPr="00D900E7">
        <w:rPr>
          <w:rFonts w:ascii="Times New Roman" w:hAnsi="Times New Roman" w:cs="Times New Roman"/>
          <w:b/>
          <w:bCs/>
        </w:rPr>
        <w:t>Univariate logistic regression analyses for factors associated with full-term birth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2"/>
        <w:gridCol w:w="2726"/>
        <w:gridCol w:w="634"/>
        <w:gridCol w:w="600"/>
        <w:gridCol w:w="950"/>
        <w:gridCol w:w="784"/>
      </w:tblGrid>
      <w:tr w:rsidR="002F5653" w:rsidRPr="004843C2" w14:paraId="363CAD58" w14:textId="77777777" w:rsidTr="002F5653">
        <w:trPr>
          <w:tblHeader/>
          <w:tblCellSpacing w:w="15" w:type="dxa"/>
        </w:trPr>
        <w:tc>
          <w:tcPr>
            <w:tcW w:w="0" w:type="auto"/>
            <w:tcBorders>
              <w:top w:val="single" w:sz="4" w:space="0" w:color="auto"/>
              <w:bottom w:val="single" w:sz="4" w:space="0" w:color="auto"/>
            </w:tcBorders>
            <w:vAlign w:val="center"/>
            <w:hideMark/>
          </w:tcPr>
          <w:p w14:paraId="65C70553" w14:textId="77777777" w:rsidR="002F5653" w:rsidRPr="004843C2" w:rsidRDefault="002F5653" w:rsidP="004843C2">
            <w:pPr>
              <w:rPr>
                <w:rFonts w:ascii="Times New Roman" w:hAnsi="Times New Roman" w:cs="Times New Roman"/>
                <w:b/>
                <w:bCs/>
              </w:rPr>
            </w:pPr>
            <w:r w:rsidRPr="004843C2">
              <w:rPr>
                <w:rFonts w:ascii="Times New Roman" w:hAnsi="Times New Roman" w:cs="Times New Roman"/>
                <w:b/>
                <w:bCs/>
              </w:rPr>
              <w:t>Variable</w:t>
            </w:r>
          </w:p>
        </w:tc>
        <w:tc>
          <w:tcPr>
            <w:tcW w:w="0" w:type="auto"/>
            <w:tcBorders>
              <w:top w:val="single" w:sz="4" w:space="0" w:color="auto"/>
              <w:bottom w:val="single" w:sz="4" w:space="0" w:color="auto"/>
            </w:tcBorders>
            <w:vAlign w:val="center"/>
            <w:hideMark/>
          </w:tcPr>
          <w:p w14:paraId="49AA773C" w14:textId="77777777" w:rsidR="002F5653" w:rsidRPr="004843C2" w:rsidRDefault="002F5653" w:rsidP="004843C2">
            <w:pPr>
              <w:rPr>
                <w:rFonts w:ascii="Times New Roman" w:hAnsi="Times New Roman" w:cs="Times New Roman"/>
                <w:b/>
                <w:bCs/>
              </w:rPr>
            </w:pPr>
            <w:r w:rsidRPr="004843C2">
              <w:rPr>
                <w:rFonts w:ascii="Times New Roman" w:hAnsi="Times New Roman" w:cs="Times New Roman"/>
                <w:b/>
                <w:bCs/>
              </w:rPr>
              <w:t>Comparison / Unit</w:t>
            </w:r>
          </w:p>
        </w:tc>
        <w:tc>
          <w:tcPr>
            <w:tcW w:w="0" w:type="auto"/>
            <w:tcBorders>
              <w:top w:val="single" w:sz="4" w:space="0" w:color="auto"/>
              <w:bottom w:val="single" w:sz="4" w:space="0" w:color="auto"/>
            </w:tcBorders>
            <w:vAlign w:val="center"/>
            <w:hideMark/>
          </w:tcPr>
          <w:p w14:paraId="2BAD1808" w14:textId="77777777" w:rsidR="002F5653" w:rsidRPr="004843C2" w:rsidRDefault="002F5653" w:rsidP="004843C2">
            <w:pPr>
              <w:rPr>
                <w:rFonts w:ascii="Times New Roman" w:hAnsi="Times New Roman" w:cs="Times New Roman"/>
                <w:b/>
                <w:bCs/>
              </w:rPr>
            </w:pPr>
            <w:r w:rsidRPr="004843C2">
              <w:rPr>
                <w:rFonts w:ascii="Times New Roman" w:hAnsi="Times New Roman" w:cs="Times New Roman"/>
                <w:b/>
                <w:bCs/>
              </w:rPr>
              <w:t>β</w:t>
            </w:r>
          </w:p>
        </w:tc>
        <w:tc>
          <w:tcPr>
            <w:tcW w:w="0" w:type="auto"/>
            <w:tcBorders>
              <w:top w:val="single" w:sz="4" w:space="0" w:color="auto"/>
              <w:bottom w:val="single" w:sz="4" w:space="0" w:color="auto"/>
            </w:tcBorders>
            <w:vAlign w:val="center"/>
            <w:hideMark/>
          </w:tcPr>
          <w:p w14:paraId="2A7FBF94" w14:textId="77777777" w:rsidR="002F5653" w:rsidRPr="004843C2" w:rsidRDefault="002F5653" w:rsidP="004843C2">
            <w:pPr>
              <w:rPr>
                <w:rFonts w:ascii="Times New Roman" w:hAnsi="Times New Roman" w:cs="Times New Roman"/>
                <w:b/>
                <w:bCs/>
              </w:rPr>
            </w:pPr>
            <w:r w:rsidRPr="004843C2">
              <w:rPr>
                <w:rFonts w:ascii="Times New Roman" w:hAnsi="Times New Roman" w:cs="Times New Roman"/>
                <w:b/>
                <w:bCs/>
              </w:rPr>
              <w:t>OR</w:t>
            </w:r>
          </w:p>
        </w:tc>
        <w:tc>
          <w:tcPr>
            <w:tcW w:w="0" w:type="auto"/>
            <w:tcBorders>
              <w:top w:val="single" w:sz="4" w:space="0" w:color="auto"/>
              <w:bottom w:val="single" w:sz="4" w:space="0" w:color="auto"/>
            </w:tcBorders>
            <w:vAlign w:val="center"/>
            <w:hideMark/>
          </w:tcPr>
          <w:p w14:paraId="01E54DFC" w14:textId="77777777" w:rsidR="002F5653" w:rsidRPr="004843C2" w:rsidRDefault="002F5653" w:rsidP="004843C2">
            <w:pPr>
              <w:rPr>
                <w:rFonts w:ascii="Times New Roman" w:hAnsi="Times New Roman" w:cs="Times New Roman"/>
                <w:b/>
                <w:bCs/>
              </w:rPr>
            </w:pPr>
            <w:r w:rsidRPr="004843C2">
              <w:rPr>
                <w:rFonts w:ascii="Times New Roman" w:hAnsi="Times New Roman" w:cs="Times New Roman"/>
                <w:b/>
                <w:bCs/>
              </w:rPr>
              <w:t>95% CI</w:t>
            </w:r>
          </w:p>
        </w:tc>
        <w:tc>
          <w:tcPr>
            <w:tcW w:w="0" w:type="auto"/>
            <w:tcBorders>
              <w:top w:val="single" w:sz="4" w:space="0" w:color="auto"/>
              <w:bottom w:val="single" w:sz="4" w:space="0" w:color="auto"/>
            </w:tcBorders>
            <w:vAlign w:val="center"/>
            <w:hideMark/>
          </w:tcPr>
          <w:p w14:paraId="54ED7F62" w14:textId="77777777" w:rsidR="002F5653" w:rsidRPr="004843C2" w:rsidRDefault="002F5653" w:rsidP="004843C2">
            <w:pPr>
              <w:rPr>
                <w:rFonts w:ascii="Times New Roman" w:hAnsi="Times New Roman" w:cs="Times New Roman"/>
                <w:b/>
                <w:bCs/>
              </w:rPr>
            </w:pPr>
            <w:r w:rsidRPr="004843C2">
              <w:rPr>
                <w:rFonts w:ascii="Times New Roman" w:hAnsi="Times New Roman" w:cs="Times New Roman"/>
                <w:b/>
                <w:bCs/>
                <w:i/>
                <w:iCs/>
              </w:rPr>
              <w:t>P</w:t>
            </w:r>
            <w:r w:rsidRPr="004843C2">
              <w:rPr>
                <w:rFonts w:ascii="Times New Roman" w:hAnsi="Times New Roman" w:cs="Times New Roman"/>
                <w:b/>
                <w:bCs/>
              </w:rPr>
              <w:t xml:space="preserve"> value</w:t>
            </w:r>
          </w:p>
        </w:tc>
      </w:tr>
      <w:tr w:rsidR="002F5653" w:rsidRPr="004843C2" w14:paraId="74691E58" w14:textId="77777777" w:rsidTr="004843C2">
        <w:trPr>
          <w:tblCellSpacing w:w="15" w:type="dxa"/>
        </w:trPr>
        <w:tc>
          <w:tcPr>
            <w:tcW w:w="0" w:type="auto"/>
            <w:vAlign w:val="center"/>
            <w:hideMark/>
          </w:tcPr>
          <w:p w14:paraId="50D2D22C"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Gravidity</w:t>
            </w:r>
          </w:p>
        </w:tc>
        <w:tc>
          <w:tcPr>
            <w:tcW w:w="0" w:type="auto"/>
            <w:vAlign w:val="center"/>
            <w:hideMark/>
          </w:tcPr>
          <w:p w14:paraId="1F3CA0AD"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additional pregnancy</w:t>
            </w:r>
          </w:p>
        </w:tc>
        <w:tc>
          <w:tcPr>
            <w:tcW w:w="0" w:type="auto"/>
            <w:vAlign w:val="center"/>
            <w:hideMark/>
          </w:tcPr>
          <w:p w14:paraId="73ECD4A0"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-0.179</w:t>
            </w:r>
          </w:p>
        </w:tc>
        <w:tc>
          <w:tcPr>
            <w:tcW w:w="0" w:type="auto"/>
            <w:vAlign w:val="center"/>
            <w:hideMark/>
          </w:tcPr>
          <w:p w14:paraId="5FA5FEC6"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0.836</w:t>
            </w:r>
          </w:p>
        </w:tc>
        <w:tc>
          <w:tcPr>
            <w:tcW w:w="0" w:type="auto"/>
            <w:vAlign w:val="center"/>
            <w:hideMark/>
          </w:tcPr>
          <w:p w14:paraId="7E2BED7C"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0.782–0.894</w:t>
            </w:r>
          </w:p>
        </w:tc>
        <w:tc>
          <w:tcPr>
            <w:tcW w:w="0" w:type="auto"/>
            <w:vAlign w:val="center"/>
            <w:hideMark/>
          </w:tcPr>
          <w:p w14:paraId="76429C0A"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&lt;0.001</w:t>
            </w:r>
          </w:p>
        </w:tc>
      </w:tr>
      <w:tr w:rsidR="002F5653" w:rsidRPr="004843C2" w14:paraId="75CB0262" w14:textId="77777777" w:rsidTr="004843C2">
        <w:trPr>
          <w:tblCellSpacing w:w="15" w:type="dxa"/>
        </w:trPr>
        <w:tc>
          <w:tcPr>
            <w:tcW w:w="0" w:type="auto"/>
            <w:vAlign w:val="center"/>
            <w:hideMark/>
          </w:tcPr>
          <w:p w14:paraId="7FBE19C4"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Previous miscarriage</w:t>
            </w:r>
          </w:p>
        </w:tc>
        <w:tc>
          <w:tcPr>
            <w:tcW w:w="0" w:type="auto"/>
            <w:vAlign w:val="center"/>
            <w:hideMark/>
          </w:tcPr>
          <w:p w14:paraId="0C7D2C1F"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additional miscarriage</w:t>
            </w:r>
          </w:p>
        </w:tc>
        <w:tc>
          <w:tcPr>
            <w:tcW w:w="0" w:type="auto"/>
            <w:vAlign w:val="center"/>
            <w:hideMark/>
          </w:tcPr>
          <w:p w14:paraId="39125DF4"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-0.460</w:t>
            </w:r>
          </w:p>
        </w:tc>
        <w:tc>
          <w:tcPr>
            <w:tcW w:w="0" w:type="auto"/>
            <w:vAlign w:val="center"/>
            <w:hideMark/>
          </w:tcPr>
          <w:p w14:paraId="10AB386E"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0.632</w:t>
            </w:r>
          </w:p>
        </w:tc>
        <w:tc>
          <w:tcPr>
            <w:tcW w:w="0" w:type="auto"/>
            <w:vAlign w:val="center"/>
            <w:hideMark/>
          </w:tcPr>
          <w:p w14:paraId="13A07ED3"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0.458–0.870</w:t>
            </w:r>
          </w:p>
        </w:tc>
        <w:tc>
          <w:tcPr>
            <w:tcW w:w="0" w:type="auto"/>
            <w:vAlign w:val="center"/>
            <w:hideMark/>
          </w:tcPr>
          <w:p w14:paraId="0F2E143C"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0.005</w:t>
            </w:r>
          </w:p>
        </w:tc>
      </w:tr>
      <w:tr w:rsidR="002F5653" w:rsidRPr="004843C2" w14:paraId="2390CC2B" w14:textId="77777777" w:rsidTr="004843C2">
        <w:trPr>
          <w:tblCellSpacing w:w="15" w:type="dxa"/>
        </w:trPr>
        <w:tc>
          <w:tcPr>
            <w:tcW w:w="0" w:type="auto"/>
            <w:vAlign w:val="center"/>
            <w:hideMark/>
          </w:tcPr>
          <w:p w14:paraId="08275979"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Parity</w:t>
            </w:r>
          </w:p>
        </w:tc>
        <w:tc>
          <w:tcPr>
            <w:tcW w:w="0" w:type="auto"/>
            <w:vAlign w:val="center"/>
            <w:hideMark/>
          </w:tcPr>
          <w:p w14:paraId="64A26952"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additional birth</w:t>
            </w:r>
          </w:p>
        </w:tc>
        <w:tc>
          <w:tcPr>
            <w:tcW w:w="0" w:type="auto"/>
            <w:vAlign w:val="center"/>
            <w:hideMark/>
          </w:tcPr>
          <w:p w14:paraId="45AF5A50"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-0.233</w:t>
            </w:r>
          </w:p>
        </w:tc>
        <w:tc>
          <w:tcPr>
            <w:tcW w:w="0" w:type="auto"/>
            <w:vAlign w:val="center"/>
            <w:hideMark/>
          </w:tcPr>
          <w:p w14:paraId="73287BA3"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0.792</w:t>
            </w:r>
          </w:p>
        </w:tc>
        <w:tc>
          <w:tcPr>
            <w:tcW w:w="0" w:type="auto"/>
            <w:vAlign w:val="center"/>
            <w:hideMark/>
          </w:tcPr>
          <w:p w14:paraId="731C0E7A"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0.660–0.951</w:t>
            </w:r>
          </w:p>
        </w:tc>
        <w:tc>
          <w:tcPr>
            <w:tcW w:w="0" w:type="auto"/>
            <w:vAlign w:val="center"/>
            <w:hideMark/>
          </w:tcPr>
          <w:p w14:paraId="16645EAD"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0.012</w:t>
            </w:r>
          </w:p>
        </w:tc>
      </w:tr>
      <w:tr w:rsidR="002F5653" w:rsidRPr="004843C2" w14:paraId="62E2DB21" w14:textId="77777777" w:rsidTr="004843C2">
        <w:trPr>
          <w:tblCellSpacing w:w="15" w:type="dxa"/>
        </w:trPr>
        <w:tc>
          <w:tcPr>
            <w:tcW w:w="0" w:type="auto"/>
            <w:vAlign w:val="center"/>
            <w:hideMark/>
          </w:tcPr>
          <w:p w14:paraId="04F565BE"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Number of clinical visits</w:t>
            </w:r>
          </w:p>
        </w:tc>
        <w:tc>
          <w:tcPr>
            <w:tcW w:w="0" w:type="auto"/>
            <w:vAlign w:val="center"/>
            <w:hideMark/>
          </w:tcPr>
          <w:p w14:paraId="7E9B6309"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additional visit</w:t>
            </w:r>
          </w:p>
        </w:tc>
        <w:tc>
          <w:tcPr>
            <w:tcW w:w="0" w:type="auto"/>
            <w:vAlign w:val="center"/>
            <w:hideMark/>
          </w:tcPr>
          <w:p w14:paraId="2A333C3E"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0.115</w:t>
            </w:r>
          </w:p>
        </w:tc>
        <w:tc>
          <w:tcPr>
            <w:tcW w:w="0" w:type="auto"/>
            <w:vAlign w:val="center"/>
            <w:hideMark/>
          </w:tcPr>
          <w:p w14:paraId="0A9AE6A0"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1.122</w:t>
            </w:r>
          </w:p>
        </w:tc>
        <w:tc>
          <w:tcPr>
            <w:tcW w:w="0" w:type="auto"/>
            <w:vAlign w:val="center"/>
            <w:hideMark/>
          </w:tcPr>
          <w:p w14:paraId="738E4244"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1.055–1.192</w:t>
            </w:r>
          </w:p>
        </w:tc>
        <w:tc>
          <w:tcPr>
            <w:tcW w:w="0" w:type="auto"/>
            <w:vAlign w:val="center"/>
            <w:hideMark/>
          </w:tcPr>
          <w:p w14:paraId="3391291C"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&lt;0.001</w:t>
            </w:r>
          </w:p>
        </w:tc>
      </w:tr>
      <w:tr w:rsidR="002F5653" w:rsidRPr="004843C2" w14:paraId="7733C258" w14:textId="77777777" w:rsidTr="004843C2">
        <w:trPr>
          <w:tblCellSpacing w:w="15" w:type="dxa"/>
        </w:trPr>
        <w:tc>
          <w:tcPr>
            <w:tcW w:w="0" w:type="auto"/>
            <w:vAlign w:val="center"/>
            <w:hideMark/>
          </w:tcPr>
          <w:p w14:paraId="33FD7787"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Maternal age at delivery (years)</w:t>
            </w:r>
          </w:p>
        </w:tc>
        <w:tc>
          <w:tcPr>
            <w:tcW w:w="0" w:type="auto"/>
            <w:vAlign w:val="center"/>
            <w:hideMark/>
          </w:tcPr>
          <w:p w14:paraId="1753CD74"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one-year increase</w:t>
            </w:r>
          </w:p>
        </w:tc>
        <w:tc>
          <w:tcPr>
            <w:tcW w:w="0" w:type="auto"/>
            <w:vAlign w:val="center"/>
            <w:hideMark/>
          </w:tcPr>
          <w:p w14:paraId="04FD9F67"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0.069</w:t>
            </w:r>
          </w:p>
        </w:tc>
        <w:tc>
          <w:tcPr>
            <w:tcW w:w="0" w:type="auto"/>
            <w:vAlign w:val="center"/>
            <w:hideMark/>
          </w:tcPr>
          <w:p w14:paraId="10D8F81B"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1.071</w:t>
            </w:r>
          </w:p>
        </w:tc>
        <w:tc>
          <w:tcPr>
            <w:tcW w:w="0" w:type="auto"/>
            <w:vAlign w:val="center"/>
            <w:hideMark/>
          </w:tcPr>
          <w:p w14:paraId="6EB2D46F"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1.039–1.104</w:t>
            </w:r>
          </w:p>
        </w:tc>
        <w:tc>
          <w:tcPr>
            <w:tcW w:w="0" w:type="auto"/>
            <w:vAlign w:val="center"/>
            <w:hideMark/>
          </w:tcPr>
          <w:p w14:paraId="5D8CA21B"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&lt;0.001</w:t>
            </w:r>
          </w:p>
        </w:tc>
      </w:tr>
      <w:tr w:rsidR="002F5653" w:rsidRPr="004843C2" w14:paraId="3710AC8C" w14:textId="77777777" w:rsidTr="004843C2">
        <w:trPr>
          <w:tblCellSpacing w:w="15" w:type="dxa"/>
        </w:trPr>
        <w:tc>
          <w:tcPr>
            <w:tcW w:w="0" w:type="auto"/>
            <w:vAlign w:val="center"/>
            <w:hideMark/>
          </w:tcPr>
          <w:p w14:paraId="17B39053"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BMI category before delivery</w:t>
            </w:r>
          </w:p>
        </w:tc>
        <w:tc>
          <w:tcPr>
            <w:tcW w:w="0" w:type="auto"/>
            <w:vAlign w:val="center"/>
            <w:hideMark/>
          </w:tcPr>
          <w:p w14:paraId="4C76F124"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category increase</w:t>
            </w:r>
          </w:p>
        </w:tc>
        <w:tc>
          <w:tcPr>
            <w:tcW w:w="0" w:type="auto"/>
            <w:vAlign w:val="center"/>
            <w:hideMark/>
          </w:tcPr>
          <w:p w14:paraId="0A0DD882"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-0.211</w:t>
            </w:r>
          </w:p>
        </w:tc>
        <w:tc>
          <w:tcPr>
            <w:tcW w:w="0" w:type="auto"/>
            <w:vAlign w:val="center"/>
            <w:hideMark/>
          </w:tcPr>
          <w:p w14:paraId="5037B251"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0.810</w:t>
            </w:r>
          </w:p>
        </w:tc>
        <w:tc>
          <w:tcPr>
            <w:tcW w:w="0" w:type="auto"/>
            <w:vAlign w:val="center"/>
            <w:hideMark/>
          </w:tcPr>
          <w:p w14:paraId="03C0A505"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0.698–0.940</w:t>
            </w:r>
          </w:p>
        </w:tc>
        <w:tc>
          <w:tcPr>
            <w:tcW w:w="0" w:type="auto"/>
            <w:vAlign w:val="center"/>
            <w:hideMark/>
          </w:tcPr>
          <w:p w14:paraId="10877142"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0.006</w:t>
            </w:r>
          </w:p>
        </w:tc>
      </w:tr>
      <w:tr w:rsidR="002F5653" w:rsidRPr="004843C2" w14:paraId="19C9038C" w14:textId="77777777" w:rsidTr="004843C2">
        <w:trPr>
          <w:tblCellSpacing w:w="15" w:type="dxa"/>
        </w:trPr>
        <w:tc>
          <w:tcPr>
            <w:tcW w:w="0" w:type="auto"/>
            <w:vAlign w:val="center"/>
            <w:hideMark/>
          </w:tcPr>
          <w:p w14:paraId="15B839D9"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IVF conception</w:t>
            </w:r>
          </w:p>
        </w:tc>
        <w:tc>
          <w:tcPr>
            <w:tcW w:w="0" w:type="auto"/>
            <w:vAlign w:val="center"/>
            <w:hideMark/>
          </w:tcPr>
          <w:p w14:paraId="49C8E7C4"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Yes vs. No</w:t>
            </w:r>
          </w:p>
        </w:tc>
        <w:tc>
          <w:tcPr>
            <w:tcW w:w="0" w:type="auto"/>
            <w:vAlign w:val="center"/>
            <w:hideMark/>
          </w:tcPr>
          <w:p w14:paraId="3B701941"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0.295</w:t>
            </w:r>
          </w:p>
        </w:tc>
        <w:tc>
          <w:tcPr>
            <w:tcW w:w="0" w:type="auto"/>
            <w:vAlign w:val="center"/>
            <w:hideMark/>
          </w:tcPr>
          <w:p w14:paraId="56859E4A"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1.343</w:t>
            </w:r>
          </w:p>
        </w:tc>
        <w:tc>
          <w:tcPr>
            <w:tcW w:w="0" w:type="auto"/>
            <w:vAlign w:val="center"/>
            <w:hideMark/>
          </w:tcPr>
          <w:p w14:paraId="5F166841"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1.032–1.748</w:t>
            </w:r>
          </w:p>
        </w:tc>
        <w:tc>
          <w:tcPr>
            <w:tcW w:w="0" w:type="auto"/>
            <w:vAlign w:val="center"/>
            <w:hideMark/>
          </w:tcPr>
          <w:p w14:paraId="79AA6A9D"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0.028</w:t>
            </w:r>
          </w:p>
        </w:tc>
      </w:tr>
      <w:tr w:rsidR="002F5653" w:rsidRPr="004843C2" w14:paraId="6DF58013" w14:textId="77777777" w:rsidTr="004843C2">
        <w:trPr>
          <w:tblCellSpacing w:w="15" w:type="dxa"/>
        </w:trPr>
        <w:tc>
          <w:tcPr>
            <w:tcW w:w="0" w:type="auto"/>
            <w:vAlign w:val="center"/>
            <w:hideMark/>
          </w:tcPr>
          <w:p w14:paraId="4F99C4BC"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Gestational age at first SCH detection (weeks)</w:t>
            </w:r>
          </w:p>
        </w:tc>
        <w:tc>
          <w:tcPr>
            <w:tcW w:w="0" w:type="auto"/>
            <w:vAlign w:val="center"/>
            <w:hideMark/>
          </w:tcPr>
          <w:p w14:paraId="5337AC45"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Per one-week increase</w:t>
            </w:r>
          </w:p>
        </w:tc>
        <w:tc>
          <w:tcPr>
            <w:tcW w:w="0" w:type="auto"/>
            <w:vAlign w:val="center"/>
            <w:hideMark/>
          </w:tcPr>
          <w:p w14:paraId="19D8C4A9"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0.055</w:t>
            </w:r>
          </w:p>
        </w:tc>
        <w:tc>
          <w:tcPr>
            <w:tcW w:w="0" w:type="auto"/>
            <w:vAlign w:val="center"/>
            <w:hideMark/>
          </w:tcPr>
          <w:p w14:paraId="2BFD48F5"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1.057</w:t>
            </w:r>
          </w:p>
        </w:tc>
        <w:tc>
          <w:tcPr>
            <w:tcW w:w="0" w:type="auto"/>
            <w:vAlign w:val="center"/>
            <w:hideMark/>
          </w:tcPr>
          <w:p w14:paraId="2EE4B65F"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1.034–1.079</w:t>
            </w:r>
          </w:p>
        </w:tc>
        <w:tc>
          <w:tcPr>
            <w:tcW w:w="0" w:type="auto"/>
            <w:vAlign w:val="center"/>
            <w:hideMark/>
          </w:tcPr>
          <w:p w14:paraId="17352C69"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&lt;0.001</w:t>
            </w:r>
          </w:p>
        </w:tc>
      </w:tr>
      <w:tr w:rsidR="002F5653" w:rsidRPr="004843C2" w14:paraId="1204AD4B" w14:textId="77777777" w:rsidTr="004843C2">
        <w:trPr>
          <w:tblCellSpacing w:w="15" w:type="dxa"/>
        </w:trPr>
        <w:tc>
          <w:tcPr>
            <w:tcW w:w="0" w:type="auto"/>
            <w:vAlign w:val="center"/>
            <w:hideMark/>
          </w:tcPr>
          <w:p w14:paraId="7E3F4120"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SCH location</w:t>
            </w:r>
          </w:p>
        </w:tc>
        <w:tc>
          <w:tcPr>
            <w:tcW w:w="0" w:type="auto"/>
            <w:vAlign w:val="center"/>
            <w:hideMark/>
          </w:tcPr>
          <w:p w14:paraId="647DF501"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Retro-membranous vs. peri-gestational-sac</w:t>
            </w:r>
          </w:p>
        </w:tc>
        <w:tc>
          <w:tcPr>
            <w:tcW w:w="0" w:type="auto"/>
            <w:vAlign w:val="center"/>
            <w:hideMark/>
          </w:tcPr>
          <w:p w14:paraId="4F2D1A01"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0.417</w:t>
            </w:r>
          </w:p>
        </w:tc>
        <w:tc>
          <w:tcPr>
            <w:tcW w:w="0" w:type="auto"/>
            <w:vAlign w:val="center"/>
            <w:hideMark/>
          </w:tcPr>
          <w:p w14:paraId="104B6EC2"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1.517</w:t>
            </w:r>
          </w:p>
        </w:tc>
        <w:tc>
          <w:tcPr>
            <w:tcW w:w="0" w:type="auto"/>
            <w:vAlign w:val="center"/>
            <w:hideMark/>
          </w:tcPr>
          <w:p w14:paraId="38E4CC83"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1.009–2.282</w:t>
            </w:r>
          </w:p>
        </w:tc>
        <w:tc>
          <w:tcPr>
            <w:tcW w:w="0" w:type="auto"/>
            <w:vAlign w:val="center"/>
            <w:hideMark/>
          </w:tcPr>
          <w:p w14:paraId="3C8694BB"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0.045</w:t>
            </w:r>
          </w:p>
        </w:tc>
      </w:tr>
      <w:tr w:rsidR="002F5653" w:rsidRPr="004843C2" w14:paraId="2D10D446" w14:textId="77777777" w:rsidTr="004843C2">
        <w:trPr>
          <w:tblCellSpacing w:w="15" w:type="dxa"/>
        </w:trPr>
        <w:tc>
          <w:tcPr>
            <w:tcW w:w="0" w:type="auto"/>
            <w:vAlign w:val="center"/>
            <w:hideMark/>
          </w:tcPr>
          <w:p w14:paraId="5878C42D" w14:textId="77777777" w:rsidR="002F5653" w:rsidRPr="004843C2" w:rsidRDefault="002F5653" w:rsidP="004843C2">
            <w:pPr>
              <w:rPr>
                <w:rFonts w:ascii="Times New Roman" w:hAnsi="Times New Roman" w:cs="Times New Roman"/>
              </w:rPr>
            </w:pPr>
          </w:p>
        </w:tc>
        <w:tc>
          <w:tcPr>
            <w:tcW w:w="0" w:type="auto"/>
            <w:vAlign w:val="center"/>
            <w:hideMark/>
          </w:tcPr>
          <w:p w14:paraId="3744E838" w14:textId="77777777" w:rsidR="002F5653" w:rsidRPr="004843C2" w:rsidRDefault="002F5653" w:rsidP="004843C2">
            <w:pPr>
              <w:rPr>
                <w:rFonts w:ascii="Times New Roman" w:hAnsi="Times New Roman" w:cs="Times New Roman"/>
              </w:rPr>
            </w:pPr>
            <w:proofErr w:type="spellStart"/>
            <w:r w:rsidRPr="004843C2">
              <w:rPr>
                <w:rFonts w:ascii="Times New Roman" w:hAnsi="Times New Roman" w:cs="Times New Roman"/>
              </w:rPr>
              <w:t>Intraplacental</w:t>
            </w:r>
            <w:proofErr w:type="spellEnd"/>
            <w:r w:rsidRPr="004843C2">
              <w:rPr>
                <w:rFonts w:ascii="Times New Roman" w:hAnsi="Times New Roman" w:cs="Times New Roman"/>
              </w:rPr>
              <w:t xml:space="preserve"> vs. peri-gestational-sac</w:t>
            </w:r>
          </w:p>
        </w:tc>
        <w:tc>
          <w:tcPr>
            <w:tcW w:w="0" w:type="auto"/>
            <w:vAlign w:val="center"/>
            <w:hideMark/>
          </w:tcPr>
          <w:p w14:paraId="698D8535"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0.725</w:t>
            </w:r>
          </w:p>
        </w:tc>
        <w:tc>
          <w:tcPr>
            <w:tcW w:w="0" w:type="auto"/>
            <w:vAlign w:val="center"/>
            <w:hideMark/>
          </w:tcPr>
          <w:p w14:paraId="753C2C6D"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2.064</w:t>
            </w:r>
          </w:p>
        </w:tc>
        <w:tc>
          <w:tcPr>
            <w:tcW w:w="0" w:type="auto"/>
            <w:vAlign w:val="center"/>
            <w:hideMark/>
          </w:tcPr>
          <w:p w14:paraId="20813A33"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1.470–2.899</w:t>
            </w:r>
          </w:p>
        </w:tc>
        <w:tc>
          <w:tcPr>
            <w:tcW w:w="0" w:type="auto"/>
            <w:vAlign w:val="center"/>
            <w:hideMark/>
          </w:tcPr>
          <w:p w14:paraId="18A27FE3"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&lt;0.001</w:t>
            </w:r>
          </w:p>
        </w:tc>
      </w:tr>
      <w:tr w:rsidR="002F5653" w:rsidRPr="004843C2" w14:paraId="52DCE9FC" w14:textId="77777777" w:rsidTr="002F5653">
        <w:trPr>
          <w:tblCellSpacing w:w="15" w:type="dxa"/>
        </w:trPr>
        <w:tc>
          <w:tcPr>
            <w:tcW w:w="0" w:type="auto"/>
            <w:tcBorders>
              <w:bottom w:val="single" w:sz="4" w:space="0" w:color="auto"/>
            </w:tcBorders>
            <w:vAlign w:val="center"/>
            <w:hideMark/>
          </w:tcPr>
          <w:p w14:paraId="79AC4CBB" w14:textId="77777777" w:rsidR="002F5653" w:rsidRPr="004843C2" w:rsidRDefault="002F5653" w:rsidP="004843C2">
            <w:pPr>
              <w:rPr>
                <w:rFonts w:ascii="Times New Roman" w:hAnsi="Times New Roman" w:cs="Times New Roman"/>
              </w:rPr>
            </w:pPr>
          </w:p>
        </w:tc>
        <w:tc>
          <w:tcPr>
            <w:tcW w:w="0" w:type="auto"/>
            <w:tcBorders>
              <w:bottom w:val="single" w:sz="4" w:space="0" w:color="auto"/>
            </w:tcBorders>
            <w:vAlign w:val="center"/>
            <w:hideMark/>
          </w:tcPr>
          <w:p w14:paraId="7DA8E842"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Lower uterine segment vs. peri-gestational-sac</w:t>
            </w:r>
          </w:p>
        </w:tc>
        <w:tc>
          <w:tcPr>
            <w:tcW w:w="0" w:type="auto"/>
            <w:tcBorders>
              <w:bottom w:val="single" w:sz="4" w:space="0" w:color="auto"/>
            </w:tcBorders>
            <w:vAlign w:val="center"/>
            <w:hideMark/>
          </w:tcPr>
          <w:p w14:paraId="53E3249C"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0.717</w:t>
            </w:r>
          </w:p>
        </w:tc>
        <w:tc>
          <w:tcPr>
            <w:tcW w:w="0" w:type="auto"/>
            <w:tcBorders>
              <w:bottom w:val="single" w:sz="4" w:space="0" w:color="auto"/>
            </w:tcBorders>
            <w:vAlign w:val="center"/>
            <w:hideMark/>
          </w:tcPr>
          <w:p w14:paraId="4C005F72"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2.049</w:t>
            </w:r>
          </w:p>
        </w:tc>
        <w:tc>
          <w:tcPr>
            <w:tcW w:w="0" w:type="auto"/>
            <w:tcBorders>
              <w:bottom w:val="single" w:sz="4" w:space="0" w:color="auto"/>
            </w:tcBorders>
            <w:vAlign w:val="center"/>
            <w:hideMark/>
          </w:tcPr>
          <w:p w14:paraId="455A6C09"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1.223–3.435</w:t>
            </w:r>
          </w:p>
        </w:tc>
        <w:tc>
          <w:tcPr>
            <w:tcW w:w="0" w:type="auto"/>
            <w:tcBorders>
              <w:bottom w:val="single" w:sz="4" w:space="0" w:color="auto"/>
            </w:tcBorders>
            <w:vAlign w:val="center"/>
            <w:hideMark/>
          </w:tcPr>
          <w:p w14:paraId="38EF6405" w14:textId="77777777" w:rsidR="002F5653" w:rsidRPr="004843C2" w:rsidRDefault="002F5653" w:rsidP="004843C2">
            <w:pPr>
              <w:rPr>
                <w:rFonts w:ascii="Times New Roman" w:hAnsi="Times New Roman" w:cs="Times New Roman"/>
              </w:rPr>
            </w:pPr>
            <w:r w:rsidRPr="004843C2">
              <w:rPr>
                <w:rFonts w:ascii="Times New Roman" w:hAnsi="Times New Roman" w:cs="Times New Roman"/>
              </w:rPr>
              <w:t>0.006</w:t>
            </w:r>
          </w:p>
        </w:tc>
      </w:tr>
    </w:tbl>
    <w:p w14:paraId="5B19EA10" w14:textId="77777777" w:rsidR="002F5653" w:rsidRPr="002F5653" w:rsidRDefault="002F5653" w:rsidP="002F5653">
      <w:pPr>
        <w:rPr>
          <w:rFonts w:ascii="Times New Roman" w:hAnsi="Times New Roman" w:cs="Times New Roman"/>
          <w:sz w:val="21"/>
          <w:szCs w:val="21"/>
        </w:rPr>
      </w:pPr>
      <w:r w:rsidRPr="002F5653">
        <w:rPr>
          <w:rFonts w:ascii="Times New Roman" w:hAnsi="Times New Roman" w:cs="Times New Roman"/>
          <w:b/>
          <w:bCs/>
          <w:sz w:val="21"/>
          <w:szCs w:val="21"/>
        </w:rPr>
        <w:t>Notes:</w:t>
      </w:r>
      <w:r w:rsidRPr="002F5653">
        <w:rPr>
          <w:rFonts w:ascii="Times New Roman" w:hAnsi="Times New Roman" w:cs="Times New Roman"/>
          <w:sz w:val="21"/>
          <w:szCs w:val="21"/>
        </w:rPr>
        <w:t xml:space="preserve"> Binary logistic regression analyses were performed with full-term birth as the outcome event. Continuous variables were modeled per unit increase unless otherwise specified. BMI category was analyzed as an ordinal variable. For SCH location, peri-gestational-sac SCH served as the reference category. Variables showing statistically significant associations in the univariate analyses were subsequently included in the multivariable logistic regression analysis.</w:t>
      </w:r>
    </w:p>
    <w:p w14:paraId="315A1752" w14:textId="77777777" w:rsidR="007F0BC6" w:rsidRDefault="007F0BC6">
      <w:pPr>
        <w:rPr>
          <w:rFonts w:ascii="Times New Roman" w:hAnsi="Times New Roman" w:cs="Times New Roman"/>
        </w:rPr>
      </w:pPr>
    </w:p>
    <w:p w14:paraId="38ED81E6" w14:textId="77777777" w:rsidR="00121B44" w:rsidRDefault="00121B44">
      <w:pPr>
        <w:rPr>
          <w:rFonts w:ascii="Times New Roman" w:hAnsi="Times New Roman" w:cs="Times New Roman"/>
        </w:rPr>
      </w:pPr>
    </w:p>
    <w:p w14:paraId="4BBBE258" w14:textId="77777777" w:rsidR="00121B44" w:rsidRDefault="00121B44">
      <w:pPr>
        <w:rPr>
          <w:rFonts w:ascii="Times New Roman" w:hAnsi="Times New Roman" w:cs="Times New Roman"/>
        </w:rPr>
      </w:pPr>
    </w:p>
    <w:p w14:paraId="1D387826" w14:textId="77777777" w:rsidR="00121B44" w:rsidRDefault="00121B44">
      <w:pPr>
        <w:rPr>
          <w:rFonts w:ascii="Times New Roman" w:hAnsi="Times New Roman" w:cs="Times New Roman"/>
        </w:rPr>
      </w:pPr>
    </w:p>
    <w:p w14:paraId="555C5FB6" w14:textId="77777777" w:rsidR="00121B44" w:rsidRDefault="00121B44">
      <w:pPr>
        <w:rPr>
          <w:rFonts w:ascii="Times New Roman" w:hAnsi="Times New Roman" w:cs="Times New Roman"/>
        </w:rPr>
      </w:pPr>
    </w:p>
    <w:p w14:paraId="05E3045C" w14:textId="77777777" w:rsidR="00121B44" w:rsidRDefault="00121B44">
      <w:pPr>
        <w:rPr>
          <w:rFonts w:ascii="Times New Roman" w:hAnsi="Times New Roman" w:cs="Times New Roman"/>
        </w:rPr>
      </w:pPr>
    </w:p>
    <w:p w14:paraId="199EBFC1" w14:textId="77777777" w:rsidR="00121B44" w:rsidRDefault="00121B44">
      <w:pPr>
        <w:rPr>
          <w:rFonts w:ascii="Times New Roman" w:hAnsi="Times New Roman" w:cs="Times New Roman"/>
        </w:rPr>
      </w:pPr>
    </w:p>
    <w:p w14:paraId="778637E8" w14:textId="77777777" w:rsidR="00121B44" w:rsidRDefault="00121B44">
      <w:pPr>
        <w:rPr>
          <w:rFonts w:ascii="Times New Roman" w:hAnsi="Times New Roman" w:cs="Times New Roman"/>
        </w:rPr>
      </w:pPr>
    </w:p>
    <w:p w14:paraId="0757AEC9" w14:textId="77777777" w:rsidR="00121B44" w:rsidRDefault="00121B44">
      <w:pPr>
        <w:rPr>
          <w:rFonts w:ascii="Times New Roman" w:hAnsi="Times New Roman" w:cs="Times New Roman"/>
        </w:rPr>
      </w:pPr>
    </w:p>
    <w:p w14:paraId="258C88CB" w14:textId="77777777" w:rsidR="00121B44" w:rsidRDefault="00121B44">
      <w:pPr>
        <w:rPr>
          <w:rFonts w:ascii="Times New Roman" w:hAnsi="Times New Roman" w:cs="Times New Roman"/>
        </w:rPr>
      </w:pPr>
    </w:p>
    <w:p w14:paraId="18A1B322" w14:textId="12FB911A" w:rsidR="00121B44" w:rsidRDefault="00121B44">
      <w:pPr>
        <w:rPr>
          <w:rFonts w:ascii="Times New Roman" w:hAnsi="Times New Roman" w:cs="Times New Roman"/>
        </w:rPr>
      </w:pPr>
    </w:p>
    <w:p w14:paraId="5D45F9A1" w14:textId="45CEF247" w:rsidR="00121B44" w:rsidRPr="002F5653" w:rsidRDefault="00121B44" w:rsidP="00121B44">
      <w:pPr>
        <w:ind w:firstLineChars="1000" w:firstLine="2400"/>
        <w:rPr>
          <w:rFonts w:ascii="Times New Roman" w:hAnsi="Times New Roman" w:cs="Times New Roman"/>
        </w:rPr>
      </w:pPr>
    </w:p>
    <w:sectPr w:rsidR="00121B44" w:rsidRPr="002F565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497A28"/>
    <w:multiLevelType w:val="multilevel"/>
    <w:tmpl w:val="4D6C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95D36"/>
    <w:multiLevelType w:val="multilevel"/>
    <w:tmpl w:val="5872A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41076"/>
    <w:multiLevelType w:val="multilevel"/>
    <w:tmpl w:val="45589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B73265"/>
    <w:multiLevelType w:val="multilevel"/>
    <w:tmpl w:val="F8E2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A49D9"/>
    <w:multiLevelType w:val="hybridMultilevel"/>
    <w:tmpl w:val="814EF8D2"/>
    <w:lvl w:ilvl="0" w:tplc="66AC492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5D7F0FCE"/>
    <w:multiLevelType w:val="multilevel"/>
    <w:tmpl w:val="032C1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6233C6"/>
    <w:multiLevelType w:val="multilevel"/>
    <w:tmpl w:val="E06E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D64FCB"/>
    <w:multiLevelType w:val="multilevel"/>
    <w:tmpl w:val="BAA4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6141">
    <w:abstractNumId w:val="4"/>
  </w:num>
  <w:num w:numId="2" w16cid:durableId="934482635">
    <w:abstractNumId w:val="7"/>
  </w:num>
  <w:num w:numId="3" w16cid:durableId="1442065968">
    <w:abstractNumId w:val="1"/>
  </w:num>
  <w:num w:numId="4" w16cid:durableId="1739474387">
    <w:abstractNumId w:val="0"/>
  </w:num>
  <w:num w:numId="5" w16cid:durableId="366638617">
    <w:abstractNumId w:val="6"/>
  </w:num>
  <w:num w:numId="6" w16cid:durableId="1309095914">
    <w:abstractNumId w:val="3"/>
  </w:num>
  <w:num w:numId="7" w16cid:durableId="1764757953">
    <w:abstractNumId w:val="5"/>
  </w:num>
  <w:num w:numId="8" w16cid:durableId="388260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2F"/>
    <w:rsid w:val="00121B44"/>
    <w:rsid w:val="00123C56"/>
    <w:rsid w:val="00164FEE"/>
    <w:rsid w:val="001750EC"/>
    <w:rsid w:val="001A59D1"/>
    <w:rsid w:val="00250F73"/>
    <w:rsid w:val="002B371D"/>
    <w:rsid w:val="002F5653"/>
    <w:rsid w:val="002F7FF9"/>
    <w:rsid w:val="00303993"/>
    <w:rsid w:val="003772EE"/>
    <w:rsid w:val="00377986"/>
    <w:rsid w:val="00385925"/>
    <w:rsid w:val="00393C2B"/>
    <w:rsid w:val="003B2D70"/>
    <w:rsid w:val="0040055B"/>
    <w:rsid w:val="004843C2"/>
    <w:rsid w:val="004A39B9"/>
    <w:rsid w:val="004C4D79"/>
    <w:rsid w:val="005125C4"/>
    <w:rsid w:val="0054502F"/>
    <w:rsid w:val="005511A0"/>
    <w:rsid w:val="00556D40"/>
    <w:rsid w:val="005729B0"/>
    <w:rsid w:val="005B3A4F"/>
    <w:rsid w:val="00650E5E"/>
    <w:rsid w:val="00663028"/>
    <w:rsid w:val="00664777"/>
    <w:rsid w:val="00685600"/>
    <w:rsid w:val="006E6634"/>
    <w:rsid w:val="006F6C9E"/>
    <w:rsid w:val="00704213"/>
    <w:rsid w:val="007379E4"/>
    <w:rsid w:val="00741CA7"/>
    <w:rsid w:val="007609EF"/>
    <w:rsid w:val="007823FD"/>
    <w:rsid w:val="007B4756"/>
    <w:rsid w:val="007F0BC6"/>
    <w:rsid w:val="00811DEB"/>
    <w:rsid w:val="0082025D"/>
    <w:rsid w:val="00884249"/>
    <w:rsid w:val="008B3A8C"/>
    <w:rsid w:val="008F421A"/>
    <w:rsid w:val="00A20FD0"/>
    <w:rsid w:val="00A25FEE"/>
    <w:rsid w:val="00A35D3B"/>
    <w:rsid w:val="00A403AF"/>
    <w:rsid w:val="00A46BC6"/>
    <w:rsid w:val="00AC6A39"/>
    <w:rsid w:val="00AD0046"/>
    <w:rsid w:val="00AF7D29"/>
    <w:rsid w:val="00B574CE"/>
    <w:rsid w:val="00B87C1B"/>
    <w:rsid w:val="00C37AD1"/>
    <w:rsid w:val="00CB6CCD"/>
    <w:rsid w:val="00CD728A"/>
    <w:rsid w:val="00CF32C6"/>
    <w:rsid w:val="00D22A0A"/>
    <w:rsid w:val="00D4355D"/>
    <w:rsid w:val="00D44088"/>
    <w:rsid w:val="00D8220B"/>
    <w:rsid w:val="00D900E7"/>
    <w:rsid w:val="00DB0A81"/>
    <w:rsid w:val="00DB332F"/>
    <w:rsid w:val="00DB4EC4"/>
    <w:rsid w:val="00DD0126"/>
    <w:rsid w:val="00DF72D9"/>
    <w:rsid w:val="00E22E6A"/>
    <w:rsid w:val="00E42705"/>
    <w:rsid w:val="00E559DC"/>
    <w:rsid w:val="00E832EA"/>
    <w:rsid w:val="00EA38B6"/>
    <w:rsid w:val="00EC2FB5"/>
    <w:rsid w:val="00EE6196"/>
    <w:rsid w:val="00F45407"/>
    <w:rsid w:val="00F9306A"/>
    <w:rsid w:val="00FD2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557F"/>
  <w15:chartTrackingRefBased/>
  <w15:docId w15:val="{A2AF21DB-76AE-3140-8743-076C96C29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32F"/>
    <w:rPr>
      <w:rFonts w:ascii="宋体" w:eastAsia="宋体" w:hAnsi="宋体" w:cs="宋体"/>
      <w:kern w:val="0"/>
      <w:sz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59D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1630">
      <w:bodyDiv w:val="1"/>
      <w:marLeft w:val="0"/>
      <w:marRight w:val="0"/>
      <w:marTop w:val="0"/>
      <w:marBottom w:val="0"/>
      <w:divBdr>
        <w:top w:val="none" w:sz="0" w:space="0" w:color="auto"/>
        <w:left w:val="none" w:sz="0" w:space="0" w:color="auto"/>
        <w:bottom w:val="none" w:sz="0" w:space="0" w:color="auto"/>
        <w:right w:val="none" w:sz="0" w:space="0" w:color="auto"/>
      </w:divBdr>
    </w:div>
    <w:div w:id="29965482">
      <w:bodyDiv w:val="1"/>
      <w:marLeft w:val="0"/>
      <w:marRight w:val="0"/>
      <w:marTop w:val="0"/>
      <w:marBottom w:val="0"/>
      <w:divBdr>
        <w:top w:val="none" w:sz="0" w:space="0" w:color="auto"/>
        <w:left w:val="none" w:sz="0" w:space="0" w:color="auto"/>
        <w:bottom w:val="none" w:sz="0" w:space="0" w:color="auto"/>
        <w:right w:val="none" w:sz="0" w:space="0" w:color="auto"/>
      </w:divBdr>
    </w:div>
    <w:div w:id="43523997">
      <w:bodyDiv w:val="1"/>
      <w:marLeft w:val="0"/>
      <w:marRight w:val="0"/>
      <w:marTop w:val="0"/>
      <w:marBottom w:val="0"/>
      <w:divBdr>
        <w:top w:val="none" w:sz="0" w:space="0" w:color="auto"/>
        <w:left w:val="none" w:sz="0" w:space="0" w:color="auto"/>
        <w:bottom w:val="none" w:sz="0" w:space="0" w:color="auto"/>
        <w:right w:val="none" w:sz="0" w:space="0" w:color="auto"/>
      </w:divBdr>
    </w:div>
    <w:div w:id="106703448">
      <w:bodyDiv w:val="1"/>
      <w:marLeft w:val="0"/>
      <w:marRight w:val="0"/>
      <w:marTop w:val="0"/>
      <w:marBottom w:val="0"/>
      <w:divBdr>
        <w:top w:val="none" w:sz="0" w:space="0" w:color="auto"/>
        <w:left w:val="none" w:sz="0" w:space="0" w:color="auto"/>
        <w:bottom w:val="none" w:sz="0" w:space="0" w:color="auto"/>
        <w:right w:val="none" w:sz="0" w:space="0" w:color="auto"/>
      </w:divBdr>
    </w:div>
    <w:div w:id="116262288">
      <w:bodyDiv w:val="1"/>
      <w:marLeft w:val="0"/>
      <w:marRight w:val="0"/>
      <w:marTop w:val="0"/>
      <w:marBottom w:val="0"/>
      <w:divBdr>
        <w:top w:val="none" w:sz="0" w:space="0" w:color="auto"/>
        <w:left w:val="none" w:sz="0" w:space="0" w:color="auto"/>
        <w:bottom w:val="none" w:sz="0" w:space="0" w:color="auto"/>
        <w:right w:val="none" w:sz="0" w:space="0" w:color="auto"/>
      </w:divBdr>
    </w:div>
    <w:div w:id="129441784">
      <w:bodyDiv w:val="1"/>
      <w:marLeft w:val="0"/>
      <w:marRight w:val="0"/>
      <w:marTop w:val="0"/>
      <w:marBottom w:val="0"/>
      <w:divBdr>
        <w:top w:val="none" w:sz="0" w:space="0" w:color="auto"/>
        <w:left w:val="none" w:sz="0" w:space="0" w:color="auto"/>
        <w:bottom w:val="none" w:sz="0" w:space="0" w:color="auto"/>
        <w:right w:val="none" w:sz="0" w:space="0" w:color="auto"/>
      </w:divBdr>
    </w:div>
    <w:div w:id="191117227">
      <w:bodyDiv w:val="1"/>
      <w:marLeft w:val="0"/>
      <w:marRight w:val="0"/>
      <w:marTop w:val="0"/>
      <w:marBottom w:val="0"/>
      <w:divBdr>
        <w:top w:val="none" w:sz="0" w:space="0" w:color="auto"/>
        <w:left w:val="none" w:sz="0" w:space="0" w:color="auto"/>
        <w:bottom w:val="none" w:sz="0" w:space="0" w:color="auto"/>
        <w:right w:val="none" w:sz="0" w:space="0" w:color="auto"/>
      </w:divBdr>
    </w:div>
    <w:div w:id="301279265">
      <w:bodyDiv w:val="1"/>
      <w:marLeft w:val="0"/>
      <w:marRight w:val="0"/>
      <w:marTop w:val="0"/>
      <w:marBottom w:val="0"/>
      <w:divBdr>
        <w:top w:val="none" w:sz="0" w:space="0" w:color="auto"/>
        <w:left w:val="none" w:sz="0" w:space="0" w:color="auto"/>
        <w:bottom w:val="none" w:sz="0" w:space="0" w:color="auto"/>
        <w:right w:val="none" w:sz="0" w:space="0" w:color="auto"/>
      </w:divBdr>
    </w:div>
    <w:div w:id="424226110">
      <w:bodyDiv w:val="1"/>
      <w:marLeft w:val="0"/>
      <w:marRight w:val="0"/>
      <w:marTop w:val="0"/>
      <w:marBottom w:val="0"/>
      <w:divBdr>
        <w:top w:val="none" w:sz="0" w:space="0" w:color="auto"/>
        <w:left w:val="none" w:sz="0" w:space="0" w:color="auto"/>
        <w:bottom w:val="none" w:sz="0" w:space="0" w:color="auto"/>
        <w:right w:val="none" w:sz="0" w:space="0" w:color="auto"/>
      </w:divBdr>
    </w:div>
    <w:div w:id="458186309">
      <w:bodyDiv w:val="1"/>
      <w:marLeft w:val="0"/>
      <w:marRight w:val="0"/>
      <w:marTop w:val="0"/>
      <w:marBottom w:val="0"/>
      <w:divBdr>
        <w:top w:val="none" w:sz="0" w:space="0" w:color="auto"/>
        <w:left w:val="none" w:sz="0" w:space="0" w:color="auto"/>
        <w:bottom w:val="none" w:sz="0" w:space="0" w:color="auto"/>
        <w:right w:val="none" w:sz="0" w:space="0" w:color="auto"/>
      </w:divBdr>
    </w:div>
    <w:div w:id="626356077">
      <w:bodyDiv w:val="1"/>
      <w:marLeft w:val="0"/>
      <w:marRight w:val="0"/>
      <w:marTop w:val="0"/>
      <w:marBottom w:val="0"/>
      <w:divBdr>
        <w:top w:val="none" w:sz="0" w:space="0" w:color="auto"/>
        <w:left w:val="none" w:sz="0" w:space="0" w:color="auto"/>
        <w:bottom w:val="none" w:sz="0" w:space="0" w:color="auto"/>
        <w:right w:val="none" w:sz="0" w:space="0" w:color="auto"/>
      </w:divBdr>
    </w:div>
    <w:div w:id="749542163">
      <w:bodyDiv w:val="1"/>
      <w:marLeft w:val="0"/>
      <w:marRight w:val="0"/>
      <w:marTop w:val="0"/>
      <w:marBottom w:val="0"/>
      <w:divBdr>
        <w:top w:val="none" w:sz="0" w:space="0" w:color="auto"/>
        <w:left w:val="none" w:sz="0" w:space="0" w:color="auto"/>
        <w:bottom w:val="none" w:sz="0" w:space="0" w:color="auto"/>
        <w:right w:val="none" w:sz="0" w:space="0" w:color="auto"/>
      </w:divBdr>
    </w:div>
    <w:div w:id="827789153">
      <w:bodyDiv w:val="1"/>
      <w:marLeft w:val="0"/>
      <w:marRight w:val="0"/>
      <w:marTop w:val="0"/>
      <w:marBottom w:val="0"/>
      <w:divBdr>
        <w:top w:val="none" w:sz="0" w:space="0" w:color="auto"/>
        <w:left w:val="none" w:sz="0" w:space="0" w:color="auto"/>
        <w:bottom w:val="none" w:sz="0" w:space="0" w:color="auto"/>
        <w:right w:val="none" w:sz="0" w:space="0" w:color="auto"/>
      </w:divBdr>
    </w:div>
    <w:div w:id="866605641">
      <w:bodyDiv w:val="1"/>
      <w:marLeft w:val="0"/>
      <w:marRight w:val="0"/>
      <w:marTop w:val="0"/>
      <w:marBottom w:val="0"/>
      <w:divBdr>
        <w:top w:val="none" w:sz="0" w:space="0" w:color="auto"/>
        <w:left w:val="none" w:sz="0" w:space="0" w:color="auto"/>
        <w:bottom w:val="none" w:sz="0" w:space="0" w:color="auto"/>
        <w:right w:val="none" w:sz="0" w:space="0" w:color="auto"/>
      </w:divBdr>
    </w:div>
    <w:div w:id="947011360">
      <w:bodyDiv w:val="1"/>
      <w:marLeft w:val="0"/>
      <w:marRight w:val="0"/>
      <w:marTop w:val="0"/>
      <w:marBottom w:val="0"/>
      <w:divBdr>
        <w:top w:val="none" w:sz="0" w:space="0" w:color="auto"/>
        <w:left w:val="none" w:sz="0" w:space="0" w:color="auto"/>
        <w:bottom w:val="none" w:sz="0" w:space="0" w:color="auto"/>
        <w:right w:val="none" w:sz="0" w:space="0" w:color="auto"/>
      </w:divBdr>
    </w:div>
    <w:div w:id="994839451">
      <w:bodyDiv w:val="1"/>
      <w:marLeft w:val="0"/>
      <w:marRight w:val="0"/>
      <w:marTop w:val="0"/>
      <w:marBottom w:val="0"/>
      <w:divBdr>
        <w:top w:val="none" w:sz="0" w:space="0" w:color="auto"/>
        <w:left w:val="none" w:sz="0" w:space="0" w:color="auto"/>
        <w:bottom w:val="none" w:sz="0" w:space="0" w:color="auto"/>
        <w:right w:val="none" w:sz="0" w:space="0" w:color="auto"/>
      </w:divBdr>
    </w:div>
    <w:div w:id="1038045869">
      <w:bodyDiv w:val="1"/>
      <w:marLeft w:val="0"/>
      <w:marRight w:val="0"/>
      <w:marTop w:val="0"/>
      <w:marBottom w:val="0"/>
      <w:divBdr>
        <w:top w:val="none" w:sz="0" w:space="0" w:color="auto"/>
        <w:left w:val="none" w:sz="0" w:space="0" w:color="auto"/>
        <w:bottom w:val="none" w:sz="0" w:space="0" w:color="auto"/>
        <w:right w:val="none" w:sz="0" w:space="0" w:color="auto"/>
      </w:divBdr>
    </w:div>
    <w:div w:id="1066533988">
      <w:bodyDiv w:val="1"/>
      <w:marLeft w:val="0"/>
      <w:marRight w:val="0"/>
      <w:marTop w:val="0"/>
      <w:marBottom w:val="0"/>
      <w:divBdr>
        <w:top w:val="none" w:sz="0" w:space="0" w:color="auto"/>
        <w:left w:val="none" w:sz="0" w:space="0" w:color="auto"/>
        <w:bottom w:val="none" w:sz="0" w:space="0" w:color="auto"/>
        <w:right w:val="none" w:sz="0" w:space="0" w:color="auto"/>
      </w:divBdr>
    </w:div>
    <w:div w:id="1073236771">
      <w:bodyDiv w:val="1"/>
      <w:marLeft w:val="0"/>
      <w:marRight w:val="0"/>
      <w:marTop w:val="0"/>
      <w:marBottom w:val="0"/>
      <w:divBdr>
        <w:top w:val="none" w:sz="0" w:space="0" w:color="auto"/>
        <w:left w:val="none" w:sz="0" w:space="0" w:color="auto"/>
        <w:bottom w:val="none" w:sz="0" w:space="0" w:color="auto"/>
        <w:right w:val="none" w:sz="0" w:space="0" w:color="auto"/>
      </w:divBdr>
    </w:div>
    <w:div w:id="1082484692">
      <w:bodyDiv w:val="1"/>
      <w:marLeft w:val="0"/>
      <w:marRight w:val="0"/>
      <w:marTop w:val="0"/>
      <w:marBottom w:val="0"/>
      <w:divBdr>
        <w:top w:val="none" w:sz="0" w:space="0" w:color="auto"/>
        <w:left w:val="none" w:sz="0" w:space="0" w:color="auto"/>
        <w:bottom w:val="none" w:sz="0" w:space="0" w:color="auto"/>
        <w:right w:val="none" w:sz="0" w:space="0" w:color="auto"/>
      </w:divBdr>
    </w:div>
    <w:div w:id="1307541201">
      <w:bodyDiv w:val="1"/>
      <w:marLeft w:val="0"/>
      <w:marRight w:val="0"/>
      <w:marTop w:val="0"/>
      <w:marBottom w:val="0"/>
      <w:divBdr>
        <w:top w:val="none" w:sz="0" w:space="0" w:color="auto"/>
        <w:left w:val="none" w:sz="0" w:space="0" w:color="auto"/>
        <w:bottom w:val="none" w:sz="0" w:space="0" w:color="auto"/>
        <w:right w:val="none" w:sz="0" w:space="0" w:color="auto"/>
      </w:divBdr>
    </w:div>
    <w:div w:id="1331059646">
      <w:bodyDiv w:val="1"/>
      <w:marLeft w:val="0"/>
      <w:marRight w:val="0"/>
      <w:marTop w:val="0"/>
      <w:marBottom w:val="0"/>
      <w:divBdr>
        <w:top w:val="none" w:sz="0" w:space="0" w:color="auto"/>
        <w:left w:val="none" w:sz="0" w:space="0" w:color="auto"/>
        <w:bottom w:val="none" w:sz="0" w:space="0" w:color="auto"/>
        <w:right w:val="none" w:sz="0" w:space="0" w:color="auto"/>
      </w:divBdr>
    </w:div>
    <w:div w:id="1347556807">
      <w:bodyDiv w:val="1"/>
      <w:marLeft w:val="0"/>
      <w:marRight w:val="0"/>
      <w:marTop w:val="0"/>
      <w:marBottom w:val="0"/>
      <w:divBdr>
        <w:top w:val="none" w:sz="0" w:space="0" w:color="auto"/>
        <w:left w:val="none" w:sz="0" w:space="0" w:color="auto"/>
        <w:bottom w:val="none" w:sz="0" w:space="0" w:color="auto"/>
        <w:right w:val="none" w:sz="0" w:space="0" w:color="auto"/>
      </w:divBdr>
    </w:div>
    <w:div w:id="1387030215">
      <w:bodyDiv w:val="1"/>
      <w:marLeft w:val="0"/>
      <w:marRight w:val="0"/>
      <w:marTop w:val="0"/>
      <w:marBottom w:val="0"/>
      <w:divBdr>
        <w:top w:val="none" w:sz="0" w:space="0" w:color="auto"/>
        <w:left w:val="none" w:sz="0" w:space="0" w:color="auto"/>
        <w:bottom w:val="none" w:sz="0" w:space="0" w:color="auto"/>
        <w:right w:val="none" w:sz="0" w:space="0" w:color="auto"/>
      </w:divBdr>
    </w:div>
    <w:div w:id="1405836251">
      <w:bodyDiv w:val="1"/>
      <w:marLeft w:val="0"/>
      <w:marRight w:val="0"/>
      <w:marTop w:val="0"/>
      <w:marBottom w:val="0"/>
      <w:divBdr>
        <w:top w:val="none" w:sz="0" w:space="0" w:color="auto"/>
        <w:left w:val="none" w:sz="0" w:space="0" w:color="auto"/>
        <w:bottom w:val="none" w:sz="0" w:space="0" w:color="auto"/>
        <w:right w:val="none" w:sz="0" w:space="0" w:color="auto"/>
      </w:divBdr>
    </w:div>
    <w:div w:id="1599749866">
      <w:bodyDiv w:val="1"/>
      <w:marLeft w:val="0"/>
      <w:marRight w:val="0"/>
      <w:marTop w:val="0"/>
      <w:marBottom w:val="0"/>
      <w:divBdr>
        <w:top w:val="none" w:sz="0" w:space="0" w:color="auto"/>
        <w:left w:val="none" w:sz="0" w:space="0" w:color="auto"/>
        <w:bottom w:val="none" w:sz="0" w:space="0" w:color="auto"/>
        <w:right w:val="none" w:sz="0" w:space="0" w:color="auto"/>
      </w:divBdr>
    </w:div>
    <w:div w:id="1688676790">
      <w:bodyDiv w:val="1"/>
      <w:marLeft w:val="0"/>
      <w:marRight w:val="0"/>
      <w:marTop w:val="0"/>
      <w:marBottom w:val="0"/>
      <w:divBdr>
        <w:top w:val="none" w:sz="0" w:space="0" w:color="auto"/>
        <w:left w:val="none" w:sz="0" w:space="0" w:color="auto"/>
        <w:bottom w:val="none" w:sz="0" w:space="0" w:color="auto"/>
        <w:right w:val="none" w:sz="0" w:space="0" w:color="auto"/>
      </w:divBdr>
    </w:div>
    <w:div w:id="1739547250">
      <w:bodyDiv w:val="1"/>
      <w:marLeft w:val="0"/>
      <w:marRight w:val="0"/>
      <w:marTop w:val="0"/>
      <w:marBottom w:val="0"/>
      <w:divBdr>
        <w:top w:val="none" w:sz="0" w:space="0" w:color="auto"/>
        <w:left w:val="none" w:sz="0" w:space="0" w:color="auto"/>
        <w:bottom w:val="none" w:sz="0" w:space="0" w:color="auto"/>
        <w:right w:val="none" w:sz="0" w:space="0" w:color="auto"/>
      </w:divBdr>
    </w:div>
    <w:div w:id="1855723132">
      <w:bodyDiv w:val="1"/>
      <w:marLeft w:val="0"/>
      <w:marRight w:val="0"/>
      <w:marTop w:val="0"/>
      <w:marBottom w:val="0"/>
      <w:divBdr>
        <w:top w:val="none" w:sz="0" w:space="0" w:color="auto"/>
        <w:left w:val="none" w:sz="0" w:space="0" w:color="auto"/>
        <w:bottom w:val="none" w:sz="0" w:space="0" w:color="auto"/>
        <w:right w:val="none" w:sz="0" w:space="0" w:color="auto"/>
      </w:divBdr>
    </w:div>
    <w:div w:id="1922638645">
      <w:bodyDiv w:val="1"/>
      <w:marLeft w:val="0"/>
      <w:marRight w:val="0"/>
      <w:marTop w:val="0"/>
      <w:marBottom w:val="0"/>
      <w:divBdr>
        <w:top w:val="none" w:sz="0" w:space="0" w:color="auto"/>
        <w:left w:val="none" w:sz="0" w:space="0" w:color="auto"/>
        <w:bottom w:val="none" w:sz="0" w:space="0" w:color="auto"/>
        <w:right w:val="none" w:sz="0" w:space="0" w:color="auto"/>
      </w:divBdr>
    </w:div>
    <w:div w:id="1945918210">
      <w:bodyDiv w:val="1"/>
      <w:marLeft w:val="0"/>
      <w:marRight w:val="0"/>
      <w:marTop w:val="0"/>
      <w:marBottom w:val="0"/>
      <w:divBdr>
        <w:top w:val="none" w:sz="0" w:space="0" w:color="auto"/>
        <w:left w:val="none" w:sz="0" w:space="0" w:color="auto"/>
        <w:bottom w:val="none" w:sz="0" w:space="0" w:color="auto"/>
        <w:right w:val="none" w:sz="0" w:space="0" w:color="auto"/>
      </w:divBdr>
    </w:div>
    <w:div w:id="2014532276">
      <w:bodyDiv w:val="1"/>
      <w:marLeft w:val="0"/>
      <w:marRight w:val="0"/>
      <w:marTop w:val="0"/>
      <w:marBottom w:val="0"/>
      <w:divBdr>
        <w:top w:val="none" w:sz="0" w:space="0" w:color="auto"/>
        <w:left w:val="none" w:sz="0" w:space="0" w:color="auto"/>
        <w:bottom w:val="none" w:sz="0" w:space="0" w:color="auto"/>
        <w:right w:val="none" w:sz="0" w:space="0" w:color="auto"/>
      </w:divBdr>
    </w:div>
    <w:div w:id="2068990277">
      <w:bodyDiv w:val="1"/>
      <w:marLeft w:val="0"/>
      <w:marRight w:val="0"/>
      <w:marTop w:val="0"/>
      <w:marBottom w:val="0"/>
      <w:divBdr>
        <w:top w:val="none" w:sz="0" w:space="0" w:color="auto"/>
        <w:left w:val="none" w:sz="0" w:space="0" w:color="auto"/>
        <w:bottom w:val="none" w:sz="0" w:space="0" w:color="auto"/>
        <w:right w:val="none" w:sz="0" w:space="0" w:color="auto"/>
      </w:divBdr>
    </w:div>
    <w:div w:id="2080473018">
      <w:bodyDiv w:val="1"/>
      <w:marLeft w:val="0"/>
      <w:marRight w:val="0"/>
      <w:marTop w:val="0"/>
      <w:marBottom w:val="0"/>
      <w:divBdr>
        <w:top w:val="none" w:sz="0" w:space="0" w:color="auto"/>
        <w:left w:val="none" w:sz="0" w:space="0" w:color="auto"/>
        <w:bottom w:val="none" w:sz="0" w:space="0" w:color="auto"/>
        <w:right w:val="none" w:sz="0" w:space="0" w:color="auto"/>
      </w:divBdr>
    </w:div>
    <w:div w:id="2129930549">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xuehuang/Library/Group%20Containers/UBF8T346G9.Office/User%20Content.localized/Templates.localized/Normal.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9</Pages>
  <Words>1522</Words>
  <Characters>8676</Characters>
  <Application>Microsoft Office Word</Application>
  <DocSecurity>0</DocSecurity>
  <Lines>72</Lines>
  <Paragraphs>20</Paragraphs>
  <ScaleCrop>false</ScaleCrop>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Xue Huang</dc:creator>
  <cp:keywords/>
  <dc:description/>
  <cp:lastModifiedBy>tutubanana1225@gmail.com</cp:lastModifiedBy>
  <cp:revision>10</cp:revision>
  <dcterms:created xsi:type="dcterms:W3CDTF">2026-07-23T08:08:00Z</dcterms:created>
  <dcterms:modified xsi:type="dcterms:W3CDTF">2026-08-07T07:29:00Z</dcterms:modified>
</cp:coreProperties>
</file>