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  <w:spacing w:line="480" w:lineRule="auto"/>
      </w:pPr>
      <w:r>
        <w:t xml:space="preserve">Online</w:t>
      </w:r>
      <w:r>
        <w:t xml:space="preserve"> </w:t>
      </w:r>
      <w:r>
        <w:t xml:space="preserve">Resource</w:t>
      </w:r>
      <w:r>
        <w:t xml:space="preserve"> </w:t>
      </w:r>
      <w:r>
        <w:t xml:space="preserve">1</w:t>
      </w:r>
    </w:p>
    <w:p>
      <w:pPr>
        <w:pStyle w:val="Heading1"/>
        <w:spacing w:line="480" w:lineRule="auto"/>
      </w:pPr>
      <w:bookmarkStart w:id="20" w:name="X7957bcb36408bfeceb4834c5e4e038e151e2b93"/>
      <w:r>
        <w:t xml:space="preserve">Online Resource 1 — Electronic Supplementary Material</w:t>
      </w:r>
      <w:bookmarkEnd w:id="20"/>
    </w:p>
    <w:p>
      <w:pPr>
        <w:pStyle w:val="Heading1"/>
        <w:spacing w:line="480" w:lineRule="auto"/>
      </w:pPr>
      <w:bookmarkStart w:id="21" w:name="supplementary-methods"/>
      <w:r>
        <w:t xml:space="preserve">Supplementary Methods</w:t>
      </w:r>
      <w:bookmarkEnd w:id="21"/>
    </w:p>
    <w:p>
      <w:pPr>
        <w:pStyle w:val="Heading2"/>
        <w:spacing w:line="480" w:lineRule="auto"/>
      </w:pPr>
      <w:bookmarkStart w:id="22" w:name="s1.-cohort-acquisition-and-provenance"/>
      <w:r>
        <w:t xml:space="preserve">S1. Cohort acquisition and provenance</w:t>
      </w:r>
      <w:bookmarkEnd w:id="22"/>
    </w:p>
    <w:p>
      <w:pPr>
        <w:pStyle w:val="FirstParagraph"/>
        <w:spacing w:line="480" w:lineRule="auto"/>
        <w:ind w:firstLine="432"/>
        <w:jc w:val="both"/>
      </w:pPr>
      <w:r>
        <w:t xml:space="preserve">All data were obtained from the open-access tier of TCGA via the GDC API (Data</w:t>
      </w:r>
      <w:r>
        <w:t xml:space="preserve"> </w:t>
      </w:r>
      <w:r>
        <w:t xml:space="preserve">Release 45.0). For each cohort a file manifest was built by GDC metadata query</w:t>
      </w:r>
      <w:r>
        <w:t xml:space="preserve"> </w:t>
      </w:r>
      <w:r>
        <w:t xml:space="preserve">(no bulk transfer), recording, per file, its checksum, data type, and the derived</w:t>
      </w:r>
      <w:r>
        <w:t xml:space="preserve"> </w:t>
      </w:r>
      <w:r>
        <w:t xml:space="preserve">slide type. Diagnostic (FFPE,</w:t>
      </w:r>
      <w:r>
        <w:t xml:space="preserve"> </w:t>
      </w:r>
      <w:r>
        <w:rPr>
          <w:rStyle w:val="VerbatimChar"/>
        </w:rPr>
        <w:t xml:space="preserve">-DX*</w:t>
      </w:r>
      <w:r>
        <w:t xml:space="preserve">) slides were selected by barcode convention;</w:t>
      </w:r>
      <w:r>
        <w:t xml:space="preserve"> </w:t>
      </w:r>
      <w:r>
        <w:t xml:space="preserve">frozen sections (</w:t>
      </w:r>
      <w:r>
        <w:rPr>
          <w:rStyle w:val="VerbatimChar"/>
        </w:rPr>
        <w:t xml:space="preserve">-TS*</w:t>
      </w:r>
      <w:r>
        <w:t xml:space="preserve">/</w:t>
      </w:r>
      <w:r>
        <w:rPr>
          <w:rStyle w:val="VerbatimChar"/>
        </w:rPr>
        <w:t xml:space="preserve">-BS*</w:t>
      </w:r>
      <w:r>
        <w:t xml:space="preserve">/</w:t>
      </w:r>
      <w:r>
        <w:rPr>
          <w:rStyle w:val="VerbatimChar"/>
        </w:rPr>
        <w:t xml:space="preserve">-MS*</w:t>
      </w:r>
      <w:r>
        <w:t xml:space="preserve">) were excluded. Downloads were</w:t>
      </w:r>
      <w:r>
        <w:t xml:space="preserve"> </w:t>
      </w:r>
      <w:r>
        <w:t xml:space="preserve">checksum-verified against the GDC-recorded MD5, resumable at both the file and the</w:t>
      </w:r>
      <w:r>
        <w:t xml:space="preserve"> </w:t>
      </w:r>
      <w:r>
        <w:t xml:space="preserve">within-file (byte-range) level, and tolerant of per-file failure. Each analysis</w:t>
      </w:r>
      <w:r>
        <w:t xml:space="preserve"> </w:t>
      </w:r>
      <w:r>
        <w:t xml:space="preserve">stage writes a provenance sidecar recording input checksums, the configuration</w:t>
      </w:r>
      <w:r>
        <w:t xml:space="preserve"> </w:t>
      </w:r>
      <w:r>
        <w:t xml:space="preserve">hash, installed package versions, and the git revision.</w:t>
      </w:r>
    </w:p>
    <w:p>
      <w:pPr>
        <w:pStyle w:val="Heading2"/>
        <w:spacing w:line="480" w:lineRule="auto"/>
      </w:pPr>
      <w:bookmarkStart w:id="23" w:name="s2.-molecular-label-derivation"/>
      <w:r>
        <w:t xml:space="preserve">S2. Molecular label derivation</w:t>
      </w:r>
      <w:bookmarkEnd w:id="23"/>
    </w:p>
    <w:p>
      <w:pPr>
        <w:numPr>
          <w:ilvl w:val="0"/>
          <w:numId w:val="1001"/>
        </w:numPr>
        <w:pStyle w:val="Compact"/>
        <w:spacing w:line="480" w:lineRule="auto"/>
        <w:ind w:firstLine="432"/>
        <w:jc w:val="both"/>
      </w:pPr>
      <w:r>
        <w:rPr>
          <w:b/>
        </w:rPr>
        <w:t xml:space="preserve">Renal / lung (subtype = project split).</w:t>
      </w:r>
      <w:r>
        <w:t xml:space="preserve"> </w:t>
      </w:r>
      <w:r>
        <w:t xml:space="preserve">Labels map the TCGA project to the</w:t>
      </w:r>
      <w:r>
        <w:t xml:space="preserve"> </w:t>
      </w:r>
      <w:r>
        <w:t xml:space="preserve">subtype: KIRC→ccRCC, KIRP→pRCC, KICH→chRCC; LUAD, LUSC. Derived from the</w:t>
      </w:r>
      <w:r>
        <w:t xml:space="preserve"> </w:t>
      </w:r>
      <w:r>
        <w:t xml:space="preserve">manifest, requiring no downloaded file.</w:t>
      </w:r>
    </w:p>
    <w:p>
      <w:pPr>
        <w:numPr>
          <w:ilvl w:val="0"/>
          <w:numId w:val="1001"/>
        </w:numPr>
        <w:pStyle w:val="Compact"/>
        <w:spacing w:line="480" w:lineRule="auto"/>
        <w:ind w:firstLine="432"/>
        <w:jc w:val="both"/>
      </w:pPr>
      <w:r>
        <w:rPr>
          <w:b/>
        </w:rPr>
        <w:t xml:space="preserve">Glioma (IDH genotype).</w:t>
      </w:r>
      <w:r>
        <w:t xml:space="preserve"> </w:t>
      </w:r>
      <w:r>
        <w:t xml:space="preserve">GDC somatic-mutation occurrences were queried for</w:t>
      </w:r>
      <w:r>
        <w:t xml:space="preserve"> </w:t>
      </w:r>
      <w:r>
        <w:t xml:space="preserve">IDH1/IDH2 across the glioma cases; a patient with any IDH1/IDH2 somatic mutation</w:t>
      </w:r>
      <w:r>
        <w:t xml:space="preserve"> </w:t>
      </w:r>
      <w:r>
        <w:t xml:space="preserve">was labelled IDH-mutant, otherwise IDH-wild-type. The wild-type call is by</w:t>
      </w:r>
      <w:r>
        <w:t xml:space="preserve"> </w:t>
      </w:r>
      <w:r>
        <w:t xml:space="preserve">absence over the full open-access somatic-mutation set.</w:t>
      </w:r>
    </w:p>
    <w:p>
      <w:pPr>
        <w:numPr>
          <w:ilvl w:val="0"/>
          <w:numId w:val="1001"/>
        </w:numPr>
        <w:pStyle w:val="Compact"/>
        <w:spacing w:line="480" w:lineRule="auto"/>
        <w:ind w:firstLine="432"/>
        <w:jc w:val="both"/>
      </w:pPr>
      <w:r>
        <w:rPr>
          <w:b/>
        </w:rPr>
        <w:t xml:space="preserve">Breast (ER by IHC).</w:t>
      </w:r>
      <w:r>
        <w:t xml:space="preserve"> </w:t>
      </w:r>
      <w:r>
        <w:t xml:space="preserve">Read from the TCGA-BRCA</w:t>
      </w:r>
      <w:r>
        <w:t xml:space="preserve"> </w:t>
      </w:r>
      <w:r>
        <w:rPr>
          <w:rStyle w:val="VerbatimChar"/>
        </w:rPr>
        <w:t xml:space="preserve">clinical_patient</w:t>
      </w:r>
      <w:r>
        <w:t xml:space="preserve"> </w:t>
      </w:r>
      <w:r>
        <w:t xml:space="preserve">BCR Biotab</w:t>
      </w:r>
      <w:r>
        <w:t xml:space="preserve"> </w:t>
      </w:r>
      <w:r>
        <w:t xml:space="preserve">field</w:t>
      </w:r>
      <w:r>
        <w:t xml:space="preserve"> </w:t>
      </w:r>
      <w:r>
        <w:rPr>
          <w:rStyle w:val="VerbatimChar"/>
        </w:rPr>
        <w:t xml:space="preserve">er_status_by_ihc</w:t>
      </w:r>
      <w:r>
        <w:t xml:space="preserve">. The biotab’s two metadata rows and UUID-keyed first</w:t>
      </w:r>
      <w:r>
        <w:t xml:space="preserve"> </w:t>
      </w:r>
      <w:r>
        <w:t xml:space="preserve">column were handled explicitly; non-committal values (Equivocal, Indeterminate,</w:t>
      </w:r>
      <w:r>
        <w:t xml:space="preserve"> </w:t>
      </w:r>
      <w:r>
        <w:t xml:space="preserve">[Not Evaluated], [Not Available]) were set missing and those patients dropped.</w:t>
      </w:r>
    </w:p>
    <w:p>
      <w:pPr>
        <w:pStyle w:val="Heading2"/>
        <w:spacing w:line="480" w:lineRule="auto"/>
      </w:pPr>
      <w:bookmarkStart w:id="24" w:name="X94d5a53141d5401cea17471a08a2f944a9f6b37"/>
      <w:r>
        <w:t xml:space="preserve">S3. Feature extraction and leakage-safe evaluation</w:t>
      </w:r>
      <w:bookmarkEnd w:id="24"/>
    </w:p>
    <w:p>
      <w:pPr>
        <w:pStyle w:val="FirstParagraph"/>
        <w:spacing w:line="480" w:lineRule="auto"/>
        <w:ind w:firstLine="432"/>
        <w:jc w:val="both"/>
      </w:pPr>
      <w:r>
        <w:t xml:space="preserve">Per-slide feature matrices were built from HistomicsTK per-nucleus features</w:t>
      </w:r>
      <w:r>
        <w:t xml:space="preserve"> </w:t>
      </w:r>
      <w:r>
        <w:t xml:space="preserve">aggregated by a robust (outlier-resistant) summary. Unsupervised feature filtering</w:t>
      </w:r>
      <w:r>
        <w:t xml:space="preserve"> </w:t>
      </w:r>
      <w:r>
        <w:t xml:space="preserve">(maximum 10% missingness; minimum variance; maximum absolute pairwise correlation</w:t>
      </w:r>
      <w:r>
        <w:t xml:space="preserve"> </w:t>
      </w:r>
      <w:r>
        <w:t xml:space="preserve">0.95) uses no labels and was applied once, globally. Supervised evaluation used</w:t>
      </w:r>
      <w:r>
        <w:t xml:space="preserve"> </w:t>
      </w:r>
      <w:r>
        <w:t xml:space="preserve">leave-one-patient-out nested cross-validation grouped on patient identifier; within</w:t>
      </w:r>
      <w:r>
        <w:t xml:space="preserve"> </w:t>
      </w:r>
      <w:r>
        <w:t xml:space="preserve">each training fold, median imputation, standardization and supervised feature</w:t>
      </w:r>
      <w:r>
        <w:t xml:space="preserve"> </w:t>
      </w:r>
      <w:r>
        <w:t xml:space="preserve">selection were fit on the training partition only (the</w:t>
      </w:r>
      <w:r>
        <w:t xml:space="preserve"> </w:t>
      </w:r>
      <w:r>
        <w:t xml:space="preserve">“</w:t>
      </w:r>
      <w:r>
        <w:t xml:space="preserve">in-fold</w:t>
      </w:r>
      <w:r>
        <w:t xml:space="preserve">”</w:t>
      </w:r>
      <w:r>
        <w:t xml:space="preserve"> </w:t>
      </w:r>
      <w:r>
        <w:t xml:space="preserve">scope). A</w:t>
      </w:r>
      <w:r>
        <w:t xml:space="preserve"> </w:t>
      </w:r>
      <w:r>
        <w:t xml:space="preserve">“</w:t>
      </w:r>
      <w:r>
        <w:t xml:space="preserve">global</w:t>
      </w:r>
      <w:r>
        <w:t xml:space="preserve">”</w:t>
      </w:r>
      <w:r>
        <w:t xml:space="preserve"> </w:t>
      </w:r>
      <w:r>
        <w:t xml:space="preserve">scope, selecting features once on all samples and labels, was run only to quantify</w:t>
      </w:r>
      <w:r>
        <w:t xml:space="preserve"> </w:t>
      </w:r>
      <w:r>
        <w:t xml:space="preserve">the optimism removed by in-fold selection (reported as</w:t>
      </w:r>
      <w:r>
        <w:t xml:space="preserve"> </w:t>
      </w:r>
      <w:r>
        <w:rPr>
          <w:i/>
        </w:rPr>
        <w:t xml:space="preserve">selection optimism</w:t>
      </w:r>
      <w:r>
        <w:t xml:space="preserve"> </w:t>
      </w:r>
      <w:r>
        <w:t xml:space="preserve">=</w:t>
      </w:r>
      <w:r>
        <w:t xml:space="preserve"> </w:t>
      </w:r>
      <w:r>
        <w:t xml:space="preserve">global − in-fold balanced accuracy). The patient-label permutation null (1000</w:t>
      </w:r>
      <w:r>
        <w:t xml:space="preserve"> </w:t>
      </w:r>
      <w:r>
        <w:t xml:space="preserve">permutations) permutes labels between patients and re-runs the full</w:t>
      </w:r>
      <w:r>
        <w:t xml:space="preserve"> </w:t>
      </w:r>
      <w:r>
        <w:t xml:space="preserve">fit-and-select-and-evaluate procedure each time, so it is sensitive to selection</w:t>
      </w:r>
      <w:r>
        <w:t xml:space="preserve"> </w:t>
      </w:r>
      <w:r>
        <w:t xml:space="preserve">leakage; the reported p-value is the fraction of permutations meeting or exceeding</w:t>
      </w:r>
      <w:r>
        <w:t xml:space="preserve"> </w:t>
      </w:r>
      <w:r>
        <w:t xml:space="preserve">the observed balanced accuracy.</w:t>
      </w:r>
    </w:p>
    <w:p>
      <w:pPr>
        <w:pStyle w:val="Heading1"/>
        <w:spacing w:line="480" w:lineRule="auto"/>
      </w:pPr>
      <w:bookmarkStart w:id="25" w:name="supplementary-figures"/>
      <w:r>
        <w:t xml:space="preserve">Supplementary Figures</w:t>
      </w:r>
      <w:bookmarkEnd w:id="25"/>
    </w:p>
    <w:p>
      <w:pPr>
        <w:pStyle w:val="FirstParagraph"/>
        <w:spacing w:line="480" w:lineRule="auto"/>
        <w:ind w:firstLine="432"/>
        <w:jc w:val="both"/>
      </w:pPr>
      <w:r>
        <w:rPr>
          <w:b/>
        </w:rPr>
        <w:t xml:space="preserve">Fig. S1. Balanced accuracy by model and cohort (in-fold LOPO).</w:t>
      </w:r>
      <w:r>
        <w:t xml:space="preserve"> </w:t>
      </w:r>
      <w:r>
        <w:t xml:space="preserve">For each</w:t>
      </w:r>
      <w:r>
        <w:t xml:space="preserve"> </w:t>
      </w:r>
      <w:r>
        <w:t xml:space="preserve">cohort, the leave-one-patient-out balanced accuracy of all five estimators (two</w:t>
      </w:r>
      <w:r>
        <w:t xml:space="preserve"> </w:t>
      </w:r>
      <w:r>
        <w:t xml:space="preserve">baselines, logistic-L2, linear-SVM, random forest) with 95% bootstrap confidence</w:t>
      </w:r>
      <w:r>
        <w:t xml:space="preserve"> </w:t>
      </w:r>
      <w:r>
        <w:t xml:space="preserve">intervals; the dashed line marks chance. Baselines sit at chance in every cohort;</w:t>
      </w:r>
      <w:r>
        <w:t xml:space="preserve"> </w:t>
      </w:r>
      <w:r>
        <w:t xml:space="preserve">the discriminative models rise above chance only where morphology encodes the</w:t>
      </w:r>
      <w:r>
        <w:t xml:space="preserve"> </w:t>
      </w:r>
      <w:r>
        <w:t xml:space="preserve">class.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Fig. S2. Driver-gene associations with molecular class.</w:t>
      </w:r>
      <w:r>
        <w:t xml:space="preserve"> </w:t>
      </w:r>
      <w:r>
        <w:t xml:space="preserve">Association effect</w:t>
      </w:r>
      <w:r>
        <w:t xml:space="preserve"> </w:t>
      </w:r>
      <w:r>
        <w:t xml:space="preserve">size (Cramér’s V) between each molecular group and per-case genomic features</w:t>
      </w:r>
      <w:r>
        <w:t xml:space="preserve"> </w:t>
      </w:r>
      <w:r>
        <w:t xml:space="preserve">(mutation status; median-split expression) for cohorts with any FDR-significant</w:t>
      </w:r>
      <w:r>
        <w:t xml:space="preserve"> </w:t>
      </w:r>
      <w:r>
        <w:t xml:space="preserve">association. Colored bars pass Benjamini–Hochberg control at 5% (permutation-based);</w:t>
      </w:r>
      <w:r>
        <w:t xml:space="preserve"> </w:t>
      </w:r>
      <w:r>
        <w:t xml:space="preserve">grey bars do not. In renal cancer, subtype associates with VHL, BAP1, SETD2, MET,</w:t>
      </w:r>
      <w:r>
        <w:t xml:space="preserve"> </w:t>
      </w:r>
      <w:r>
        <w:t xml:space="preserve">NF2 and PTEN — established renal-cancer genetics.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Fig. S3. Segmented nuclei per slide, by cohort.</w:t>
      </w:r>
      <w:r>
        <w:t xml:space="preserve"> </w:t>
      </w:r>
      <w:r>
        <w:t xml:space="preserve">Distribution (violin, median</w:t>
      </w:r>
      <w:r>
        <w:t xml:space="preserve"> </w:t>
      </w:r>
      <w:r>
        <w:t xml:space="preserve">marked) of the total number of segmented nuclei per slide, on a log10 scale, as a</w:t>
      </w:r>
      <w:r>
        <w:t xml:space="preserve"> </w:t>
      </w:r>
      <w:r>
        <w:t xml:space="preserve">segmentation-sanity check: the counts are in a plausible biological range across</w:t>
      </w:r>
      <w:r>
        <w:t xml:space="preserve"> </w:t>
      </w:r>
      <w:r>
        <w:t xml:space="preserve">cohorts (neither near-zero nor a single merged object), supporting that the</w:t>
      </w:r>
      <w:r>
        <w:t xml:space="preserve"> </w:t>
      </w:r>
      <w:r>
        <w:t xml:space="preserve">morphometric features derive from genuine per-nucleus measurements.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Fig. S4. Direction of the nuclear-morphometric differences between molecular</w:t>
      </w:r>
      <w:r>
        <w:rPr>
          <w:b/>
        </w:rPr>
        <w:t xml:space="preserve"> </w:t>
      </w:r>
      <w:r>
        <w:rPr>
          <w:b/>
        </w:rPr>
        <w:t xml:space="preserve">classes.</w:t>
      </w:r>
      <w:r>
        <w:t xml:space="preserve"> </w:t>
      </w:r>
      <w:r>
        <w:t xml:space="preserve">For each cohort, the top discriminative slide-level features ordered by</w:t>
      </w:r>
      <w:r>
        <w:t xml:space="preserve"> </w:t>
      </w:r>
      <w:r>
        <w:t xml:space="preserve">absolute effect size, coloured by feature category. Bar length is the standardised</w:t>
      </w:r>
      <w:r>
        <w:t xml:space="preserve"> </w:t>
      </w:r>
      <w:r>
        <w:t xml:space="preserve">effect size and bar direction gives the sign, with the class in which the feature</w:t>
      </w:r>
      <w:r>
        <w:t xml:space="preserve"> </w:t>
      </w:r>
      <w:r>
        <w:t xml:space="preserve">is higher named at the bar tip; this supplies the direction that Fig. 3’s</w:t>
      </w:r>
      <w:r>
        <w:t xml:space="preserve"> </w:t>
      </w:r>
      <w:r>
        <w:t xml:space="preserve">selection frequencies omit. Binary cohorts (lung, glioma, breast) use Cohen’s</w:t>
      </w:r>
      <w:r>
        <w:t xml:space="preserve"> </w:t>
      </w:r>
      <w:r>
        <w:rPr>
          <w:i/>
        </w:rPr>
        <w:t xml:space="preserve">d</w:t>
      </w:r>
      <w:r>
        <w:t xml:space="preserve">;</w:t>
      </w:r>
      <w:r>
        <w:t xml:space="preserve"> </w:t>
      </w:r>
      <w:r>
        <w:t xml:space="preserve">the three-class renal cohort uses epsilon-squared, which is unsigned, so its bars</w:t>
      </w:r>
      <w:r>
        <w:t xml:space="preserve"> </w:t>
      </w:r>
      <w:r>
        <w:t xml:space="preserve">are annotated with the class holding the highest mean. Effects are computed after</w:t>
      </w:r>
      <w:r>
        <w:t xml:space="preserve"> </w:t>
      </w:r>
      <w:r>
        <w:t xml:space="preserve">averaging each patient’s slides, so a patient contributing many slides cannot</w:t>
      </w:r>
      <w:r>
        <w:t xml:space="preserve"> </w:t>
      </w:r>
      <w:r>
        <w:t xml:space="preserve">dominate. Underlying values, with Benjamini–Hochberg q-values, are in Table S5.</w:t>
      </w:r>
    </w:p>
    <w:p>
      <w:pPr>
        <w:pStyle w:val="Heading1"/>
        <w:spacing w:line="480" w:lineRule="auto"/>
      </w:pPr>
      <w:bookmarkStart w:id="26" w:name="supplementary-tables"/>
      <w:r>
        <w:t xml:space="preserve">Supplementary Tables</w:t>
      </w:r>
      <w:bookmarkEnd w:id="26"/>
    </w:p>
    <w:p>
      <w:pPr>
        <w:pStyle w:val="FirstParagraph"/>
        <w:spacing w:line="480" w:lineRule="auto"/>
        <w:ind w:firstLine="432"/>
        <w:jc w:val="both"/>
      </w:pPr>
      <w:r>
        <w:rPr>
          <w:b/>
        </w:rPr>
        <w:t xml:space="preserve">Table S1. Balanced accuracy for every model × selection scope × cohort.</w:t>
      </w:r>
      <w:r>
        <w:t xml:space="preserve"> </w:t>
      </w:r>
      <w:r>
        <w:t xml:space="preserve">Full</w:t>
      </w:r>
      <w:r>
        <w:t xml:space="preserve"> </w:t>
      </w:r>
      <w:r>
        <w:t xml:space="preserve">leave-one-patient-out results underlying Fig. 2a, Fig. S1 and Table 2, including</w:t>
      </w:r>
      <w:r>
        <w:t xml:space="preserve"> </w:t>
      </w:r>
      <w:r>
        <w:t xml:space="preserve">accuracy, macro-F1 and Matthews correlation, for both in-fold (leakage-safe) and</w:t>
      </w:r>
      <w:r>
        <w:t xml:space="preserve"> </w:t>
      </w:r>
      <w:r>
        <w:t xml:space="preserve">global (leaky) selection scopes.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Table S2. Driver-gene association results.</w:t>
      </w:r>
      <w:r>
        <w:t xml:space="preserve"> </w:t>
      </w:r>
      <w:r>
        <w:t xml:space="preserve">Per-variable Cramér’s V, permutation</w:t>
      </w:r>
      <w:r>
        <w:t xml:space="preserve"> </w:t>
      </w:r>
      <w:r>
        <w:t xml:space="preserve">p-value and Benjamini–Hochberg q-value for every tested genomic feature, per cohort</w:t>
      </w:r>
      <w:r>
        <w:t xml:space="preserve"> </w:t>
      </w:r>
      <w:r>
        <w:t xml:space="preserve">(underlies Fig. S2).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Table S3. Unsupervised clustering vs known molecular label.</w:t>
      </w:r>
      <w:r>
        <w:t xml:space="preserve"> </w:t>
      </w:r>
      <w:r>
        <w:t xml:space="preserve">Selected cluster</w:t>
      </w:r>
      <w:r>
        <w:t xml:space="preserve"> </w:t>
      </w:r>
      <w:r>
        <w:t xml:space="preserve">count, cluster sizes, and agreement of the unsupervised morphometric clustering</w:t>
      </w:r>
      <w:r>
        <w:t xml:space="preserve"> </w:t>
      </w:r>
      <w:r>
        <w:t xml:space="preserve">with the known molecular label (adjusted mutual information, adjusted Rand index)</w:t>
      </w:r>
      <w:r>
        <w:t xml:space="preserve"> </w:t>
      </w:r>
      <w:r>
        <w:t xml:space="preserve">and internal cohesion (silhouette), per cohort.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Table S4. Processing extent of the study.</w:t>
      </w:r>
      <w:r>
        <w:t xml:space="preserve"> </w:t>
      </w:r>
      <w:r>
        <w:t xml:space="preserve">Per cohort and in total: whole-slide</w:t>
      </w:r>
      <w:r>
        <w:t xml:space="preserve"> </w:t>
      </w:r>
      <w:r>
        <w:t xml:space="preserve">imaging volume retrieved from the GDC, number of files, slides processed, slides</w:t>
      </w:r>
      <w:r>
        <w:t xml:space="preserve"> </w:t>
      </w:r>
      <w:r>
        <w:t xml:space="preserve">carrying a usable class label (the modelled set), patients, maximum slides</w:t>
      </w:r>
      <w:r>
        <w:t xml:space="preserve"> </w:t>
      </w:r>
      <w:r>
        <w:t xml:space="preserve">contributed by any one patient, patches sampled, nuclei segmented, and slide-level</w:t>
      </w:r>
      <w:r>
        <w:t xml:space="preserve"> </w:t>
      </w:r>
      <w:r>
        <w:t xml:space="preserve">features. The</w:t>
      </w:r>
      <w:r>
        <w:t xml:space="preserve"> </w:t>
      </w:r>
      <w:r>
        <w:t xml:space="preserve">“</w:t>
      </w:r>
      <w:r>
        <w:t xml:space="preserve">nuclei legacy equalisation would keep</w:t>
      </w:r>
      <w:r>
        <w:t xml:space="preserve">”</w:t>
      </w:r>
      <w:r>
        <w:t xml:space="preserve"> </w:t>
      </w:r>
      <w:r>
        <w:t xml:space="preserve">column is a contrast, not a</w:t>
      </w:r>
      <w:r>
        <w:t xml:space="preserve"> </w:t>
      </w:r>
      <w:r>
        <w:t xml:space="preserve">filter that was applied: the primary robust aggregation analyses every segmented</w:t>
      </w:r>
      <w:r>
        <w:t xml:space="preserve"> </w:t>
      </w:r>
      <w:r>
        <w:t xml:space="preserve">nucleus, whereas the legacy per-slide equalisation inherited from the GBM pipeline</w:t>
      </w:r>
      <w:r>
        <w:t xml:space="preserve"> </w:t>
      </w:r>
      <w:r>
        <w:t xml:space="preserve">would have discarded roughly two-thirds of them.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Table S5. Discriminative nuclear features per cohort, with direction.</w:t>
      </w:r>
      <w:r>
        <w:t xml:space="preserve"> </w:t>
      </w:r>
      <w:r>
        <w:t xml:space="preserve">For each</w:t>
      </w:r>
      <w:r>
        <w:t xml:space="preserve"> </w:t>
      </w:r>
      <w:r>
        <w:t xml:space="preserve">cohort, the features with the largest standardised difference between molecular</w:t>
      </w:r>
      <w:r>
        <w:t xml:space="preserve"> </w:t>
      </w:r>
      <w:r>
        <w:t xml:space="preserve">classes: feature name, category, the summary statistic over nuclei (mean, median,</w:t>
      </w:r>
      <w:r>
        <w:t xml:space="preserve"> </w:t>
      </w:r>
      <w:r>
        <w:t xml:space="preserve">or SD/IQR, the latter two capturing within-slide heterogeneity rather than central</w:t>
      </w:r>
      <w:r>
        <w:t xml:space="preserve"> </w:t>
      </w:r>
      <w:r>
        <w:t xml:space="preserve">tendency), effect size, the class in which the feature is higher, the</w:t>
      </w:r>
      <w:r>
        <w:t xml:space="preserve"> </w:t>
      </w:r>
      <w:r>
        <w:t xml:space="preserve">Benjamini–Hochberg q-value from a rank-based test, and how often the feature was</w:t>
      </w:r>
      <w:r>
        <w:t xml:space="preserve"> </w:t>
      </w:r>
      <w:r>
        <w:t xml:space="preserve">selected inside the LOPO folds. Patient-averaged before testing (underlies Figure</w:t>
      </w:r>
      <w:r>
        <w:t xml:space="preserve"> </w:t>
      </w:r>
      <w:r>
        <w:t xml:space="preserve">S4).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Table S6. Feature-category contribution per cohort.</w:t>
      </w:r>
      <w:r>
        <w:t xml:space="preserve"> </w:t>
      </w:r>
      <w:r>
        <w:t xml:space="preserve">For each cohort and each of</w:t>
      </w:r>
      <w:r>
        <w:t xml:space="preserve"> </w:t>
      </w:r>
      <w:r>
        <w:t xml:space="preserve">the six morphometric categories: how many of its features reach FDR significance,</w:t>
      </w:r>
      <w:r>
        <w:t xml:space="preserve"> </w:t>
      </w:r>
      <w:r>
        <w:t xml:space="preserve">the median and maximum absolute effect size, and the mean in-fold selection</w:t>
      </w:r>
      <w:r>
        <w:t xml:space="preserve"> </w:t>
      </w:r>
      <w:r>
        <w:t xml:space="preserve">frequency. This shows which kinds of nuclear measurement carry the discriminative</w:t>
      </w:r>
      <w:r>
        <w:t xml:space="preserve"> </w:t>
      </w:r>
      <w:r>
        <w:t xml:space="preserve">signal in each disease, complementing the per-feature detail in Table S5.</w:t>
      </w:r>
    </w:p>
    <w:p>
      <w:pPr>
        <w:pStyle w:val="Heading1"/>
        <w:spacing w:line="480" w:lineRule="auto"/>
      </w:pPr>
      <w:bookmarkStart w:id="27" w:name="supplementary-notes"/>
      <w:r>
        <w:t xml:space="preserve">Supplementary Notes</w:t>
      </w:r>
      <w:bookmarkEnd w:id="27"/>
    </w:p>
    <w:p>
      <w:pPr>
        <w:pStyle w:val="FirstParagraph"/>
        <w:spacing w:line="480" w:lineRule="auto"/>
        <w:ind w:firstLine="432"/>
        <w:jc w:val="both"/>
      </w:pPr>
      <w:r>
        <w:rPr>
          <w:b/>
        </w:rPr>
        <w:t xml:space="preserve">Note S1 — Why a negative control is load-bearing.</w:t>
      </w:r>
      <w:r>
        <w:t xml:space="preserve"> </w:t>
      </w:r>
      <w:r>
        <w:t xml:space="preserve">The lung (LUAD/LUSC) cohort</w:t>
      </w:r>
      <w:r>
        <w:t xml:space="preserve"> </w:t>
      </w:r>
      <w:r>
        <w:t xml:space="preserve">was included because morphometry was</w:t>
      </w:r>
      <w:r>
        <w:t xml:space="preserve"> </w:t>
      </w:r>
      <w:r>
        <w:rPr>
          <w:i/>
        </w:rPr>
        <w:t xml:space="preserve">not</w:t>
      </w:r>
      <w:r>
        <w:t xml:space="preserve"> </w:t>
      </w:r>
      <w:r>
        <w:t xml:space="preserve">expected to recover its subtype: the</w:t>
      </w:r>
      <w:r>
        <w:t xml:space="preserve"> </w:t>
      </w:r>
      <w:r>
        <w:t xml:space="preserve">distinction is architectural and immunohistochemical (TTF-1, p40), not a nuclear</w:t>
      </w:r>
      <w:r>
        <w:t xml:space="preserve"> </w:t>
      </w:r>
      <w:r>
        <w:t xml:space="preserve">morphology one. Its negative result, obtained under the identical pipeline, is</w:t>
      </w:r>
      <w:r>
        <w:t xml:space="preserve"> </w:t>
      </w:r>
      <w:r>
        <w:t xml:space="preserve">what licenses interpreting the renal and glioma positives as real morphological</w:t>
      </w:r>
      <w:r>
        <w:t xml:space="preserve"> </w:t>
      </w:r>
      <w:r>
        <w:t xml:space="preserve">signal rather than leakage or over-fitting.</w:t>
      </w:r>
    </w:p>
    <w:p>
      <w:pPr>
        <w:pStyle w:val="BodyText"/>
        <w:spacing w:line="480" w:lineRule="auto"/>
        <w:ind w:firstLine="432"/>
        <w:jc w:val="both"/>
      </w:pPr>
      <w:r>
        <w:rPr>
          <w:b/>
        </w:rPr>
        <w:t xml:space="preserve">Note S2 — Segmentation and site effects.</w:t>
      </w:r>
      <w:r>
        <w:t xml:space="preserve"> </w:t>
      </w:r>
      <w:r>
        <w:t xml:space="preserve">The hematoxylin-Otsu/watershed</w:t>
      </w:r>
      <w:r>
        <w:t xml:space="preserve"> </w:t>
      </w:r>
      <w:r>
        <w:t xml:space="preserve">segmentation is an unvalidated default (no expert annotation); the study claims</w:t>
      </w:r>
      <w:r>
        <w:t xml:space="preserve"> </w:t>
      </w:r>
      <w:r>
        <w:t xml:space="preserve">feasibility of morphometry-to-molecular-class prediction, not segmentation</w:t>
      </w:r>
      <w:r>
        <w:t xml:space="preserve"> </w:t>
      </w:r>
      <w:r>
        <w:t xml:space="preserve">accuracy. TCGA tissue-source-site/scanner variation is a known morphometric</w:t>
      </w:r>
      <w:r>
        <w:t xml:space="preserve"> </w:t>
      </w:r>
      <w:r>
        <w:t xml:space="preserve">confounder; patient-level grouping prevents same-patient leakage but does not</w:t>
      </w:r>
      <w:r>
        <w:t xml:space="preserve"> </w:t>
      </w:r>
      <w:r>
        <w:t xml:space="preserve">adjust for site, which follow-up work should address explicitly.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pPr>
      <w:spacing w:before="180" w:after="180"/>
    </w:pPr>
    <w:qFormat/>
    <w:rPr>
      <w:rFonts w:ascii="Times New Roman" w:hAnsi="Times New Roman"/>
    </w:rPr>
  </w:style>
  <w:style w:type="paragraph" w:customStyle="1" w:styleId="FirstParagraph">
    <w:name w:val="First Paragraph"/>
    <w:basedOn w:val="BodyText"/>
    <w:next w:val="BodyText"/>
    <w:qFormat/>
    <w:rPr>
      <w:rFonts w:ascii="Times New Roman" w:hAnsi="Times New Roman"/>
    </w:rPr>
  </w:style>
  <w:style w:type="paragraph" w:customStyle="1" w:styleId="Compact">
    <w:name w:val="Compact"/>
    <w:basedOn w:val="BodyText"/>
    <w:qFormat/>
    <w:pPr>
      <w:spacing w:before="36" w:after="36"/>
    </w:pPr>
    <w:rPr>
      <w:rFonts w:ascii="Times New Roman" w:hAnsi="Times New Roman"/>
    </w:r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rFonts w:ascii="Times New Roman" w:hAnsi="Times New Roman"/>
      <w:color w:val="000000"/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  <w:rPr>
      <w:rFonts w:ascii="Times New Roman" w:hAnsi="Times New Roman"/>
      <w:color w:val="000000"/>
    </w:rPr>
  </w:style>
  <w:style w:type="paragraph" w:styleId="Date">
    <w:name w:val="Date"/>
    <w:next w:val="BodyText"/>
    <w:qFormat/>
    <w:pPr>
      <w:keepNext/>
      <w:keepLines/>
      <w:jc w:val="center"/>
    </w:pPr>
    <w:rPr>
      <w:rFonts w:ascii="Times New Roman" w:hAnsi="Times New Roman"/>
      <w:color w:val="00000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rFonts w:ascii="Times New Roman" w:hAnsi="Times New Roman"/>
      <w:sz w:val="20"/>
      <w:szCs w:val="20"/>
    </w:rPr>
  </w:style>
  <w:style w:type="paragraph" w:styleId="Bibliography">
    <w:name w:val="Bibliography"/>
    <w:basedOn w:val="Normal"/>
    <w:next w:val="Bibliography"/>
    <w:qFormat/>
    <w:pPr/>
    <w:rPr>
      <w:rFonts w:ascii="Times New Roman" w:hAnsi="Times New Roman"/>
    </w:rPr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000000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Times New Roman" w:hAnsi="Times New Roman"/>
      <w:i/>
      <w:bCs/>
      <w:color w:val="000000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Times New Roman" w:hAnsi="Times New Roman"/>
      <w:iCs/>
      <w:color w:val="000000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Times New Roman" w:hAnsi="Times New Roman"/>
      <w:color w:val="000000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Times New Roman" w:hAnsi="Times New Roman"/>
      <w:color w:val="000000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Times New Roman" w:hAnsi="Times New Roman"/>
      <w:color w:val="000000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Times New Roman" w:hAnsi="Times New Roman"/>
      <w:color w:val="000000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  <w:rPr>
      <w:rFonts w:ascii="Times New Roman" w:hAnsi="Times New Roman"/>
    </w:rPr>
  </w:style>
  <w:style w:type="paragraph" w:styleId="FootnoteText">
    <w:name w:val="Footnote Text"/>
    <w:basedOn w:val="Normal"/>
    <w:next w:val="FootnoteText"/>
    <w:uiPriority w:val="9"/>
    <w:unhideWhenUsed/>
    <w:qFormat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  <w:rPr>
      <w:rFonts w:ascii="Times New Roman" w:hAnsi="Times New Roman"/>
    </w:rPr>
  </w:style>
  <w:style w:type="table" w:default="1" w:styleId="Table">
    <w:name w:val="Table"/>
    <w:basedOn w:val="TableNormal"/>
    <w:semiHidden/>
    <w:unhideWhenUsed/>
    <w:qFormat/>
    <w:rPr>
      <w:rFonts w:ascii="Times New Roman" w:hAnsi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/>
      <w:b/>
    </w:rPr>
  </w:style>
  <w:style w:type="paragraph" w:customStyle="1" w:styleId="Definition">
    <w:name w:val="Definition"/>
    <w:basedOn w:val="Normal"/>
    <w:rPr>
      <w:rFonts w:ascii="Times New Roman" w:hAnsi="Times New Roman"/>
    </w:rPr>
  </w:style>
  <w:style w:type="paragraph" w:styleId="Caption">
    <w:name w:val="Caption"/>
    <w:basedOn w:val="Normal"/>
    <w:link w:val="BodyTextChar"/>
    <w:pPr>
      <w:spacing w:before="0" w:after="120"/>
    </w:pPr>
    <w:rPr>
      <w:rFonts w:ascii="Times New Roman" w:hAnsi="Times New Roman"/>
      <w:i/>
    </w:rPr>
  </w:style>
  <w:style w:type="paragraph" w:customStyle="1" w:styleId="TableCaption">
    <w:name w:val="Table Caption"/>
    <w:basedOn w:val="Caption"/>
    <w:pPr>
      <w:keepNext/>
    </w:pPr>
    <w:rPr>
      <w:rFonts w:ascii="Times New Roman" w:hAnsi="Times New Roman"/>
    </w:rPr>
  </w:style>
  <w:style w:type="paragraph" w:customStyle="1" w:styleId="ImageCaption">
    <w:name w:val="Image Caption"/>
    <w:basedOn w:val="Caption"/>
    <w:rPr>
      <w:rFonts w:ascii="Times New Roman" w:hAnsi="Times New Roman"/>
    </w:rPr>
  </w:style>
  <w:style w:type="paragraph" w:customStyle="1" w:styleId="Figure">
    <w:name w:val="Figure"/>
    <w:basedOn w:val="Normal"/>
    <w:rPr>
      <w:rFonts w:ascii="Times New Roman" w:hAnsi="Times New Roman"/>
    </w:rPr>
  </w:style>
  <w:style w:type="paragraph" w:customStyle="1" w:styleId="CaptionedFigure">
    <w:name w:val="Captioned Figure"/>
    <w:basedOn w:val="Figure"/>
    <w:pPr>
      <w:keepNext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rPr>
      <w:rFonts w:ascii="Times New Roman" w:hAnsi="Times New Roman"/>
    </w:rPr>
  </w:style>
  <w:style w:type="character" w:customStyle="1" w:styleId="VerbatimChar">
    <w:name w:val="Verbatim Char"/>
    <w:basedOn w:val="BodyTextChar"/>
    <w:rPr>
      <w:rFonts w:ascii="Times New Roman" w:hAnsi="Times New Roman"/>
      <w:sz w:val="22"/>
    </w:rPr>
  </w:style>
  <w:style w:type="character" w:styleId="FootnoteReference">
    <w:name w:val="Footnote Reference"/>
    <w:basedOn w:val="BodyTextChar"/>
    <w:rPr>
      <w:rFonts w:ascii="Times New Roman" w:hAnsi="Times New Roman"/>
      <w:vertAlign w:val="superscript"/>
    </w:rPr>
  </w:style>
  <w:style w:type="character" w:styleId="Hyperlink">
    <w:name w:val="Hyperlink"/>
    <w:basedOn w:val="BodyTextChar"/>
    <w:rPr>
      <w:rFonts w:ascii="Times New Roman" w:hAnsi="Times New Roman"/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 w:ascii="Times New Roman" w:hAnsi="Times New Roman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Online Resource 1</dc:title>
  <dc:creator/>
  <cp:keywords/>
  <dcterms:created xsi:type="dcterms:W3CDTF">2026-08-07T06:41:21Z</dcterms:created>
  <dcterms:modified xsi:type="dcterms:W3CDTF">2026-08-07T06:41:21Z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