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A33" w:rsidRDefault="001E0A33" w:rsidP="001E0A33">
      <w:pPr>
        <w:shd w:val="clear" w:color="auto" w:fill="FFFFFF"/>
        <w:spacing w:after="240" w:line="240" w:lineRule="auto"/>
        <w:ind w:left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Supplementary </w:t>
      </w:r>
      <w:r w:rsidR="0027195E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Figures</w:t>
      </w:r>
      <w:bookmarkStart w:id="0" w:name="_GoBack"/>
      <w:bookmarkEnd w:id="0"/>
    </w:p>
    <w:p w:rsidR="001E0A33" w:rsidRPr="00F743E4" w:rsidRDefault="001E0A33" w:rsidP="001E0A33">
      <w:pPr>
        <w:shd w:val="clear" w:color="auto" w:fill="FFFFFF"/>
        <w:spacing w:after="240" w:line="240" w:lineRule="auto"/>
        <w:ind w:left="709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1E0A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Metaproteomic portrait of the gut microbiome in children with Down syndrome</w:t>
      </w:r>
      <w:r w:rsidRPr="00F743E4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(</w:t>
      </w:r>
      <w:r w:rsidRPr="001E0A33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Marzano Valeria</w:t>
      </w:r>
      <w:r w:rsidRPr="00F74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 xml:space="preserve"> </w:t>
      </w:r>
      <w:r w:rsidRPr="00F743E4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et al.)</w:t>
      </w:r>
      <w:r w:rsidRPr="00F743E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 xml:space="preserve">. </w:t>
      </w:r>
    </w:p>
    <w:p w:rsidR="00F743E4" w:rsidRPr="00F743E4" w:rsidRDefault="00F743E4" w:rsidP="00F743E4">
      <w:pPr>
        <w:spacing w:before="24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743E4"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Supplementary Figure 1.</w:t>
      </w:r>
      <w:r w:rsidRPr="00F743E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Scatter plot graphs of quantified extracted proteins (panel A), and purified peptides (panel B). from stools of children with Down Syndrome (DS). Mean values are evidenced as black bar</w:t>
      </w:r>
    </w:p>
    <w:p w:rsidR="00A77073" w:rsidRDefault="00F743E4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C42935F">
            <wp:extent cx="5636525" cy="1895475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933" cy="189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43E4" w:rsidRDefault="00F743E4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87018" w:rsidRDefault="00F87018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87018" w:rsidRDefault="00F87018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743E4" w:rsidRPr="00F743E4" w:rsidRDefault="00F743E4" w:rsidP="00F743E4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val="en-US"/>
        </w:rPr>
      </w:pPr>
      <w:r w:rsidRPr="00F743E4">
        <w:rPr>
          <w:rFonts w:ascii="Times New Roman" w:eastAsia="Calibri" w:hAnsi="Times New Roman" w:cs="Times New Roman"/>
          <w:b/>
          <w:sz w:val="20"/>
          <w:lang w:val="en-US"/>
        </w:rPr>
        <w:t>Supplementary Figure 2.</w:t>
      </w:r>
      <w:r w:rsidRPr="00F743E4">
        <w:rPr>
          <w:rFonts w:ascii="Times New Roman" w:eastAsia="Calibri" w:hAnsi="Times New Roman" w:cs="Times New Roman"/>
          <w:sz w:val="20"/>
          <w:lang w:val="en-US"/>
        </w:rPr>
        <w:t xml:space="preserve"> Relative distribution (%) of the three major phyla associated with differentially expressed Protein Groups across three stratification strategies: (A) presence/absence of autoimmune thyroid disease; (B) immunological diseases; and (C) behavioral disorders. Upper and lower panels represent age group 1 and age group 2, respectively.</w:t>
      </w:r>
    </w:p>
    <w:p w:rsidR="00F743E4" w:rsidRDefault="00F743E4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CEE2133">
            <wp:extent cx="3194685" cy="4354534"/>
            <wp:effectExtent l="0" t="0" r="5715" b="825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73" cy="4362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018" w:rsidRDefault="00F87018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87018" w:rsidRPr="00F87018" w:rsidRDefault="00F87018" w:rsidP="00F87018">
      <w:pPr>
        <w:spacing w:before="240" w:after="240" w:line="240" w:lineRule="auto"/>
        <w:jc w:val="center"/>
        <w:rPr>
          <w:rFonts w:ascii="Times New Roman" w:eastAsia="Calibri" w:hAnsi="Times New Roman" w:cs="Times New Roman"/>
          <w:sz w:val="20"/>
          <w:lang w:val="en-US"/>
        </w:rPr>
      </w:pPr>
      <w:bookmarkStart w:id="1" w:name="_Hlk217402465"/>
      <w:r w:rsidRPr="00F87018">
        <w:rPr>
          <w:rFonts w:ascii="Times New Roman" w:eastAsia="Calibri" w:hAnsi="Times New Roman" w:cs="Times New Roman"/>
          <w:b/>
          <w:sz w:val="20"/>
          <w:lang w:val="en-US"/>
        </w:rPr>
        <w:lastRenderedPageBreak/>
        <w:t>Supplementary Figure 3.</w:t>
      </w:r>
      <w:r w:rsidRPr="00F87018">
        <w:rPr>
          <w:rFonts w:ascii="Times New Roman" w:eastAsia="Calibri" w:hAnsi="Times New Roman" w:cs="Times New Roman"/>
          <w:sz w:val="20"/>
          <w:lang w:val="en-US"/>
        </w:rPr>
        <w:t xml:space="preserve"> Cluster analyses were conducted on differentially expressed KEGG pathways that were associated with the </w:t>
      </w:r>
      <w:bookmarkEnd w:id="1"/>
      <w:r w:rsidRPr="00F87018">
        <w:rPr>
          <w:rFonts w:ascii="Times New Roman" w:eastAsia="Calibri" w:hAnsi="Times New Roman" w:cs="Times New Roman"/>
          <w:sz w:val="20"/>
          <w:lang w:val="en-US"/>
        </w:rPr>
        <w:t>identified bacterial protein groups (PGs) found in stool samples from patients with DS</w:t>
      </w:r>
      <w:r w:rsidRPr="00F87018">
        <w:rPr>
          <w:rFonts w:ascii="Calibri" w:eastAsia="Calibri" w:hAnsi="Calibri" w:cs="Times New Roman"/>
          <w:sz w:val="20"/>
          <w:lang w:val="en-US"/>
        </w:rPr>
        <w:t xml:space="preserve"> </w:t>
      </w:r>
      <w:r w:rsidRPr="00F87018">
        <w:rPr>
          <w:rFonts w:ascii="Times New Roman" w:eastAsia="Calibri" w:hAnsi="Times New Roman" w:cs="Times New Roman"/>
          <w:sz w:val="20"/>
          <w:lang w:val="en-US"/>
        </w:rPr>
        <w:t>with or without autoimmune thyroid diseases. The color coding of orange and blue denotes over-expressed and under-expressed KEGG pathways in the presence of the diseases/disorders, respectively. The mean intensity abundance of PGs with the same KEGG pathways for each sample was calculated. Statistically significant pathways were then identified by computing a Mann-Whitney</w:t>
      </w:r>
      <w:r w:rsidRPr="00F87018">
        <w:rPr>
          <w:rFonts w:ascii="Times New Roman" w:eastAsia="Calibri" w:hAnsi="Times New Roman" w:cs="Times New Roman"/>
          <w:i/>
          <w:sz w:val="20"/>
          <w:lang w:val="en-US"/>
        </w:rPr>
        <w:t xml:space="preserve"> </w:t>
      </w:r>
      <w:r w:rsidRPr="00F87018">
        <w:rPr>
          <w:rFonts w:ascii="Times New Roman" w:eastAsia="Calibri" w:hAnsi="Times New Roman" w:cs="Times New Roman"/>
          <w:sz w:val="20"/>
          <w:lang w:val="en-US"/>
        </w:rPr>
        <w:t>test and adjusted</w:t>
      </w:r>
      <w:r w:rsidRPr="00F87018">
        <w:rPr>
          <w:rFonts w:ascii="Times New Roman" w:eastAsia="Calibri" w:hAnsi="Times New Roman" w:cs="Times New Roman"/>
          <w:i/>
          <w:sz w:val="20"/>
          <w:lang w:val="en-US"/>
        </w:rPr>
        <w:t xml:space="preserve"> p</w:t>
      </w:r>
      <w:r w:rsidRPr="00F87018">
        <w:rPr>
          <w:rFonts w:ascii="Times New Roman" w:eastAsia="Calibri" w:hAnsi="Times New Roman" w:cs="Times New Roman"/>
          <w:sz w:val="20"/>
          <w:lang w:val="en-US"/>
        </w:rPr>
        <w:t xml:space="preserve">-value for false discovery rate (using </w:t>
      </w:r>
      <w:proofErr w:type="spellStart"/>
      <w:r w:rsidRPr="00F87018">
        <w:rPr>
          <w:rFonts w:ascii="Times New Roman" w:eastAsia="Calibri" w:hAnsi="Times New Roman" w:cs="Times New Roman"/>
          <w:sz w:val="20"/>
          <w:lang w:val="en-US"/>
        </w:rPr>
        <w:t>Benjamini</w:t>
      </w:r>
      <w:proofErr w:type="spellEnd"/>
      <w:r w:rsidRPr="00F87018">
        <w:rPr>
          <w:rFonts w:ascii="Times New Roman" w:eastAsia="Calibri" w:hAnsi="Times New Roman" w:cs="Times New Roman"/>
          <w:sz w:val="20"/>
          <w:lang w:val="en-US"/>
        </w:rPr>
        <w:t>-Hochberg correction for independent or positively correlated tests). For the number of KEGG pathways, their regulation, and associations with PGs, please refer to the Supplementary File 4.</w:t>
      </w:r>
    </w:p>
    <w:p w:rsidR="00F87018" w:rsidRDefault="00F87018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3FE7914">
            <wp:extent cx="3994785" cy="7642952"/>
            <wp:effectExtent l="0" t="0" r="571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592" cy="764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018" w:rsidRPr="00F87018" w:rsidRDefault="00F87018" w:rsidP="00F87018">
      <w:pPr>
        <w:spacing w:before="240" w:after="240" w:line="240" w:lineRule="auto"/>
        <w:jc w:val="center"/>
        <w:rPr>
          <w:rFonts w:ascii="Times New Roman" w:eastAsia="Calibri" w:hAnsi="Times New Roman" w:cs="Times New Roman"/>
          <w:sz w:val="20"/>
          <w:lang w:val="en-US"/>
        </w:rPr>
      </w:pPr>
      <w:r w:rsidRPr="00F87018">
        <w:rPr>
          <w:rFonts w:ascii="Times New Roman" w:eastAsia="Calibri" w:hAnsi="Times New Roman" w:cs="Times New Roman"/>
          <w:b/>
          <w:sz w:val="20"/>
          <w:lang w:val="en-US"/>
        </w:rPr>
        <w:lastRenderedPageBreak/>
        <w:t>Supplementary Figure 4.</w:t>
      </w:r>
      <w:r w:rsidRPr="00F87018">
        <w:rPr>
          <w:rFonts w:ascii="Times New Roman" w:eastAsia="Calibri" w:hAnsi="Times New Roman" w:cs="Times New Roman"/>
          <w:sz w:val="20"/>
          <w:lang w:val="en-US"/>
        </w:rPr>
        <w:t xml:space="preserve"> Cluster analyses were conducted on differentially expressed KEGG pathways that were associated with the identified bacterial protein groups (PGs) found in stool samples from patients with DS</w:t>
      </w:r>
      <w:r w:rsidRPr="00F87018">
        <w:rPr>
          <w:rFonts w:ascii="Calibri" w:eastAsia="Calibri" w:hAnsi="Calibri" w:cs="Times New Roman"/>
          <w:sz w:val="20"/>
          <w:lang w:val="en-US"/>
        </w:rPr>
        <w:t xml:space="preserve"> </w:t>
      </w:r>
      <w:r w:rsidRPr="00F87018">
        <w:rPr>
          <w:rFonts w:ascii="Times New Roman" w:eastAsia="Calibri" w:hAnsi="Times New Roman" w:cs="Times New Roman"/>
          <w:sz w:val="20"/>
          <w:lang w:val="en-US"/>
        </w:rPr>
        <w:t>with or without immune-related comorbidities. The color coding of orange and blue denotes over-expressed and under-expressed KEGG pathways in the presence of the diseases/disorders, respectively. The mean intensity abundance of PGs with the same KEGG pathways for each sample was calculated. Statistically significant pathways were then identified by computing a Mann-Whitney</w:t>
      </w:r>
      <w:r w:rsidRPr="00F87018">
        <w:rPr>
          <w:rFonts w:ascii="Times New Roman" w:eastAsia="Calibri" w:hAnsi="Times New Roman" w:cs="Times New Roman"/>
          <w:i/>
          <w:sz w:val="20"/>
          <w:lang w:val="en-US"/>
        </w:rPr>
        <w:t xml:space="preserve"> </w:t>
      </w:r>
      <w:r w:rsidRPr="00F87018">
        <w:rPr>
          <w:rFonts w:ascii="Times New Roman" w:eastAsia="Calibri" w:hAnsi="Times New Roman" w:cs="Times New Roman"/>
          <w:sz w:val="20"/>
          <w:lang w:val="en-US"/>
        </w:rPr>
        <w:t>test and adjusted</w:t>
      </w:r>
      <w:r w:rsidRPr="00F87018">
        <w:rPr>
          <w:rFonts w:ascii="Times New Roman" w:eastAsia="Calibri" w:hAnsi="Times New Roman" w:cs="Times New Roman"/>
          <w:i/>
          <w:sz w:val="20"/>
          <w:lang w:val="en-US"/>
        </w:rPr>
        <w:t xml:space="preserve"> p</w:t>
      </w:r>
      <w:r w:rsidRPr="00F87018">
        <w:rPr>
          <w:rFonts w:ascii="Times New Roman" w:eastAsia="Calibri" w:hAnsi="Times New Roman" w:cs="Times New Roman"/>
          <w:sz w:val="20"/>
          <w:lang w:val="en-US"/>
        </w:rPr>
        <w:t xml:space="preserve">-value for false discovery rate (using </w:t>
      </w:r>
      <w:proofErr w:type="spellStart"/>
      <w:r w:rsidRPr="00F87018">
        <w:rPr>
          <w:rFonts w:ascii="Times New Roman" w:eastAsia="Calibri" w:hAnsi="Times New Roman" w:cs="Times New Roman"/>
          <w:sz w:val="20"/>
          <w:lang w:val="en-US"/>
        </w:rPr>
        <w:t>Benjamini</w:t>
      </w:r>
      <w:proofErr w:type="spellEnd"/>
      <w:r w:rsidRPr="00F87018">
        <w:rPr>
          <w:rFonts w:ascii="Times New Roman" w:eastAsia="Calibri" w:hAnsi="Times New Roman" w:cs="Times New Roman"/>
          <w:sz w:val="20"/>
          <w:lang w:val="en-US"/>
        </w:rPr>
        <w:t>-Hochberg correction for independent or positively correlated tests). For the number of KEGG pathways, their regulation, and associations with PGs, please refer to the Supplementary File 4.</w:t>
      </w:r>
    </w:p>
    <w:p w:rsidR="00F87018" w:rsidRDefault="00F87018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5AEBD56">
            <wp:extent cx="4068445" cy="7614908"/>
            <wp:effectExtent l="0" t="0" r="8255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49" cy="7623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7018" w:rsidRPr="00F87018" w:rsidRDefault="00F87018" w:rsidP="00F87018">
      <w:pPr>
        <w:spacing w:before="240" w:after="240" w:line="240" w:lineRule="auto"/>
        <w:jc w:val="center"/>
        <w:rPr>
          <w:rFonts w:ascii="Times New Roman" w:eastAsia="Calibri" w:hAnsi="Times New Roman" w:cs="Times New Roman"/>
          <w:sz w:val="20"/>
          <w:lang w:val="en-US"/>
        </w:rPr>
      </w:pPr>
      <w:r w:rsidRPr="00F87018">
        <w:rPr>
          <w:rFonts w:ascii="Times New Roman" w:eastAsia="Calibri" w:hAnsi="Times New Roman" w:cs="Times New Roman"/>
          <w:b/>
          <w:sz w:val="20"/>
          <w:lang w:val="en-US"/>
        </w:rPr>
        <w:lastRenderedPageBreak/>
        <w:t>Supplementary Figure 5.</w:t>
      </w:r>
      <w:r w:rsidRPr="00F87018">
        <w:rPr>
          <w:rFonts w:ascii="Times New Roman" w:eastAsia="Calibri" w:hAnsi="Times New Roman" w:cs="Times New Roman"/>
          <w:sz w:val="20"/>
          <w:lang w:val="en-US"/>
        </w:rPr>
        <w:t xml:space="preserve"> Cluster analyses were conducted on differentially expressed KEGG pathways that were associated with the identified bacterial protein groups (PGs) found in stool samples from patients with DS</w:t>
      </w:r>
      <w:r w:rsidRPr="00F87018">
        <w:rPr>
          <w:rFonts w:ascii="Calibri" w:eastAsia="Calibri" w:hAnsi="Calibri" w:cs="Times New Roman"/>
          <w:sz w:val="20"/>
          <w:lang w:val="en-US"/>
        </w:rPr>
        <w:t xml:space="preserve"> </w:t>
      </w:r>
      <w:r w:rsidRPr="00F87018">
        <w:rPr>
          <w:rFonts w:ascii="Times New Roman" w:eastAsia="Calibri" w:hAnsi="Times New Roman" w:cs="Times New Roman"/>
          <w:sz w:val="20"/>
          <w:lang w:val="en-US"/>
        </w:rPr>
        <w:t>with or without immune-related comorbidities. The color coding of orange and blue denotes over-expressed and under-expressed KEGG pathways in the presence of the diseases/disorders, respectively. The mean intensity abundance of PGs with the same KEGG pathways for each sample was calculated. Statistically significant pathways were then identified by computing a Mann-Whitney</w:t>
      </w:r>
      <w:r w:rsidRPr="00F87018">
        <w:rPr>
          <w:rFonts w:ascii="Times New Roman" w:eastAsia="Calibri" w:hAnsi="Times New Roman" w:cs="Times New Roman"/>
          <w:i/>
          <w:sz w:val="20"/>
          <w:lang w:val="en-US"/>
        </w:rPr>
        <w:t xml:space="preserve"> </w:t>
      </w:r>
      <w:r w:rsidRPr="00F87018">
        <w:rPr>
          <w:rFonts w:ascii="Times New Roman" w:eastAsia="Calibri" w:hAnsi="Times New Roman" w:cs="Times New Roman"/>
          <w:sz w:val="20"/>
          <w:lang w:val="en-US"/>
        </w:rPr>
        <w:t>test and adjusted</w:t>
      </w:r>
      <w:r w:rsidRPr="00F87018">
        <w:rPr>
          <w:rFonts w:ascii="Times New Roman" w:eastAsia="Calibri" w:hAnsi="Times New Roman" w:cs="Times New Roman"/>
          <w:i/>
          <w:sz w:val="20"/>
          <w:lang w:val="en-US"/>
        </w:rPr>
        <w:t xml:space="preserve"> p</w:t>
      </w:r>
      <w:r w:rsidRPr="00F87018">
        <w:rPr>
          <w:rFonts w:ascii="Times New Roman" w:eastAsia="Calibri" w:hAnsi="Times New Roman" w:cs="Times New Roman"/>
          <w:sz w:val="20"/>
          <w:lang w:val="en-US"/>
        </w:rPr>
        <w:t xml:space="preserve">-value for false discovery rate (using </w:t>
      </w:r>
      <w:proofErr w:type="spellStart"/>
      <w:r w:rsidRPr="00F87018">
        <w:rPr>
          <w:rFonts w:ascii="Times New Roman" w:eastAsia="Calibri" w:hAnsi="Times New Roman" w:cs="Times New Roman"/>
          <w:sz w:val="20"/>
          <w:lang w:val="en-US"/>
        </w:rPr>
        <w:t>Benjamini</w:t>
      </w:r>
      <w:proofErr w:type="spellEnd"/>
      <w:r w:rsidRPr="00F87018">
        <w:rPr>
          <w:rFonts w:ascii="Times New Roman" w:eastAsia="Calibri" w:hAnsi="Times New Roman" w:cs="Times New Roman"/>
          <w:sz w:val="20"/>
          <w:lang w:val="en-US"/>
        </w:rPr>
        <w:t>-Hochberg correction for independent or positively correlated tests). For the number of KEGG pathways, their regulation, and associations with PGs, please refer to the Supplementary File 4.</w:t>
      </w:r>
    </w:p>
    <w:p w:rsidR="00F87018" w:rsidRPr="00F743E4" w:rsidRDefault="00F87018" w:rsidP="00F743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0A9C6EC">
            <wp:extent cx="4009390" cy="766002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794" cy="7668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7018" w:rsidRPr="00F743E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B8B" w:rsidRDefault="00CD5B8B" w:rsidP="00F87018">
      <w:pPr>
        <w:spacing w:after="0" w:line="240" w:lineRule="auto"/>
      </w:pPr>
      <w:r>
        <w:separator/>
      </w:r>
    </w:p>
  </w:endnote>
  <w:endnote w:type="continuationSeparator" w:id="0">
    <w:p w:rsidR="00CD5B8B" w:rsidRDefault="00CD5B8B" w:rsidP="00F8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30496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87018" w:rsidRDefault="00F87018">
        <w:pPr>
          <w:pStyle w:val="Pidipagina"/>
          <w:jc w:val="center"/>
        </w:pPr>
        <w:r w:rsidRPr="00F87018">
          <w:rPr>
            <w:rFonts w:ascii="Times New Roman" w:hAnsi="Times New Roman" w:cs="Times New Roman"/>
          </w:rPr>
          <w:fldChar w:fldCharType="begin"/>
        </w:r>
        <w:r w:rsidRPr="00F87018">
          <w:rPr>
            <w:rFonts w:ascii="Times New Roman" w:hAnsi="Times New Roman" w:cs="Times New Roman"/>
          </w:rPr>
          <w:instrText>PAGE   \* MERGEFORMAT</w:instrText>
        </w:r>
        <w:r w:rsidRPr="00F87018">
          <w:rPr>
            <w:rFonts w:ascii="Times New Roman" w:hAnsi="Times New Roman" w:cs="Times New Roman"/>
          </w:rPr>
          <w:fldChar w:fldCharType="separate"/>
        </w:r>
        <w:r w:rsidRPr="00F87018">
          <w:rPr>
            <w:rFonts w:ascii="Times New Roman" w:hAnsi="Times New Roman" w:cs="Times New Roman"/>
          </w:rPr>
          <w:t>2</w:t>
        </w:r>
        <w:r w:rsidRPr="00F87018">
          <w:rPr>
            <w:rFonts w:ascii="Times New Roman" w:hAnsi="Times New Roman" w:cs="Times New Roman"/>
          </w:rPr>
          <w:fldChar w:fldCharType="end"/>
        </w:r>
      </w:p>
    </w:sdtContent>
  </w:sdt>
  <w:p w:rsidR="00F87018" w:rsidRDefault="00F870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B8B" w:rsidRDefault="00CD5B8B" w:rsidP="00F87018">
      <w:pPr>
        <w:spacing w:after="0" w:line="240" w:lineRule="auto"/>
      </w:pPr>
      <w:r>
        <w:separator/>
      </w:r>
    </w:p>
  </w:footnote>
  <w:footnote w:type="continuationSeparator" w:id="0">
    <w:p w:rsidR="00CD5B8B" w:rsidRDefault="00CD5B8B" w:rsidP="00F87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33"/>
    <w:rsid w:val="001E0A33"/>
    <w:rsid w:val="0027195E"/>
    <w:rsid w:val="00A77073"/>
    <w:rsid w:val="00CD5B8B"/>
    <w:rsid w:val="00CF4655"/>
    <w:rsid w:val="00F15351"/>
    <w:rsid w:val="00F743E4"/>
    <w:rsid w:val="00F8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9FACA6"/>
  <w15:chartTrackingRefBased/>
  <w15:docId w15:val="{13D35E9C-B57E-4210-B581-2D48A108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15351"/>
  </w:style>
  <w:style w:type="paragraph" w:styleId="Titolo1">
    <w:name w:val="heading 1"/>
    <w:basedOn w:val="Normale"/>
    <w:next w:val="Normale"/>
    <w:link w:val="Titolo1Carattere"/>
    <w:uiPriority w:val="9"/>
    <w:qFormat/>
    <w:rsid w:val="00F1535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535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53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5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53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53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53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53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535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53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535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535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535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535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535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535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535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15351"/>
    <w:pPr>
      <w:spacing w:line="240" w:lineRule="auto"/>
    </w:pPr>
    <w:rPr>
      <w:b/>
      <w:bCs/>
      <w:smallCaps/>
      <w:color w:val="44546A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535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F1535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53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535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F15351"/>
    <w:rPr>
      <w:b/>
      <w:bCs/>
    </w:rPr>
  </w:style>
  <w:style w:type="character" w:styleId="Enfasicorsivo">
    <w:name w:val="Emphasis"/>
    <w:basedOn w:val="Carpredefinitoparagrafo"/>
    <w:uiPriority w:val="20"/>
    <w:qFormat/>
    <w:rsid w:val="00F15351"/>
    <w:rPr>
      <w:i/>
      <w:iCs/>
    </w:rPr>
  </w:style>
  <w:style w:type="paragraph" w:styleId="Nessunaspaziatura">
    <w:name w:val="No Spacing"/>
    <w:uiPriority w:val="1"/>
    <w:qFormat/>
    <w:rsid w:val="00F1535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1535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5351"/>
    <w:rPr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535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535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F1535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F1535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F1535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F15351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F1535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15351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F870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018"/>
  </w:style>
  <w:style w:type="paragraph" w:styleId="Pidipagina">
    <w:name w:val="footer"/>
    <w:basedOn w:val="Normale"/>
    <w:link w:val="PidipaginaCarattere"/>
    <w:uiPriority w:val="99"/>
    <w:unhideWhenUsed/>
    <w:rsid w:val="00F870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Marzano Valeria</dc:creator>
  <cp:keywords/>
  <dc:description/>
  <cp:lastModifiedBy>Marzano Valeria</cp:lastModifiedBy>
  <cp:revision>4</cp:revision>
  <dcterms:created xsi:type="dcterms:W3CDTF">2026-08-04T11:24:00Z</dcterms:created>
  <dcterms:modified xsi:type="dcterms:W3CDTF">2026-08-04T11:51:00Z</dcterms:modified>
</cp:coreProperties>
</file>