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958" w:rsidRDefault="003E2BD5">
      <w:pPr>
        <w:pStyle w:val="2"/>
        <w:numPr>
          <w:ilvl w:val="0"/>
          <w:numId w:val="0"/>
        </w:numPr>
        <w:adjustRightInd w:val="0"/>
        <w:snapToGrid w:val="0"/>
        <w:spacing w:line="360" w:lineRule="auto"/>
        <w:ind w:right="400"/>
        <w:jc w:val="both"/>
        <w:rPr>
          <w:color w:val="000000" w:themeColor="text1"/>
          <w:kern w:val="0"/>
          <w:sz w:val="36"/>
          <w:szCs w:val="22"/>
        </w:rPr>
      </w:pPr>
      <w:r>
        <w:rPr>
          <w:b/>
          <w:color w:val="000000" w:themeColor="text1"/>
          <w:sz w:val="36"/>
          <w:szCs w:val="36"/>
        </w:rPr>
        <w:t>Supporting</w:t>
      </w:r>
      <w:r>
        <w:rPr>
          <w:rFonts w:hint="eastAsia"/>
          <w:b/>
          <w:color w:val="000000" w:themeColor="text1"/>
          <w:sz w:val="36"/>
          <w:szCs w:val="36"/>
        </w:rPr>
        <w:t xml:space="preserve"> Information</w:t>
      </w:r>
    </w:p>
    <w:p w:rsidR="00656958" w:rsidRDefault="003E2BD5">
      <w:pPr>
        <w:pStyle w:val="ab"/>
        <w:adjustRightInd w:val="0"/>
        <w:snapToGrid w:val="0"/>
        <w:spacing w:before="0" w:after="0"/>
        <w:ind w:firstLineChars="0" w:firstLine="0"/>
      </w:pPr>
      <w:r>
        <w:t>Synthesis and Application in Cell Imaging of a Fluorescent Probe for Detection of Zn</w:t>
      </w:r>
      <w:r>
        <w:rPr>
          <w:vertAlign w:val="superscript"/>
        </w:rPr>
        <w:t>2+</w:t>
      </w:r>
      <w:r>
        <w:t>/S</w:t>
      </w:r>
      <w:r>
        <w:rPr>
          <w:vertAlign w:val="superscript"/>
        </w:rPr>
        <w:t>2-</w:t>
      </w:r>
      <w:r>
        <w:t xml:space="preserve"> and Viscosity</w:t>
      </w:r>
    </w:p>
    <w:p w:rsidR="00656958" w:rsidRDefault="003E2BD5">
      <w:pPr>
        <w:tabs>
          <w:tab w:val="left" w:pos="900"/>
        </w:tabs>
        <w:adjustRightInd w:val="0"/>
        <w:spacing w:line="360" w:lineRule="auto"/>
        <w:ind w:firstLineChars="0" w:firstLine="0"/>
        <w:jc w:val="center"/>
        <w:rPr>
          <w:color w:val="000000"/>
          <w:sz w:val="28"/>
          <w:szCs w:val="28"/>
          <w:vertAlign w:val="superscript"/>
        </w:rPr>
      </w:pPr>
      <w:proofErr w:type="spellStart"/>
      <w:r>
        <w:rPr>
          <w:rFonts w:hint="eastAsia"/>
          <w:color w:val="000000"/>
        </w:rPr>
        <w:t>Siyi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hint="eastAsia"/>
          <w:color w:val="000000"/>
        </w:rPr>
        <w:t>WEN</w:t>
      </w:r>
      <w:r>
        <w:rPr>
          <w:rFonts w:hint="eastAsia"/>
          <w:color w:val="000000"/>
          <w:vertAlign w:val="superscript"/>
        </w:rPr>
        <w:t>a</w:t>
      </w:r>
      <w:proofErr w:type="spellEnd"/>
      <w:r>
        <w:rPr>
          <w:color w:val="000000"/>
        </w:rPr>
        <w:t xml:space="preserve">, Yan </w:t>
      </w:r>
      <w:proofErr w:type="spellStart"/>
      <w:r>
        <w:rPr>
          <w:color w:val="000000"/>
        </w:rPr>
        <w:t>TANG</w:t>
      </w:r>
      <w:r>
        <w:rPr>
          <w:color w:val="000000"/>
          <w:vertAlign w:val="superscript"/>
        </w:rPr>
        <w:t>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Dingxin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QIU</w:t>
      </w:r>
      <w:r>
        <w:rPr>
          <w:color w:val="000000"/>
          <w:vertAlign w:val="superscript"/>
        </w:rPr>
        <w:t>a</w:t>
      </w:r>
      <w:proofErr w:type="spellEnd"/>
      <w:r>
        <w:rPr>
          <w:color w:val="000000"/>
        </w:rPr>
        <w:t xml:space="preserve">, </w:t>
      </w:r>
      <w:r>
        <w:rPr>
          <w:rFonts w:hint="eastAsia"/>
          <w:color w:val="000000"/>
        </w:rPr>
        <w:t>Gong</w:t>
      </w:r>
      <w:r>
        <w:rPr>
          <w:color w:val="000000"/>
        </w:rPr>
        <w:t xml:space="preserve"> </w:t>
      </w:r>
      <w:proofErr w:type="spellStart"/>
      <w:r>
        <w:rPr>
          <w:rFonts w:hint="eastAsia"/>
          <w:color w:val="000000"/>
        </w:rPr>
        <w:t>Chen</w:t>
      </w:r>
      <w:r>
        <w:rPr>
          <w:color w:val="000000"/>
          <w:sz w:val="28"/>
          <w:szCs w:val="28"/>
          <w:vertAlign w:val="superscript"/>
        </w:rPr>
        <w:t>b</w:t>
      </w:r>
      <w:proofErr w:type="spellEnd"/>
      <w:r>
        <w:rPr>
          <w:rFonts w:hint="eastAsia"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r>
        <w:rPr>
          <w:color w:val="000000"/>
          <w:vertAlign w:val="superscript"/>
        </w:rPr>
        <w:t>c</w:t>
      </w:r>
      <w:proofErr w:type="spellEnd"/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Huizhen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WANG</w:t>
      </w:r>
      <w:r>
        <w:rPr>
          <w:color w:val="000000"/>
          <w:vertAlign w:val="superscript"/>
        </w:rPr>
        <w:t>a</w:t>
      </w:r>
      <w:proofErr w:type="spellEnd"/>
      <w:r>
        <w:rPr>
          <w:color w:val="000000"/>
          <w:sz w:val="28"/>
          <w:szCs w:val="28"/>
          <w:vertAlign w:val="superscript"/>
        </w:rPr>
        <w:t>*</w:t>
      </w:r>
    </w:p>
    <w:p w:rsidR="00656958" w:rsidRDefault="003E2BD5" w:rsidP="0022587E">
      <w:pPr>
        <w:keepLines/>
        <w:kinsoku w:val="0"/>
        <w:autoSpaceDE w:val="0"/>
        <w:autoSpaceDN w:val="0"/>
        <w:adjustRightInd w:val="0"/>
        <w:spacing w:line="360" w:lineRule="auto"/>
        <w:ind w:firstLineChars="0" w:firstLine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a. School of Science, Asymmetric Synthesis and Chiral </w:t>
      </w:r>
      <w:proofErr w:type="gramStart"/>
      <w:r>
        <w:rPr>
          <w:color w:val="000000"/>
          <w:sz w:val="21"/>
          <w:szCs w:val="21"/>
        </w:rPr>
        <w:t>technology</w:t>
      </w:r>
      <w:proofErr w:type="gramEnd"/>
      <w:r>
        <w:rPr>
          <w:color w:val="000000"/>
          <w:sz w:val="21"/>
          <w:szCs w:val="21"/>
        </w:rPr>
        <w:t xml:space="preserve"> Key Laboratory of Sichuan</w:t>
      </w:r>
      <w:r w:rsidR="0022587E">
        <w:rPr>
          <w:rFonts w:hint="eastAsia"/>
          <w:color w:val="000000"/>
          <w:sz w:val="21"/>
          <w:szCs w:val="21"/>
        </w:rPr>
        <w:t xml:space="preserve"> </w:t>
      </w:r>
      <w:bookmarkStart w:id="0" w:name="_GoBack"/>
      <w:bookmarkEnd w:id="0"/>
      <w:r>
        <w:rPr>
          <w:color w:val="000000"/>
          <w:sz w:val="21"/>
          <w:szCs w:val="21"/>
        </w:rPr>
        <w:t>Province</w:t>
      </w:r>
      <w:r>
        <w:rPr>
          <w:rFonts w:hint="eastAsia"/>
          <w:color w:val="000000"/>
          <w:sz w:val="21"/>
          <w:szCs w:val="21"/>
        </w:rPr>
        <w:t>,</w:t>
      </w: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Xihua</w:t>
      </w:r>
      <w:proofErr w:type="spellEnd"/>
      <w:r>
        <w:rPr>
          <w:color w:val="000000"/>
          <w:sz w:val="21"/>
          <w:szCs w:val="21"/>
        </w:rPr>
        <w:t xml:space="preserve"> University, Chengdu 610039; P. R. China. E-mail: </w:t>
      </w:r>
      <w:hyperlink r:id="rId7" w:history="1">
        <w:r>
          <w:rPr>
            <w:rStyle w:val="a8"/>
            <w:sz w:val="21"/>
            <w:szCs w:val="21"/>
          </w:rPr>
          <w:t>578527840@qq.com</w:t>
        </w:r>
      </w:hyperlink>
    </w:p>
    <w:p w:rsidR="00656958" w:rsidRDefault="003E2BD5">
      <w:pPr>
        <w:kinsoku w:val="0"/>
        <w:autoSpaceDE w:val="0"/>
        <w:autoSpaceDN w:val="0"/>
        <w:adjustRightInd w:val="0"/>
        <w:spacing w:line="360" w:lineRule="auto"/>
        <w:ind w:firstLineChars="0" w:firstLine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b. College of Flight Technology, Civil Aviation Flight University of China</w:t>
      </w:r>
    </w:p>
    <w:p w:rsidR="00656958" w:rsidRDefault="003E2BD5">
      <w:pPr>
        <w:kinsoku w:val="0"/>
        <w:autoSpaceDE w:val="0"/>
        <w:autoSpaceDN w:val="0"/>
        <w:adjustRightInd w:val="0"/>
        <w:spacing w:line="360" w:lineRule="auto"/>
        <w:ind w:firstLineChars="0" w:firstLine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c. School of Resource </w:t>
      </w:r>
      <w:r>
        <w:rPr>
          <w:color w:val="000000"/>
          <w:sz w:val="21"/>
          <w:szCs w:val="21"/>
        </w:rPr>
        <w:t>and Environment, Aba Teachers College, Aba 623002, P. R. China. E-mail: 1107244969@qq.com</w:t>
      </w:r>
    </w:p>
    <w:p w:rsidR="00656958" w:rsidRDefault="003E2BD5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left"/>
        <w:rPr>
          <w:rFonts w:eastAsia="黑体"/>
          <w:color w:val="000000" w:themeColor="text1"/>
          <w:szCs w:val="20"/>
        </w:rPr>
      </w:pPr>
      <w:r>
        <w:rPr>
          <w:rFonts w:eastAsia="黑体"/>
          <w:color w:val="000000" w:themeColor="text1"/>
          <w:szCs w:val="20"/>
        </w:rPr>
        <w:t xml:space="preserve">1 </w:t>
      </w:r>
      <w:r>
        <w:rPr>
          <w:rFonts w:eastAsia="黑体" w:hint="eastAsia"/>
          <w:color w:val="000000" w:themeColor="text1"/>
          <w:szCs w:val="20"/>
        </w:rPr>
        <w:t>T</w:t>
      </w:r>
      <w:r>
        <w:rPr>
          <w:rFonts w:eastAsia="黑体"/>
          <w:color w:val="000000" w:themeColor="text1"/>
          <w:szCs w:val="20"/>
        </w:rPr>
        <w:t xml:space="preserve">he </w:t>
      </w:r>
      <w:r>
        <w:rPr>
          <w:rFonts w:eastAsia="黑体"/>
          <w:color w:val="000000" w:themeColor="text1"/>
          <w:szCs w:val="20"/>
          <w:vertAlign w:val="superscript"/>
        </w:rPr>
        <w:t>1</w:t>
      </w:r>
      <w:r>
        <w:rPr>
          <w:rFonts w:eastAsia="黑体"/>
          <w:color w:val="000000" w:themeColor="text1"/>
          <w:szCs w:val="20"/>
        </w:rPr>
        <w:t>H NMR</w:t>
      </w:r>
      <w:r>
        <w:rPr>
          <w:rFonts w:eastAsia="黑体"/>
          <w:color w:val="000000" w:themeColor="text1"/>
          <w:szCs w:val="20"/>
        </w:rPr>
        <w:t>、</w:t>
      </w:r>
      <w:r>
        <w:rPr>
          <w:rFonts w:eastAsia="黑体"/>
          <w:color w:val="000000" w:themeColor="text1"/>
          <w:szCs w:val="20"/>
          <w:vertAlign w:val="superscript"/>
        </w:rPr>
        <w:t>13</w:t>
      </w:r>
      <w:r>
        <w:rPr>
          <w:rFonts w:eastAsia="黑体"/>
          <w:color w:val="000000" w:themeColor="text1"/>
          <w:szCs w:val="20"/>
        </w:rPr>
        <w:t>C NMR</w:t>
      </w:r>
      <w:r>
        <w:rPr>
          <w:rFonts w:eastAsia="黑体"/>
          <w:color w:val="000000" w:themeColor="text1"/>
          <w:szCs w:val="20"/>
        </w:rPr>
        <w:t>、</w:t>
      </w:r>
      <w:r>
        <w:rPr>
          <w:rFonts w:eastAsia="黑体"/>
          <w:color w:val="000000" w:themeColor="text1"/>
          <w:szCs w:val="20"/>
        </w:rPr>
        <w:t>IR</w:t>
      </w:r>
      <w:r>
        <w:rPr>
          <w:rFonts w:eastAsia="黑体"/>
          <w:color w:val="000000" w:themeColor="text1"/>
          <w:szCs w:val="20"/>
        </w:rPr>
        <w:t>、</w:t>
      </w:r>
      <w:r>
        <w:rPr>
          <w:rFonts w:eastAsia="黑体"/>
          <w:color w:val="000000" w:themeColor="text1"/>
          <w:szCs w:val="20"/>
        </w:rPr>
        <w:t xml:space="preserve">HR-MS of </w:t>
      </w:r>
      <w:r>
        <w:rPr>
          <w:rFonts w:eastAsia="黑体" w:hint="eastAsia"/>
          <w:color w:val="000000" w:themeColor="text1"/>
          <w:szCs w:val="20"/>
        </w:rPr>
        <w:t>compound</w:t>
      </w:r>
      <w:r>
        <w:rPr>
          <w:rFonts w:eastAsia="黑体"/>
          <w:color w:val="000000" w:themeColor="text1"/>
          <w:szCs w:val="20"/>
        </w:rPr>
        <w:t xml:space="preserve"> </w:t>
      </w:r>
      <w:r>
        <w:rPr>
          <w:rFonts w:eastAsia="黑体" w:hint="eastAsia"/>
          <w:b/>
          <w:bCs/>
          <w:color w:val="000000" w:themeColor="text1"/>
          <w:szCs w:val="20"/>
        </w:rPr>
        <w:t>D</w:t>
      </w:r>
      <w:r>
        <w:rPr>
          <w:rFonts w:eastAsia="黑体"/>
          <w:b/>
          <w:bCs/>
          <w:color w:val="000000" w:themeColor="text1"/>
          <w:szCs w:val="20"/>
        </w:rPr>
        <w:t>BH</w:t>
      </w:r>
      <w:r>
        <w:rPr>
          <w:rFonts w:eastAsia="黑体" w:hint="eastAsia"/>
          <w:b/>
          <w:bCs/>
          <w:color w:val="000000" w:themeColor="text1"/>
          <w:szCs w:val="20"/>
        </w:rPr>
        <w:t xml:space="preserve">, </w:t>
      </w:r>
      <w:r>
        <w:rPr>
          <w:rFonts w:eastAsia="黑体" w:hint="eastAsia"/>
          <w:color w:val="000000" w:themeColor="text1"/>
          <w:szCs w:val="20"/>
        </w:rPr>
        <w:t>and</w:t>
      </w:r>
      <w:r>
        <w:rPr>
          <w:rFonts w:eastAsia="黑体" w:hint="eastAsia"/>
          <w:b/>
          <w:bCs/>
          <w:color w:val="000000" w:themeColor="text1"/>
          <w:szCs w:val="20"/>
        </w:rPr>
        <w:t xml:space="preserve"> </w:t>
      </w:r>
      <w:r>
        <w:rPr>
          <w:rFonts w:eastAsia="黑体" w:hint="eastAsia"/>
          <w:color w:val="000000" w:themeColor="text1"/>
          <w:szCs w:val="20"/>
        </w:rPr>
        <w:t>t</w:t>
      </w:r>
      <w:r>
        <w:rPr>
          <w:color w:val="000000" w:themeColor="text1"/>
          <w:szCs w:val="20"/>
        </w:rPr>
        <w:t xml:space="preserve">he mass </w:t>
      </w:r>
      <w:proofErr w:type="spellStart"/>
      <w:r>
        <w:rPr>
          <w:color w:val="000000" w:themeColor="text1"/>
          <w:szCs w:val="20"/>
        </w:rPr>
        <w:t>pectrum</w:t>
      </w:r>
      <w:proofErr w:type="spellEnd"/>
      <w:r>
        <w:rPr>
          <w:color w:val="000000" w:themeColor="text1"/>
          <w:szCs w:val="20"/>
        </w:rPr>
        <w:t xml:space="preserve"> of</w:t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hint="eastAsia"/>
          <w:b/>
          <w:bCs/>
          <w:iCs/>
          <w:color w:val="000000" w:themeColor="text1"/>
          <w:szCs w:val="20"/>
        </w:rPr>
        <w:t>D</w:t>
      </w:r>
      <w:r>
        <w:rPr>
          <w:b/>
          <w:bCs/>
          <w:iCs/>
          <w:color w:val="000000" w:themeColor="text1"/>
          <w:szCs w:val="20"/>
        </w:rPr>
        <w:t>BH+Zn</w:t>
      </w:r>
      <w:r>
        <w:rPr>
          <w:rFonts w:hint="eastAsia"/>
          <w:b/>
          <w:bCs/>
          <w:iCs/>
          <w:color w:val="000000" w:themeColor="text1"/>
          <w:szCs w:val="20"/>
          <w:vertAlign w:val="superscript"/>
        </w:rPr>
        <w:t>2+</w:t>
      </w:r>
    </w:p>
    <w:p w:rsidR="00656958" w:rsidRDefault="003E2BD5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center"/>
        <w:rPr>
          <w:rFonts w:eastAsia="黑体"/>
          <w:color w:val="000000" w:themeColor="text1"/>
          <w:szCs w:val="20"/>
        </w:rPr>
      </w:pPr>
      <w:r>
        <w:rPr>
          <w:noProof/>
        </w:rPr>
        <w:drawing>
          <wp:inline distT="0" distB="0" distL="114300" distR="114300">
            <wp:extent cx="4811395" cy="3358515"/>
            <wp:effectExtent l="0" t="0" r="4445" b="9525"/>
            <wp:docPr id="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1395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Fig. S1. </w:t>
      </w:r>
      <w:r>
        <w:rPr>
          <w:color w:val="000000" w:themeColor="text1"/>
          <w:sz w:val="18"/>
          <w:szCs w:val="18"/>
          <w:vertAlign w:val="superscript"/>
        </w:rPr>
        <w:t>1</w:t>
      </w:r>
      <w:r>
        <w:rPr>
          <w:color w:val="000000" w:themeColor="text1"/>
          <w:sz w:val="18"/>
          <w:szCs w:val="18"/>
        </w:rPr>
        <w:t xml:space="preserve">H NMR spectrum of probe compound </w:t>
      </w:r>
      <w:r>
        <w:rPr>
          <w:rFonts w:hint="eastAsia"/>
          <w:b/>
          <w:bCs/>
          <w:color w:val="000000" w:themeColor="text1"/>
          <w:sz w:val="18"/>
          <w:szCs w:val="18"/>
        </w:rPr>
        <w:t>D</w:t>
      </w:r>
      <w:r>
        <w:rPr>
          <w:b/>
          <w:bCs/>
          <w:color w:val="000000" w:themeColor="text1"/>
          <w:sz w:val="18"/>
          <w:szCs w:val="18"/>
        </w:rPr>
        <w:t>BH</w:t>
      </w:r>
      <w:r>
        <w:rPr>
          <w:color w:val="000000" w:themeColor="text1"/>
          <w:sz w:val="18"/>
          <w:szCs w:val="18"/>
        </w:rPr>
        <w:t>.</w:t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rFonts w:eastAsia="等线"/>
          <w:color w:val="000000" w:themeColor="text1"/>
          <w:sz w:val="24"/>
          <w:szCs w:val="22"/>
        </w:rPr>
      </w:pPr>
      <w:r>
        <w:rPr>
          <w:noProof/>
        </w:rPr>
        <w:lastRenderedPageBreak/>
        <w:drawing>
          <wp:inline distT="0" distB="0" distL="114300" distR="114300">
            <wp:extent cx="4615815" cy="3222625"/>
            <wp:effectExtent l="0" t="0" r="1905" b="8255"/>
            <wp:docPr id="4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5815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Fig. S2. </w:t>
      </w:r>
      <w:r>
        <w:rPr>
          <w:color w:val="000000" w:themeColor="text1"/>
          <w:sz w:val="18"/>
          <w:szCs w:val="18"/>
          <w:vertAlign w:val="superscript"/>
        </w:rPr>
        <w:t>13</w:t>
      </w:r>
      <w:r>
        <w:rPr>
          <w:color w:val="000000" w:themeColor="text1"/>
          <w:sz w:val="18"/>
          <w:szCs w:val="18"/>
        </w:rPr>
        <w:t xml:space="preserve">C NMR spectrum of probe compound </w:t>
      </w:r>
      <w:r>
        <w:rPr>
          <w:rFonts w:hint="eastAsia"/>
          <w:b/>
          <w:color w:val="000000" w:themeColor="text1"/>
          <w:sz w:val="18"/>
          <w:szCs w:val="18"/>
        </w:rPr>
        <w:t>D</w:t>
      </w:r>
      <w:r>
        <w:rPr>
          <w:b/>
          <w:color w:val="000000" w:themeColor="text1"/>
          <w:sz w:val="18"/>
          <w:szCs w:val="18"/>
        </w:rPr>
        <w:t>BH</w:t>
      </w:r>
      <w:r>
        <w:rPr>
          <w:color w:val="000000" w:themeColor="text1"/>
          <w:sz w:val="18"/>
          <w:szCs w:val="18"/>
        </w:rPr>
        <w:t>.</w:t>
      </w:r>
    </w:p>
    <w:p w:rsidR="00656958" w:rsidRDefault="003E2BD5">
      <w:pPr>
        <w:pStyle w:val="a9"/>
        <w:ind w:firstLine="400"/>
      </w:pPr>
      <w:r>
        <w:rPr>
          <w:noProof/>
        </w:rPr>
        <w:drawing>
          <wp:inline distT="0" distB="0" distL="114300" distR="114300">
            <wp:extent cx="4340860" cy="3327400"/>
            <wp:effectExtent l="0" t="0" r="2540" b="0"/>
            <wp:docPr id="5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0637" cy="333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Fig. S3. </w:t>
      </w:r>
      <w:r>
        <w:rPr>
          <w:color w:val="000000" w:themeColor="text1"/>
          <w:sz w:val="18"/>
          <w:szCs w:val="18"/>
        </w:rPr>
        <w:t>Infrared spectrum of complex</w:t>
      </w:r>
      <w:r>
        <w:rPr>
          <w:rFonts w:hint="eastAsia"/>
          <w:color w:val="000000" w:themeColor="text1"/>
          <w:sz w:val="18"/>
          <w:szCs w:val="18"/>
        </w:rPr>
        <w:t xml:space="preserve"> </w:t>
      </w:r>
      <w:r>
        <w:rPr>
          <w:rFonts w:hint="eastAsia"/>
          <w:b/>
          <w:color w:val="000000" w:themeColor="text1"/>
          <w:sz w:val="18"/>
          <w:szCs w:val="18"/>
        </w:rPr>
        <w:t>D</w:t>
      </w:r>
      <w:r>
        <w:rPr>
          <w:b/>
          <w:color w:val="000000" w:themeColor="text1"/>
          <w:sz w:val="18"/>
          <w:szCs w:val="18"/>
        </w:rPr>
        <w:t>BH</w:t>
      </w:r>
      <w:r>
        <w:rPr>
          <w:color w:val="000000" w:themeColor="text1"/>
          <w:sz w:val="18"/>
          <w:szCs w:val="18"/>
        </w:rPr>
        <w:t xml:space="preserve"> </w:t>
      </w:r>
    </w:p>
    <w:p w:rsidR="00656958" w:rsidRDefault="003E2BD5">
      <w:pPr>
        <w:overflowPunct/>
        <w:topLinePunct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5482590" cy="35433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8087" cy="355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Fig. S4.</w:t>
      </w:r>
      <w:bookmarkStart w:id="1" w:name="_Hlk135210859"/>
      <w:r>
        <w:rPr>
          <w:b/>
          <w:bCs/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The mass </w:t>
      </w:r>
      <w:proofErr w:type="spellStart"/>
      <w:r>
        <w:rPr>
          <w:color w:val="000000" w:themeColor="text1"/>
          <w:sz w:val="18"/>
          <w:szCs w:val="18"/>
        </w:rPr>
        <w:t>pectrum</w:t>
      </w:r>
      <w:proofErr w:type="spellEnd"/>
      <w:r>
        <w:rPr>
          <w:color w:val="000000" w:themeColor="text1"/>
          <w:sz w:val="18"/>
          <w:szCs w:val="18"/>
        </w:rPr>
        <w:t xml:space="preserve"> of </w:t>
      </w:r>
      <w:r>
        <w:rPr>
          <w:rFonts w:hint="eastAsia"/>
          <w:b/>
          <w:bCs/>
          <w:iCs/>
          <w:color w:val="000000" w:themeColor="text1"/>
          <w:sz w:val="18"/>
          <w:szCs w:val="18"/>
        </w:rPr>
        <w:t>D</w:t>
      </w:r>
      <w:r>
        <w:rPr>
          <w:b/>
          <w:bCs/>
          <w:iCs/>
          <w:color w:val="000000" w:themeColor="text1"/>
          <w:sz w:val="18"/>
          <w:szCs w:val="18"/>
        </w:rPr>
        <w:t>BH</w:t>
      </w:r>
      <w:r>
        <w:rPr>
          <w:color w:val="000000" w:themeColor="text1"/>
          <w:sz w:val="18"/>
          <w:szCs w:val="18"/>
        </w:rPr>
        <w:t>.</w:t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>
            <wp:extent cx="5398135" cy="3543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7856" cy="354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 xml:space="preserve">Fig. S5. </w:t>
      </w:r>
      <w:r>
        <w:rPr>
          <w:color w:val="000000" w:themeColor="text1"/>
          <w:sz w:val="18"/>
          <w:szCs w:val="18"/>
        </w:rPr>
        <w:t xml:space="preserve">The mass </w:t>
      </w:r>
      <w:proofErr w:type="spellStart"/>
      <w:r>
        <w:rPr>
          <w:color w:val="000000" w:themeColor="text1"/>
          <w:sz w:val="18"/>
          <w:szCs w:val="18"/>
        </w:rPr>
        <w:t>pectrum</w:t>
      </w:r>
      <w:proofErr w:type="spellEnd"/>
      <w:r>
        <w:rPr>
          <w:color w:val="000000" w:themeColor="text1"/>
          <w:sz w:val="18"/>
          <w:szCs w:val="18"/>
        </w:rPr>
        <w:t xml:space="preserve"> of </w:t>
      </w:r>
      <w:r>
        <w:rPr>
          <w:rFonts w:hint="eastAsia"/>
          <w:b/>
          <w:bCs/>
          <w:iCs/>
          <w:color w:val="000000" w:themeColor="text1"/>
          <w:sz w:val="18"/>
          <w:szCs w:val="18"/>
        </w:rPr>
        <w:t>D</w:t>
      </w:r>
      <w:r>
        <w:rPr>
          <w:b/>
          <w:bCs/>
          <w:iCs/>
          <w:color w:val="000000" w:themeColor="text1"/>
          <w:sz w:val="18"/>
          <w:szCs w:val="18"/>
        </w:rPr>
        <w:t>BH+Zn</w:t>
      </w:r>
      <w:r>
        <w:rPr>
          <w:rFonts w:hint="eastAsia"/>
          <w:b/>
          <w:bCs/>
          <w:iCs/>
          <w:color w:val="000000" w:themeColor="text1"/>
          <w:sz w:val="18"/>
          <w:szCs w:val="18"/>
          <w:vertAlign w:val="superscript"/>
        </w:rPr>
        <w:t>2+</w:t>
      </w:r>
      <w:r>
        <w:rPr>
          <w:color w:val="000000" w:themeColor="text1"/>
          <w:sz w:val="18"/>
          <w:szCs w:val="18"/>
        </w:rPr>
        <w:t>.</w:t>
      </w:r>
    </w:p>
    <w:p w:rsidR="00656958" w:rsidRDefault="00656958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Chars="0" w:firstLine="0"/>
        <w:jc w:val="center"/>
        <w:rPr>
          <w:b/>
          <w:bCs/>
          <w:i/>
          <w:iCs/>
          <w:color w:val="000000" w:themeColor="text1"/>
          <w:sz w:val="18"/>
          <w:szCs w:val="18"/>
        </w:rPr>
      </w:pPr>
    </w:p>
    <w:bookmarkEnd w:id="1"/>
    <w:p w:rsidR="00656958" w:rsidRDefault="00656958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left"/>
        <w:rPr>
          <w:rFonts w:eastAsia="黑体"/>
          <w:color w:val="000000" w:themeColor="text1"/>
          <w:szCs w:val="20"/>
        </w:rPr>
      </w:pPr>
    </w:p>
    <w:p w:rsidR="00656958" w:rsidRDefault="00656958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left"/>
        <w:rPr>
          <w:rFonts w:eastAsia="黑体"/>
          <w:color w:val="000000" w:themeColor="text1"/>
          <w:szCs w:val="20"/>
        </w:rPr>
      </w:pPr>
    </w:p>
    <w:p w:rsidR="00656958" w:rsidRDefault="003E2BD5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left"/>
        <w:rPr>
          <w:rFonts w:eastAsia="黑体"/>
          <w:color w:val="000000" w:themeColor="text1"/>
          <w:szCs w:val="20"/>
          <w:lang w:val="en"/>
        </w:rPr>
      </w:pPr>
      <w:r>
        <w:rPr>
          <w:rFonts w:eastAsia="黑体" w:hint="eastAsia"/>
          <w:color w:val="000000" w:themeColor="text1"/>
          <w:szCs w:val="20"/>
        </w:rPr>
        <w:lastRenderedPageBreak/>
        <w:t xml:space="preserve">2 </w:t>
      </w:r>
      <w:r>
        <w:rPr>
          <w:rFonts w:eastAsia="黑体"/>
          <w:color w:val="000000" w:themeColor="text1"/>
          <w:szCs w:val="20"/>
          <w:lang w:val="en"/>
        </w:rPr>
        <w:t>Spectroscopic research</w:t>
      </w:r>
    </w:p>
    <w:p w:rsidR="00656958" w:rsidRDefault="003E2BD5">
      <w:pPr>
        <w:overflowPunct/>
        <w:topLinePunct w:val="0"/>
        <w:adjustRightInd w:val="0"/>
        <w:snapToGrid w:val="0"/>
        <w:spacing w:beforeLines="100" w:before="312" w:afterLines="50" w:after="156" w:line="360" w:lineRule="auto"/>
        <w:ind w:firstLineChars="0" w:firstLine="0"/>
        <w:jc w:val="center"/>
        <w:rPr>
          <w:sz w:val="24"/>
        </w:rPr>
      </w:pPr>
      <w:r>
        <w:rPr>
          <w:sz w:val="24"/>
        </w:rPr>
        <w:object w:dxaOrig="3811" w:dyaOrig="3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0.75pt;height:150.55pt" o:ole="">
            <v:imagedata r:id="rId13" o:title=""/>
            <o:lock v:ext="edit" aspectratio="f"/>
          </v:shape>
          <o:OLEObject Type="Embed" ProgID="Origin95.Graph" ShapeID="_x0000_i1025" DrawAspect="Content" ObjectID="_1841300647" r:id="rId14"/>
        </w:object>
      </w:r>
      <w:r>
        <w:rPr>
          <w:sz w:val="24"/>
        </w:rPr>
        <w:object w:dxaOrig="4102" w:dyaOrig="3023">
          <v:shape id="_x0000_i1026" type="#_x0000_t75" alt="" style="width:205.25pt;height:151pt" o:ole="">
            <v:imagedata r:id="rId15" o:title=""/>
            <o:lock v:ext="edit" aspectratio="f"/>
          </v:shape>
          <o:OLEObject Type="Embed" ProgID="Origin95.Graph" ShapeID="_x0000_i1026" DrawAspect="Content" ObjectID="_1841300648" r:id="rId16"/>
        </w:object>
      </w:r>
    </w:p>
    <w:p w:rsidR="00656958" w:rsidRDefault="003E2BD5">
      <w:pPr>
        <w:overflowPunct/>
        <w:topLinePunct w:val="0"/>
        <w:spacing w:before="120" w:after="120" w:line="240" w:lineRule="auto"/>
        <w:ind w:firstLine="422"/>
        <w:jc w:val="center"/>
        <w:rPr>
          <w:sz w:val="21"/>
          <w:szCs w:val="21"/>
        </w:rPr>
      </w:pPr>
      <w:bookmarkStart w:id="2" w:name="OLE_LINK14"/>
      <w:r>
        <w:rPr>
          <w:b/>
          <w:bCs/>
          <w:color w:val="000000" w:themeColor="text1"/>
          <w:sz w:val="21"/>
          <w:szCs w:val="21"/>
        </w:rPr>
        <w:t>Fig. S</w:t>
      </w:r>
      <w:r>
        <w:rPr>
          <w:rFonts w:hint="eastAsia"/>
          <w:b/>
          <w:bCs/>
          <w:color w:val="000000" w:themeColor="text1"/>
          <w:sz w:val="21"/>
          <w:szCs w:val="21"/>
        </w:rPr>
        <w:t>6</w:t>
      </w:r>
      <w:r>
        <w:rPr>
          <w:b/>
          <w:bCs/>
          <w:color w:val="000000" w:themeColor="text1"/>
          <w:sz w:val="21"/>
          <w:szCs w:val="21"/>
        </w:rPr>
        <w:t>.</w:t>
      </w:r>
      <w:r>
        <w:rPr>
          <w:rFonts w:hint="eastAsia"/>
          <w:b/>
          <w:bCs/>
          <w:color w:val="000000" w:themeColor="text1"/>
          <w:sz w:val="21"/>
          <w:szCs w:val="21"/>
        </w:rPr>
        <w:t xml:space="preserve"> </w:t>
      </w:r>
      <w:r>
        <w:rPr>
          <w:sz w:val="21"/>
          <w:szCs w:val="21"/>
        </w:rPr>
        <w:t xml:space="preserve">UV-Vis (a) and fluorescence (b) spectra of probe </w:t>
      </w:r>
      <w:r>
        <w:rPr>
          <w:b/>
          <w:sz w:val="21"/>
          <w:szCs w:val="21"/>
        </w:rPr>
        <w:t>DBH</w:t>
      </w:r>
      <w:r>
        <w:rPr>
          <w:sz w:val="21"/>
          <w:szCs w:val="21"/>
        </w:rPr>
        <w:t xml:space="preserve"> in different H₂O/DMF </w:t>
      </w:r>
      <w:proofErr w:type="gramStart"/>
      <w:r>
        <w:rPr>
          <w:sz w:val="21"/>
          <w:szCs w:val="21"/>
        </w:rPr>
        <w:t>ratios.</w:t>
      </w:r>
      <w:r>
        <w:rPr>
          <w:sz w:val="21"/>
          <w:szCs w:val="21"/>
        </w:rPr>
        <w:t>（</w:t>
      </w:r>
      <w:proofErr w:type="spellStart"/>
      <w:proofErr w:type="gramEnd"/>
      <w:r>
        <w:rPr>
          <w:sz w:val="21"/>
          <w:szCs w:val="21"/>
        </w:rPr>
        <w:t>λ</w:t>
      </w:r>
      <w:r>
        <w:rPr>
          <w:sz w:val="21"/>
          <w:szCs w:val="21"/>
          <w:vertAlign w:val="subscript"/>
        </w:rPr>
        <w:t>ex</w:t>
      </w:r>
      <w:proofErr w:type="spellEnd"/>
      <w:r>
        <w:rPr>
          <w:sz w:val="21"/>
          <w:szCs w:val="21"/>
        </w:rPr>
        <w:t>=380nm</w:t>
      </w:r>
      <w:r>
        <w:rPr>
          <w:sz w:val="21"/>
          <w:szCs w:val="21"/>
        </w:rPr>
        <w:t>，</w:t>
      </w:r>
      <w:r>
        <w:rPr>
          <w:sz w:val="21"/>
          <w:szCs w:val="21"/>
        </w:rPr>
        <w:t>H</w:t>
      </w:r>
      <w:r>
        <w:rPr>
          <w:sz w:val="21"/>
          <w:szCs w:val="21"/>
          <w:vertAlign w:val="subscript"/>
        </w:rPr>
        <w:t>2</w:t>
      </w:r>
      <w:r>
        <w:rPr>
          <w:sz w:val="21"/>
          <w:szCs w:val="21"/>
        </w:rPr>
        <w:t>O/DMF=5:5</w:t>
      </w:r>
      <w:r>
        <w:rPr>
          <w:sz w:val="21"/>
          <w:szCs w:val="21"/>
        </w:rPr>
        <w:t>）</w:t>
      </w:r>
      <w:bookmarkEnd w:id="2"/>
    </w:p>
    <w:p w:rsidR="00656958" w:rsidRDefault="003E2BD5">
      <w:pPr>
        <w:overflowPunct/>
        <w:topLinePunct w:val="0"/>
        <w:spacing w:before="120" w:after="120" w:line="240" w:lineRule="auto"/>
        <w:ind w:firstLine="480"/>
        <w:jc w:val="center"/>
        <w:rPr>
          <w:sz w:val="21"/>
          <w:szCs w:val="21"/>
        </w:rPr>
      </w:pPr>
      <w:r>
        <w:rPr>
          <w:sz w:val="24"/>
        </w:rPr>
        <w:object w:dxaOrig="4327" w:dyaOrig="3361">
          <v:shape id="_x0000_i1027" type="#_x0000_t75" alt="" style="width:216.45pt;height:167.85pt" o:ole="">
            <v:imagedata r:id="rId17" o:title=""/>
            <o:lock v:ext="edit" aspectratio="f"/>
          </v:shape>
          <o:OLEObject Type="Embed" ProgID="Origin95.Graph" ShapeID="_x0000_i1027" DrawAspect="Content" ObjectID="_1841300649" r:id="rId18"/>
        </w:object>
      </w:r>
    </w:p>
    <w:p w:rsidR="00656958" w:rsidRDefault="003E2BD5">
      <w:pPr>
        <w:ind w:firstLine="422"/>
        <w:jc w:val="center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 S</w:t>
      </w:r>
      <w:r>
        <w:rPr>
          <w:rFonts w:hint="eastAsia"/>
          <w:b/>
          <w:bCs/>
          <w:color w:val="000000" w:themeColor="text1"/>
          <w:sz w:val="21"/>
          <w:szCs w:val="21"/>
        </w:rPr>
        <w:t>7</w:t>
      </w:r>
      <w:r>
        <w:rPr>
          <w:b/>
          <w:bCs/>
          <w:color w:val="000000" w:themeColor="text1"/>
          <w:sz w:val="21"/>
          <w:szCs w:val="21"/>
        </w:rPr>
        <w:t>.</w:t>
      </w:r>
      <w:r>
        <w:rPr>
          <w:rFonts w:hint="eastAsia"/>
          <w:b/>
          <w:bCs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fluorescence spectra of probe </w:t>
      </w:r>
      <w:r>
        <w:rPr>
          <w:b/>
          <w:color w:val="000000" w:themeColor="text1"/>
          <w:sz w:val="21"/>
          <w:szCs w:val="21"/>
        </w:rPr>
        <w:t>DBH</w:t>
      </w:r>
      <w:r>
        <w:rPr>
          <w:color w:val="000000" w:themeColor="text1"/>
          <w:sz w:val="21"/>
          <w:szCs w:val="21"/>
        </w:rPr>
        <w:t xml:space="preserve"> at various pH values.</w:t>
      </w:r>
    </w:p>
    <w:p w:rsidR="00656958" w:rsidRDefault="003E2BD5">
      <w:pPr>
        <w:ind w:firstLine="420"/>
        <w:jc w:val="center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（</w:t>
      </w:r>
      <w:proofErr w:type="spellStart"/>
      <w:r>
        <w:rPr>
          <w:color w:val="000000" w:themeColor="text1"/>
          <w:sz w:val="21"/>
          <w:szCs w:val="21"/>
        </w:rPr>
        <w:t>λex</w:t>
      </w:r>
      <w:proofErr w:type="spellEnd"/>
      <w:r>
        <w:rPr>
          <w:color w:val="000000" w:themeColor="text1"/>
          <w:sz w:val="21"/>
          <w:szCs w:val="21"/>
        </w:rPr>
        <w:t>=380nm</w:t>
      </w:r>
      <w:r>
        <w:rPr>
          <w:color w:val="000000" w:themeColor="text1"/>
          <w:sz w:val="21"/>
          <w:szCs w:val="21"/>
        </w:rPr>
        <w:t>，</w:t>
      </w:r>
      <w:r>
        <w:rPr>
          <w:color w:val="000000" w:themeColor="text1"/>
          <w:sz w:val="21"/>
          <w:szCs w:val="21"/>
        </w:rPr>
        <w:t>H</w:t>
      </w:r>
      <w:r>
        <w:rPr>
          <w:color w:val="000000" w:themeColor="text1"/>
          <w:sz w:val="21"/>
          <w:szCs w:val="21"/>
          <w:vertAlign w:val="subscript"/>
        </w:rPr>
        <w:t>2</w:t>
      </w:r>
      <w:r>
        <w:rPr>
          <w:color w:val="000000" w:themeColor="text1"/>
          <w:sz w:val="21"/>
          <w:szCs w:val="21"/>
        </w:rPr>
        <w:t>O/DMF=5:5</w:t>
      </w:r>
      <w:r>
        <w:rPr>
          <w:color w:val="000000" w:themeColor="text1"/>
          <w:sz w:val="21"/>
          <w:szCs w:val="21"/>
        </w:rPr>
        <w:t>）</w:t>
      </w:r>
    </w:p>
    <w:p w:rsidR="00656958" w:rsidRDefault="00656958">
      <w:pPr>
        <w:overflowPunct/>
        <w:topLinePunct w:val="0"/>
        <w:spacing w:before="120" w:after="120" w:line="240" w:lineRule="auto"/>
        <w:ind w:firstLine="420"/>
        <w:jc w:val="center"/>
        <w:rPr>
          <w:color w:val="000000" w:themeColor="text1"/>
          <w:sz w:val="21"/>
          <w:szCs w:val="21"/>
        </w:rPr>
      </w:pPr>
    </w:p>
    <w:p w:rsidR="00656958" w:rsidRDefault="003E2BD5">
      <w:pPr>
        <w:overflowPunct/>
        <w:topLinePunct w:val="0"/>
        <w:spacing w:before="120" w:after="120" w:line="240" w:lineRule="auto"/>
        <w:ind w:firstLine="480"/>
        <w:jc w:val="center"/>
        <w:rPr>
          <w:sz w:val="21"/>
          <w:szCs w:val="21"/>
        </w:rPr>
      </w:pPr>
      <w:r>
        <w:rPr>
          <w:noProof/>
          <w:sz w:val="24"/>
        </w:rPr>
        <w:drawing>
          <wp:inline distT="0" distB="0" distL="114300" distR="114300">
            <wp:extent cx="2326005" cy="1781810"/>
            <wp:effectExtent l="0" t="0" r="5715" b="0"/>
            <wp:docPr id="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spacing w:before="120" w:after="120" w:line="240" w:lineRule="auto"/>
        <w:ind w:firstLine="422"/>
        <w:jc w:val="center"/>
        <w:rPr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Fig. S</w:t>
      </w:r>
      <w:r>
        <w:rPr>
          <w:rFonts w:hint="eastAsia"/>
          <w:b/>
          <w:bCs/>
          <w:color w:val="000000" w:themeColor="text1"/>
          <w:sz w:val="21"/>
          <w:szCs w:val="21"/>
        </w:rPr>
        <w:t>8</w:t>
      </w:r>
      <w:r>
        <w:rPr>
          <w:b/>
          <w:bCs/>
          <w:color w:val="000000" w:themeColor="text1"/>
          <w:sz w:val="21"/>
          <w:szCs w:val="21"/>
        </w:rPr>
        <w:t xml:space="preserve">. </w:t>
      </w:r>
      <w:r>
        <w:rPr>
          <w:color w:val="000000" w:themeColor="text1"/>
          <w:sz w:val="21"/>
          <w:szCs w:val="21"/>
        </w:rPr>
        <w:t xml:space="preserve">Job's plot of the </w:t>
      </w:r>
      <w:r>
        <w:rPr>
          <w:b/>
          <w:color w:val="000000" w:themeColor="text1"/>
          <w:sz w:val="21"/>
          <w:szCs w:val="21"/>
        </w:rPr>
        <w:t>DBH</w:t>
      </w:r>
      <w:r>
        <w:rPr>
          <w:color w:val="000000" w:themeColor="text1"/>
          <w:sz w:val="21"/>
          <w:szCs w:val="21"/>
        </w:rPr>
        <w:t>-Zn</w:t>
      </w:r>
      <w:r>
        <w:rPr>
          <w:color w:val="000000" w:themeColor="text1"/>
          <w:sz w:val="21"/>
          <w:szCs w:val="21"/>
          <w:vertAlign w:val="superscript"/>
        </w:rPr>
        <w:t>2+</w:t>
      </w:r>
      <w:r>
        <w:rPr>
          <w:color w:val="000000" w:themeColor="text1"/>
          <w:sz w:val="21"/>
          <w:szCs w:val="21"/>
        </w:rPr>
        <w:t xml:space="preserve"> binding </w:t>
      </w:r>
      <w:proofErr w:type="gramStart"/>
      <w:r>
        <w:rPr>
          <w:color w:val="000000" w:themeColor="text1"/>
          <w:sz w:val="21"/>
          <w:szCs w:val="21"/>
        </w:rPr>
        <w:t>system.</w:t>
      </w:r>
      <w:r>
        <w:rPr>
          <w:color w:val="000000" w:themeColor="text1"/>
          <w:sz w:val="21"/>
          <w:szCs w:val="21"/>
        </w:rPr>
        <w:t>（</w:t>
      </w:r>
      <w:proofErr w:type="spellStart"/>
      <w:proofErr w:type="gramEnd"/>
      <w:r>
        <w:rPr>
          <w:color w:val="000000" w:themeColor="text1"/>
          <w:sz w:val="21"/>
          <w:szCs w:val="21"/>
        </w:rPr>
        <w:t>λex</w:t>
      </w:r>
      <w:proofErr w:type="spellEnd"/>
      <w:r>
        <w:rPr>
          <w:color w:val="000000" w:themeColor="text1"/>
          <w:sz w:val="21"/>
          <w:szCs w:val="21"/>
        </w:rPr>
        <w:t>=380nm</w:t>
      </w:r>
      <w:r>
        <w:rPr>
          <w:color w:val="000000" w:themeColor="text1"/>
          <w:sz w:val="21"/>
          <w:szCs w:val="21"/>
        </w:rPr>
        <w:t>，</w:t>
      </w:r>
      <w:r>
        <w:rPr>
          <w:color w:val="000000" w:themeColor="text1"/>
          <w:sz w:val="21"/>
          <w:szCs w:val="21"/>
        </w:rPr>
        <w:t>H</w:t>
      </w:r>
      <w:r>
        <w:rPr>
          <w:color w:val="000000" w:themeColor="text1"/>
          <w:sz w:val="21"/>
          <w:szCs w:val="21"/>
          <w:vertAlign w:val="subscript"/>
        </w:rPr>
        <w:t>2</w:t>
      </w:r>
      <w:r>
        <w:rPr>
          <w:color w:val="000000" w:themeColor="text1"/>
          <w:sz w:val="21"/>
          <w:szCs w:val="21"/>
        </w:rPr>
        <w:t>O/DMF=5:5</w:t>
      </w:r>
      <w:r>
        <w:rPr>
          <w:color w:val="000000" w:themeColor="text1"/>
          <w:sz w:val="21"/>
          <w:szCs w:val="21"/>
        </w:rPr>
        <w:t>）</w:t>
      </w:r>
    </w:p>
    <w:p w:rsidR="00656958" w:rsidRDefault="003E2BD5">
      <w:pPr>
        <w:overflowPunct/>
        <w:topLinePunct w:val="0"/>
        <w:adjustRightInd w:val="0"/>
        <w:snapToGrid w:val="0"/>
        <w:spacing w:line="360" w:lineRule="auto"/>
        <w:ind w:firstLineChars="0" w:firstLine="0"/>
        <w:jc w:val="center"/>
        <w:rPr>
          <w:sz w:val="21"/>
        </w:rPr>
      </w:pPr>
      <w:r>
        <w:rPr>
          <w:sz w:val="21"/>
        </w:rPr>
        <w:object w:dxaOrig="4122" w:dyaOrig="2948">
          <v:shape id="_x0000_i1028" type="#_x0000_t75" style="width:206.2pt;height:147.25pt" o:ole="">
            <v:imagedata r:id="rId20" o:title=""/>
            <o:lock v:ext="edit" aspectratio="f"/>
          </v:shape>
          <o:OLEObject Type="Embed" ProgID="Origin95.Graph" ShapeID="_x0000_i1028" DrawAspect="Content" ObjectID="_1841300650" r:id="rId21"/>
        </w:object>
      </w:r>
      <w:r>
        <w:rPr>
          <w:sz w:val="21"/>
        </w:rPr>
        <w:t xml:space="preserve"> </w:t>
      </w:r>
      <w:r>
        <w:rPr>
          <w:sz w:val="21"/>
        </w:rPr>
        <w:object w:dxaOrig="4081" w:dyaOrig="2955">
          <v:shape id="_x0000_i1029" type="#_x0000_t75" style="width:203.85pt;height:147.75pt" o:ole="">
            <v:imagedata r:id="rId22" o:title=""/>
          </v:shape>
          <o:OLEObject Type="Embed" ProgID="Origin95.Graph" ShapeID="_x0000_i1029" DrawAspect="Content" ObjectID="_1841300651" r:id="rId23"/>
        </w:object>
      </w:r>
    </w:p>
    <w:p w:rsidR="00656958" w:rsidRDefault="003E2BD5">
      <w:pPr>
        <w:keepNext/>
        <w:keepLines/>
        <w:overflowPunct/>
        <w:topLinePunct w:val="0"/>
        <w:spacing w:before="120" w:after="120" w:line="240" w:lineRule="auto"/>
        <w:ind w:firstLine="422"/>
        <w:jc w:val="center"/>
        <w:rPr>
          <w:sz w:val="21"/>
        </w:rPr>
      </w:pPr>
      <w:r>
        <w:rPr>
          <w:b/>
          <w:bCs/>
          <w:color w:val="000000" w:themeColor="text1"/>
          <w:sz w:val="21"/>
          <w:szCs w:val="21"/>
        </w:rPr>
        <w:t>Fig. S9.</w:t>
      </w:r>
      <w:r>
        <w:rPr>
          <w:rFonts w:hint="eastAsia"/>
          <w:b/>
          <w:bCs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(a) Fluorescence bar chart of </w:t>
      </w:r>
      <w:r>
        <w:rPr>
          <w:b/>
          <w:color w:val="000000" w:themeColor="text1"/>
          <w:sz w:val="21"/>
          <w:szCs w:val="21"/>
        </w:rPr>
        <w:t>DBH</w:t>
      </w:r>
      <w:r>
        <w:rPr>
          <w:color w:val="000000" w:themeColor="text1"/>
          <w:sz w:val="21"/>
          <w:szCs w:val="21"/>
        </w:rPr>
        <w:t>+Zn</w:t>
      </w:r>
      <w:r>
        <w:rPr>
          <w:color w:val="000000" w:themeColor="text1"/>
          <w:sz w:val="21"/>
          <w:szCs w:val="21"/>
          <w:vertAlign w:val="superscript"/>
        </w:rPr>
        <w:t>2+</w:t>
      </w:r>
      <w:r>
        <w:rPr>
          <w:color w:val="000000" w:themeColor="text1"/>
          <w:sz w:val="21"/>
          <w:szCs w:val="21"/>
        </w:rPr>
        <w:t xml:space="preserve"> with different cations; (b) Fluorescence bar chart of </w:t>
      </w:r>
      <w:r>
        <w:rPr>
          <w:b/>
          <w:color w:val="000000" w:themeColor="text1"/>
          <w:sz w:val="21"/>
          <w:szCs w:val="21"/>
        </w:rPr>
        <w:t>DBH</w:t>
      </w:r>
      <w:r>
        <w:rPr>
          <w:color w:val="000000" w:themeColor="text1"/>
          <w:sz w:val="21"/>
          <w:szCs w:val="21"/>
        </w:rPr>
        <w:t>+S</w:t>
      </w:r>
      <w:r>
        <w:rPr>
          <w:color w:val="000000" w:themeColor="text1"/>
          <w:sz w:val="21"/>
          <w:szCs w:val="21"/>
          <w:vertAlign w:val="superscript"/>
        </w:rPr>
        <w:t>2-</w:t>
      </w:r>
      <w:r>
        <w:rPr>
          <w:color w:val="000000" w:themeColor="text1"/>
          <w:sz w:val="21"/>
          <w:szCs w:val="21"/>
        </w:rPr>
        <w:t xml:space="preserve"> with different </w:t>
      </w:r>
      <w:proofErr w:type="gramStart"/>
      <w:r>
        <w:rPr>
          <w:color w:val="000000" w:themeColor="text1"/>
          <w:sz w:val="21"/>
          <w:szCs w:val="21"/>
        </w:rPr>
        <w:t>anions.</w:t>
      </w:r>
      <w:r>
        <w:rPr>
          <w:color w:val="000000" w:themeColor="text1"/>
          <w:sz w:val="21"/>
          <w:szCs w:val="21"/>
        </w:rPr>
        <w:t>（</w:t>
      </w:r>
      <w:proofErr w:type="spellStart"/>
      <w:proofErr w:type="gramEnd"/>
      <w:r>
        <w:rPr>
          <w:color w:val="000000" w:themeColor="text1"/>
          <w:sz w:val="21"/>
          <w:szCs w:val="21"/>
        </w:rPr>
        <w:t>λex</w:t>
      </w:r>
      <w:proofErr w:type="spellEnd"/>
      <w:r>
        <w:rPr>
          <w:color w:val="000000" w:themeColor="text1"/>
          <w:sz w:val="21"/>
          <w:szCs w:val="21"/>
        </w:rPr>
        <w:t xml:space="preserve"> = 380 nm</w:t>
      </w:r>
      <w:r>
        <w:rPr>
          <w:color w:val="000000" w:themeColor="text1"/>
          <w:sz w:val="21"/>
          <w:szCs w:val="21"/>
        </w:rPr>
        <w:t>，</w:t>
      </w:r>
      <w:r>
        <w:rPr>
          <w:color w:val="000000" w:themeColor="text1"/>
          <w:sz w:val="21"/>
          <w:szCs w:val="21"/>
        </w:rPr>
        <w:t>F=500nm</w:t>
      </w:r>
      <w:r>
        <w:rPr>
          <w:color w:val="000000" w:themeColor="text1"/>
          <w:sz w:val="21"/>
          <w:szCs w:val="21"/>
        </w:rPr>
        <w:t>）</w:t>
      </w:r>
      <w:r>
        <w:rPr>
          <w:color w:val="000000" w:themeColor="text1"/>
          <w:sz w:val="21"/>
          <w:szCs w:val="21"/>
        </w:rPr>
        <w:t xml:space="preserve"> </w:t>
      </w:r>
    </w:p>
    <w:p w:rsidR="00656958" w:rsidRDefault="003E2BD5">
      <w:pPr>
        <w:overflowPunct/>
        <w:topLinePunct w:val="0"/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kern w:val="0"/>
          <w:sz w:val="24"/>
          <w:szCs w:val="21"/>
        </w:rPr>
      </w:pPr>
      <w:r>
        <w:rPr>
          <w:noProof/>
          <w:kern w:val="0"/>
          <w:sz w:val="24"/>
          <w:szCs w:val="21"/>
        </w:rPr>
        <w:drawing>
          <wp:inline distT="0" distB="0" distL="114300" distR="114300">
            <wp:extent cx="2933700" cy="2393950"/>
            <wp:effectExtent l="0" t="0" r="7620" b="13970"/>
            <wp:docPr id="3" name="图片 3" descr="511c7a0092e05425f2ae5cf71a6c41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11c7a0092e05425f2ae5cf71a6c41ba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58" w:rsidRDefault="003E2BD5">
      <w:pPr>
        <w:overflowPunct/>
        <w:topLinePunct w:val="0"/>
        <w:adjustRightInd w:val="0"/>
        <w:snapToGrid w:val="0"/>
        <w:spacing w:line="360" w:lineRule="auto"/>
        <w:ind w:firstLineChars="0" w:firstLine="0"/>
        <w:jc w:val="center"/>
        <w:rPr>
          <w:sz w:val="21"/>
        </w:rPr>
      </w:pPr>
      <w:r>
        <w:rPr>
          <w:b/>
          <w:bCs/>
          <w:color w:val="000000" w:themeColor="text1"/>
          <w:sz w:val="21"/>
          <w:szCs w:val="21"/>
        </w:rPr>
        <w:t>Fig. S10.</w:t>
      </w:r>
      <w:r>
        <w:rPr>
          <w:rFonts w:hint="eastAsia"/>
          <w:b/>
          <w:bCs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Cytotoxicity of probe </w:t>
      </w:r>
      <w:r>
        <w:rPr>
          <w:b/>
          <w:color w:val="000000" w:themeColor="text1"/>
          <w:sz w:val="21"/>
          <w:szCs w:val="21"/>
        </w:rPr>
        <w:t>DBH</w:t>
      </w:r>
      <w:r>
        <w:rPr>
          <w:color w:val="000000" w:themeColor="text1"/>
          <w:sz w:val="21"/>
          <w:szCs w:val="21"/>
        </w:rPr>
        <w:t xml:space="preserve"> toward normal human liver cells (L929) and human hepatocellular carcinoma cells (HepG2).</w:t>
      </w:r>
    </w:p>
    <w:p w:rsidR="00656958" w:rsidRDefault="00656958">
      <w:pPr>
        <w:adjustRightInd w:val="0"/>
        <w:snapToGrid w:val="0"/>
        <w:spacing w:line="360" w:lineRule="auto"/>
        <w:ind w:firstLineChars="0" w:firstLine="0"/>
        <w:jc w:val="center"/>
        <w:rPr>
          <w:color w:val="000000" w:themeColor="text1"/>
          <w:szCs w:val="21"/>
        </w:rPr>
      </w:pPr>
    </w:p>
    <w:sectPr w:rsidR="0065695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531" w:right="964" w:bottom="1134" w:left="964" w:header="851" w:footer="1134" w:gutter="0"/>
      <w:cols w:space="454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BD5" w:rsidRDefault="003E2BD5">
      <w:pPr>
        <w:spacing w:line="240" w:lineRule="auto"/>
        <w:ind w:firstLine="400"/>
      </w:pPr>
      <w:r>
        <w:separator/>
      </w:r>
    </w:p>
  </w:endnote>
  <w:endnote w:type="continuationSeparator" w:id="0">
    <w:p w:rsidR="003E2BD5" w:rsidRDefault="003E2BD5"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958" w:rsidRDefault="00656958">
    <w:pPr>
      <w:pStyle w:val="a3"/>
      <w:tabs>
        <w:tab w:val="center" w:pos="1701"/>
        <w:tab w:val="center" w:pos="4876"/>
        <w:tab w:val="right" w:pos="9979"/>
      </w:tabs>
      <w:ind w:firstLine="360"/>
      <w:rPr>
        <w:rStyle w:val="a7"/>
      </w:rPr>
    </w:pPr>
  </w:p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3"/>
      <w:gridCol w:w="7771"/>
      <w:gridCol w:w="1704"/>
    </w:tblGrid>
    <w:tr w:rsidR="00656958">
      <w:trPr>
        <w:trHeight w:val="150"/>
        <w:jc w:val="center"/>
      </w:trPr>
      <w:tc>
        <w:tcPr>
          <w:tcW w:w="252" w:type="pct"/>
          <w:vAlign w:val="center"/>
        </w:tcPr>
        <w:p w:rsidR="00656958" w:rsidRDefault="00656958">
          <w:pPr>
            <w:pStyle w:val="a3"/>
            <w:tabs>
              <w:tab w:val="center" w:pos="142"/>
            </w:tabs>
            <w:ind w:firstLine="360"/>
            <w:rPr>
              <w:lang w:val="en-GB"/>
            </w:rPr>
          </w:pPr>
        </w:p>
      </w:tc>
      <w:tc>
        <w:tcPr>
          <w:tcW w:w="3894" w:type="pct"/>
          <w:vAlign w:val="center"/>
        </w:tcPr>
        <w:p w:rsidR="00656958" w:rsidRDefault="00656958">
          <w:pPr>
            <w:pStyle w:val="a3"/>
            <w:tabs>
              <w:tab w:val="center" w:pos="142"/>
            </w:tabs>
            <w:ind w:firstLine="360"/>
            <w:jc w:val="center"/>
            <w:rPr>
              <w:lang w:val="en-GB"/>
            </w:rPr>
          </w:pPr>
        </w:p>
      </w:tc>
      <w:tc>
        <w:tcPr>
          <w:tcW w:w="854" w:type="pct"/>
          <w:vAlign w:val="center"/>
        </w:tcPr>
        <w:p w:rsidR="00656958" w:rsidRDefault="003E2BD5">
          <w:pPr>
            <w:pStyle w:val="a3"/>
            <w:tabs>
              <w:tab w:val="center" w:pos="142"/>
            </w:tabs>
            <w:wordWrap w:val="0"/>
            <w:ind w:firstLine="360"/>
            <w:jc w:val="right"/>
            <w:rPr>
              <w:lang w:val="en-GB"/>
            </w:rPr>
          </w:pPr>
          <w:r>
            <w:rPr>
              <w:rFonts w:hint="eastAsia"/>
              <w:lang w:val="en-GB"/>
            </w:rPr>
            <w:t xml:space="preserve"> </w:t>
          </w:r>
          <w:r>
            <w:rPr>
              <w:lang w:val="en-GB"/>
            </w:rPr>
            <w:t xml:space="preserve">    </w:t>
          </w:r>
        </w:p>
      </w:tc>
    </w:tr>
  </w:tbl>
  <w:p w:rsidR="00656958" w:rsidRDefault="00656958">
    <w:pPr>
      <w:pStyle w:val="a3"/>
      <w:tabs>
        <w:tab w:val="center" w:pos="1701"/>
        <w:tab w:val="center" w:pos="4876"/>
        <w:tab w:val="right" w:pos="9979"/>
      </w:tabs>
      <w:spacing w:line="20" w:lineRule="exac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958" w:rsidRDefault="00656958">
    <w:pPr>
      <w:pStyle w:val="a3"/>
      <w:tabs>
        <w:tab w:val="center" w:pos="5046"/>
        <w:tab w:val="center" w:pos="8392"/>
        <w:tab w:val="center" w:pos="9979"/>
      </w:tabs>
      <w:spacing w:line="20" w:lineRule="exact"/>
      <w:ind w:firstLine="360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958" w:rsidRDefault="00656958">
    <w:pPr>
      <w:pStyle w:val="a3"/>
      <w:tabs>
        <w:tab w:val="center" w:pos="142"/>
      </w:tabs>
      <w:spacing w:line="20" w:lineRule="exac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BD5" w:rsidRDefault="003E2BD5">
      <w:pPr>
        <w:spacing w:line="240" w:lineRule="auto"/>
        <w:ind w:firstLine="400"/>
      </w:pPr>
      <w:r>
        <w:separator/>
      </w:r>
    </w:p>
  </w:footnote>
  <w:footnote w:type="continuationSeparator" w:id="0">
    <w:p w:rsidR="003E2BD5" w:rsidRDefault="003E2BD5">
      <w:pPr>
        <w:spacing w:line="240" w:lineRule="auto"/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91"/>
      <w:gridCol w:w="4287"/>
      <w:gridCol w:w="1000"/>
    </w:tblGrid>
    <w:tr w:rsidR="00656958">
      <w:tc>
        <w:tcPr>
          <w:tcW w:w="2351" w:type="pct"/>
        </w:tcPr>
        <w:p w:rsidR="00656958" w:rsidRDefault="00656958">
          <w:pPr>
            <w:spacing w:line="240" w:lineRule="exact"/>
            <w:ind w:firstLineChars="0" w:firstLine="0"/>
          </w:pPr>
        </w:p>
      </w:tc>
      <w:tc>
        <w:tcPr>
          <w:tcW w:w="2148" w:type="pct"/>
        </w:tcPr>
        <w:p w:rsidR="00656958" w:rsidRDefault="00656958">
          <w:pPr>
            <w:spacing w:line="240" w:lineRule="exact"/>
            <w:ind w:firstLineChars="0" w:firstLine="0"/>
          </w:pPr>
        </w:p>
      </w:tc>
      <w:tc>
        <w:tcPr>
          <w:tcW w:w="501" w:type="pct"/>
        </w:tcPr>
        <w:p w:rsidR="00656958" w:rsidRDefault="00656958">
          <w:pPr>
            <w:spacing w:line="240" w:lineRule="exact"/>
            <w:ind w:firstLineChars="0" w:firstLine="0"/>
          </w:pPr>
        </w:p>
      </w:tc>
    </w:tr>
  </w:tbl>
  <w:p w:rsidR="00656958" w:rsidRDefault="00656958">
    <w:pPr>
      <w:pStyle w:val="a5"/>
      <w:pBdr>
        <w:bottom w:val="none" w:sz="0" w:space="0" w:color="auto"/>
      </w:pBdr>
      <w:tabs>
        <w:tab w:val="left" w:pos="2273"/>
        <w:tab w:val="left" w:pos="6420"/>
        <w:tab w:val="left" w:pos="9255"/>
      </w:tabs>
      <w:spacing w:line="20" w:lineRule="exact"/>
      <w:ind w:firstLineChars="0" w:firstLine="0"/>
      <w:jc w:val="left"/>
      <w:rPr>
        <w:shd w:val="clear" w:color="auto" w:fill="000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958" w:rsidRDefault="00656958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horzAnchor="margin" w:tblpXSpec="right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1440"/>
    </w:tblGrid>
    <w:tr w:rsidR="00656958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656958" w:rsidRDefault="00656958">
          <w:pPr>
            <w:spacing w:line="240" w:lineRule="exact"/>
            <w:ind w:firstLineChars="0" w:firstLine="0"/>
            <w:rPr>
              <w:rFonts w:eastAsia="黑体"/>
              <w:b/>
              <w:bCs/>
              <w:color w:val="FFFFFF"/>
              <w:position w:val="6"/>
              <w:sz w:val="18"/>
            </w:rPr>
          </w:pP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56958" w:rsidRDefault="00656958">
          <w:pPr>
            <w:spacing w:line="240" w:lineRule="exact"/>
            <w:ind w:firstLineChars="0" w:firstLine="0"/>
            <w:rPr>
              <w:rFonts w:eastAsia="黑体"/>
              <w:b/>
              <w:bCs/>
              <w:color w:val="FFFFFF"/>
              <w:position w:val="6"/>
              <w:sz w:val="18"/>
            </w:rPr>
          </w:pPr>
        </w:p>
      </w:tc>
    </w:tr>
  </w:tbl>
  <w:p w:rsidR="00656958" w:rsidRDefault="00656958">
    <w:pPr>
      <w:pStyle w:val="a5"/>
      <w:pBdr>
        <w:bottom w:val="none" w:sz="0" w:space="0" w:color="auto"/>
      </w:pBdr>
      <w:tabs>
        <w:tab w:val="right" w:pos="9979"/>
      </w:tabs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47296"/>
    <w:multiLevelType w:val="multilevel"/>
    <w:tmpl w:val="53B47296"/>
    <w:lvl w:ilvl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none"/>
      <w:pStyle w:val="B1"/>
      <w:suff w:val="nothing"/>
      <w:lvlText w:val="%1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B2"/>
      <w:suff w:val="nothing"/>
      <w:lvlText w:val="%1%3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B3"/>
      <w:suff w:val="nothing"/>
      <w:lvlText w:val="%1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C"/>
      <w:lvlText w:val="%1[%5]"/>
      <w:lvlJc w:val="right"/>
      <w:pPr>
        <w:tabs>
          <w:tab w:val="left" w:pos="397"/>
        </w:tabs>
        <w:ind w:left="397" w:hanging="125"/>
      </w:pPr>
      <w:rPr>
        <w:rFonts w:ascii="Times New Roman" w:eastAsia="宋体" w:hAnsi="Times New Roman" w:hint="default"/>
        <w:b w:val="0"/>
        <w:i w:val="0"/>
        <w:color w:val="000000"/>
        <w:sz w:val="16"/>
        <w:u w:val="none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B8"/>
    <w:rsid w:val="000C15A7"/>
    <w:rsid w:val="00174D67"/>
    <w:rsid w:val="00175AA5"/>
    <w:rsid w:val="001929FC"/>
    <w:rsid w:val="00194864"/>
    <w:rsid w:val="001A420C"/>
    <w:rsid w:val="001D4E07"/>
    <w:rsid w:val="001E26F4"/>
    <w:rsid w:val="00203146"/>
    <w:rsid w:val="002128B7"/>
    <w:rsid w:val="0022587E"/>
    <w:rsid w:val="002375EC"/>
    <w:rsid w:val="00266FC3"/>
    <w:rsid w:val="002757A7"/>
    <w:rsid w:val="00283715"/>
    <w:rsid w:val="002E4BD7"/>
    <w:rsid w:val="002F5553"/>
    <w:rsid w:val="003137CF"/>
    <w:rsid w:val="0032224A"/>
    <w:rsid w:val="003537AD"/>
    <w:rsid w:val="0039473B"/>
    <w:rsid w:val="003A5D25"/>
    <w:rsid w:val="003C4AAF"/>
    <w:rsid w:val="003E0E0A"/>
    <w:rsid w:val="003E2BD5"/>
    <w:rsid w:val="003E7E5A"/>
    <w:rsid w:val="004E4202"/>
    <w:rsid w:val="004F6D9A"/>
    <w:rsid w:val="00505172"/>
    <w:rsid w:val="00546FD8"/>
    <w:rsid w:val="00565E8E"/>
    <w:rsid w:val="005E5058"/>
    <w:rsid w:val="005E6139"/>
    <w:rsid w:val="006005E2"/>
    <w:rsid w:val="00603F62"/>
    <w:rsid w:val="00623E20"/>
    <w:rsid w:val="00656958"/>
    <w:rsid w:val="006772A0"/>
    <w:rsid w:val="006E6BA2"/>
    <w:rsid w:val="006F2D22"/>
    <w:rsid w:val="006F626A"/>
    <w:rsid w:val="00725E79"/>
    <w:rsid w:val="007D7005"/>
    <w:rsid w:val="008100CF"/>
    <w:rsid w:val="008209A1"/>
    <w:rsid w:val="008239D2"/>
    <w:rsid w:val="00832A2B"/>
    <w:rsid w:val="008379C4"/>
    <w:rsid w:val="008628A6"/>
    <w:rsid w:val="00864BBC"/>
    <w:rsid w:val="0088391B"/>
    <w:rsid w:val="008A77C6"/>
    <w:rsid w:val="008E3646"/>
    <w:rsid w:val="00904B03"/>
    <w:rsid w:val="0091741E"/>
    <w:rsid w:val="009468C7"/>
    <w:rsid w:val="00954855"/>
    <w:rsid w:val="00965DB5"/>
    <w:rsid w:val="009E001A"/>
    <w:rsid w:val="009E52DE"/>
    <w:rsid w:val="009F665A"/>
    <w:rsid w:val="00A35B91"/>
    <w:rsid w:val="00A467D8"/>
    <w:rsid w:val="00A631DB"/>
    <w:rsid w:val="00A71FB8"/>
    <w:rsid w:val="00AA1D5F"/>
    <w:rsid w:val="00AA51FC"/>
    <w:rsid w:val="00AA6819"/>
    <w:rsid w:val="00AF2DCF"/>
    <w:rsid w:val="00B0343C"/>
    <w:rsid w:val="00B237F1"/>
    <w:rsid w:val="00B87C69"/>
    <w:rsid w:val="00BB5DD2"/>
    <w:rsid w:val="00BF09D5"/>
    <w:rsid w:val="00BF209C"/>
    <w:rsid w:val="00C63BE4"/>
    <w:rsid w:val="00CA4703"/>
    <w:rsid w:val="00CC3ED0"/>
    <w:rsid w:val="00D104F3"/>
    <w:rsid w:val="00D33015"/>
    <w:rsid w:val="00D9064A"/>
    <w:rsid w:val="00DB00A2"/>
    <w:rsid w:val="00DC458D"/>
    <w:rsid w:val="00DF7D75"/>
    <w:rsid w:val="00E26789"/>
    <w:rsid w:val="00EB1B32"/>
    <w:rsid w:val="00ED297B"/>
    <w:rsid w:val="00ED4343"/>
    <w:rsid w:val="00F27F5A"/>
    <w:rsid w:val="00F34C23"/>
    <w:rsid w:val="00F54FCB"/>
    <w:rsid w:val="00F76DFE"/>
    <w:rsid w:val="00F80711"/>
    <w:rsid w:val="00FD63EF"/>
    <w:rsid w:val="00FE38CF"/>
    <w:rsid w:val="037C7496"/>
    <w:rsid w:val="04EE3E8D"/>
    <w:rsid w:val="44363701"/>
    <w:rsid w:val="47134FE8"/>
    <w:rsid w:val="54484523"/>
    <w:rsid w:val="5AB277ED"/>
    <w:rsid w:val="5CE768A3"/>
    <w:rsid w:val="6E04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A67152"/>
  <w14:defaultImageDpi w14:val="32767"/>
  <w15:docId w15:val="{BC11A600-BA88-4452-A919-3FACCD10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topLinePunct/>
      <w:spacing w:line="300" w:lineRule="exact"/>
      <w:ind w:firstLineChars="200" w:firstLine="200"/>
      <w:jc w:val="both"/>
    </w:pPr>
    <w:rPr>
      <w:rFonts w:ascii="Times New Roman" w:eastAsia="宋体" w:hAnsi="Times New Roman" w:cs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semiHidden/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C">
    <w:name w:val="C参考文献"/>
    <w:qFormat/>
    <w:pPr>
      <w:widowControl w:val="0"/>
      <w:numPr>
        <w:ilvl w:val="4"/>
        <w:numId w:val="1"/>
      </w:numPr>
      <w:overflowPunct w:val="0"/>
      <w:topLinePunct/>
      <w:spacing w:line="220" w:lineRule="exact"/>
      <w:jc w:val="both"/>
      <w:outlineLvl w:val="4"/>
    </w:pPr>
    <w:rPr>
      <w:rFonts w:ascii="Times New Roman" w:eastAsia="宋体" w:hAnsi="Times New Roman" w:cs="Courier New"/>
      <w:kern w:val="2"/>
      <w:sz w:val="16"/>
      <w:szCs w:val="21"/>
    </w:rPr>
  </w:style>
  <w:style w:type="paragraph" w:customStyle="1" w:styleId="2">
    <w:name w:val="2中文题目"/>
    <w:next w:val="a"/>
    <w:qFormat/>
    <w:pPr>
      <w:keepNext/>
      <w:widowControl w:val="0"/>
      <w:numPr>
        <w:numId w:val="1"/>
      </w:numPr>
      <w:overflowPunct w:val="0"/>
      <w:topLinePunct/>
      <w:spacing w:before="200" w:after="160" w:line="480" w:lineRule="exact"/>
      <w:ind w:leftChars="200" w:left="200" w:rightChars="200" w:right="200"/>
      <w:jc w:val="center"/>
      <w:outlineLvl w:val="0"/>
    </w:pPr>
    <w:rPr>
      <w:rFonts w:ascii="Arial" w:eastAsia="黑体" w:hAnsi="Arial" w:cs="Times New Roman"/>
      <w:kern w:val="2"/>
      <w:sz w:val="30"/>
    </w:rPr>
  </w:style>
  <w:style w:type="paragraph" w:customStyle="1" w:styleId="B2">
    <w:name w:val="B标题(2级)"/>
    <w:next w:val="a"/>
    <w:qFormat/>
    <w:pPr>
      <w:keepNext/>
      <w:keepLines/>
      <w:widowControl w:val="0"/>
      <w:numPr>
        <w:ilvl w:val="2"/>
        <w:numId w:val="1"/>
      </w:numPr>
      <w:overflowPunct w:val="0"/>
      <w:topLinePunct/>
      <w:spacing w:before="60" w:after="60" w:line="300" w:lineRule="exact"/>
      <w:jc w:val="both"/>
      <w:outlineLvl w:val="2"/>
    </w:pPr>
    <w:rPr>
      <w:rFonts w:ascii="Arial" w:eastAsia="黑体" w:hAnsi="Arial" w:cs="Times New Roman"/>
      <w:kern w:val="2"/>
    </w:rPr>
  </w:style>
  <w:style w:type="paragraph" w:customStyle="1" w:styleId="B3">
    <w:name w:val="B标题(3级)"/>
    <w:next w:val="a"/>
    <w:qFormat/>
    <w:pPr>
      <w:keepNext/>
      <w:keepLines/>
      <w:widowControl w:val="0"/>
      <w:numPr>
        <w:ilvl w:val="3"/>
        <w:numId w:val="1"/>
      </w:numPr>
      <w:overflowPunct w:val="0"/>
      <w:topLinePunct/>
      <w:spacing w:before="40" w:after="40" w:line="280" w:lineRule="exact"/>
      <w:jc w:val="both"/>
      <w:outlineLvl w:val="3"/>
    </w:pPr>
    <w:rPr>
      <w:rFonts w:ascii="Times New Roman" w:eastAsia="楷体_GB2312" w:hAnsi="Times New Roman" w:cs="Times New Roman"/>
      <w:w w:val="105"/>
      <w:kern w:val="2"/>
    </w:rPr>
  </w:style>
  <w:style w:type="paragraph" w:customStyle="1" w:styleId="B1">
    <w:name w:val="B标题(1级)"/>
    <w:next w:val="a"/>
    <w:qFormat/>
    <w:pPr>
      <w:keepNext/>
      <w:keepLines/>
      <w:widowControl w:val="0"/>
      <w:numPr>
        <w:ilvl w:val="1"/>
        <w:numId w:val="1"/>
      </w:numPr>
      <w:overflowPunct w:val="0"/>
      <w:topLinePunct/>
      <w:spacing w:before="160" w:after="120" w:line="340" w:lineRule="exact"/>
      <w:jc w:val="both"/>
      <w:outlineLvl w:val="1"/>
    </w:pPr>
    <w:rPr>
      <w:rFonts w:ascii="Arial" w:eastAsia="黑体" w:hAnsi="Arial" w:cs="Times New Roman"/>
      <w:b/>
      <w:color w:val="000080"/>
      <w:kern w:val="2"/>
      <w:sz w:val="23"/>
    </w:rPr>
  </w:style>
  <w:style w:type="paragraph" w:customStyle="1" w:styleId="a9">
    <w:name w:val="图下"/>
    <w:basedOn w:val="a"/>
    <w:link w:val="aa"/>
    <w:qFormat/>
    <w:pPr>
      <w:keepNext/>
      <w:overflowPunct/>
      <w:topLinePunct w:val="0"/>
      <w:spacing w:line="360" w:lineRule="auto"/>
      <w:ind w:firstLineChars="0" w:firstLine="0"/>
      <w:jc w:val="center"/>
    </w:pPr>
    <w:rPr>
      <w:sz w:val="24"/>
      <w:szCs w:val="20"/>
    </w:rPr>
  </w:style>
  <w:style w:type="character" w:customStyle="1" w:styleId="aa">
    <w:name w:val="图下 字符"/>
    <w:link w:val="a9"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q4iawc">
    <w:name w:val="q4iawc"/>
    <w:basedOn w:val="a0"/>
    <w:qFormat/>
  </w:style>
  <w:style w:type="paragraph" w:customStyle="1" w:styleId="ab">
    <w:name w:val="中文摘要"/>
    <w:basedOn w:val="a"/>
    <w:link w:val="Char"/>
    <w:qFormat/>
    <w:pPr>
      <w:overflowPunct/>
      <w:topLinePunct w:val="0"/>
      <w:spacing w:before="320" w:after="320" w:line="360" w:lineRule="auto"/>
      <w:ind w:firstLine="482"/>
      <w:jc w:val="center"/>
      <w:outlineLvl w:val="0"/>
    </w:pPr>
    <w:rPr>
      <w:rFonts w:eastAsia="黑体"/>
      <w:b/>
      <w:bCs/>
      <w:sz w:val="32"/>
      <w:szCs w:val="30"/>
    </w:rPr>
  </w:style>
  <w:style w:type="character" w:customStyle="1" w:styleId="Char">
    <w:name w:val="中文摘要 Char"/>
    <w:link w:val="ab"/>
    <w:qFormat/>
    <w:rPr>
      <w:rFonts w:ascii="Times New Roman" w:eastAsia="黑体" w:hAnsi="Times New Roman" w:cs="Times New Roman"/>
      <w:b/>
      <w:bCs/>
      <w:sz w:val="32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oleObject" Target="embeddings/oleObject3.bin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hyperlink" Target="mailto:578527840@qq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0.emf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oleObject" Target="embeddings/oleObject5.bin"/><Relationship Id="rId28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em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huizhen</dc:creator>
  <cp:lastModifiedBy>ASUS</cp:lastModifiedBy>
  <cp:revision>55</cp:revision>
  <dcterms:created xsi:type="dcterms:W3CDTF">2023-05-17T03:57:00Z</dcterms:created>
  <dcterms:modified xsi:type="dcterms:W3CDTF">2026-05-26T03:34:00Z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eyJoZGlkIjoiMzE4ODZlNjJjOTkxYTU1NjBjOTZjYzA5YzY1NzNjYTIiLCJ1c2VySWQiOiIxMDgzMzc4NDQ3In0=</vt:lpwstr>
  </property>
  <property fmtid="{D5CDD505-2E9C-101B-9397-08002B2CF9AE}" pid="3" name="KSOProductBuildVer">
    <vt:lpwstr>2052-12.1.0.26375</vt:lpwstr>
  </property>
  <property fmtid="{D5CDD505-2E9C-101B-9397-08002B2CF9AE}" pid="4" name="ICV">
    <vt:lpwstr>2D64859A3DEF4A598A3F9FB564DBCCDC_12</vt:lpwstr>
  </property>
</Properties>
</file>