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sz w:val="30"/>
          <w:szCs w:val="30"/>
        </w:rPr>
        <w:t xml:space="preserve">STROBE Statement — Checklist of items to be included in reports of observational studies</w:t>
      </w:r>
    </w:p>
    <w:p>
      <w:pPr>
        <w:spacing w:after="150" w:line="300"/>
      </w:pPr>
      <w:r>
        <w:rPr>
          <w:i/>
          <w:iCs/>
        </w:rPr>
        <w:t xml:space="preserve">Manuscript: District-Level Trends in Veterinary Antimicrobial Prescribing in a Resource-Limited Setting: Evidence from Mongar, Bhutan (2023–2026)</w:t>
      </w:r>
    </w:p>
    <w:p>
      <w:pPr>
        <w:spacing w:after="150" w:line="300"/>
      </w:pPr>
      <w:r>
        <w:rPr>
          <w:i/>
          <w:iCs/>
          <w:sz w:val="20"/>
          <w:szCs w:val="20"/>
        </w:rPr>
        <w:t xml:space="preserve">Study design: Retrospective, descriptive analysis of routinely collected veterinary clinical records (repeated cross-sectional / trend design). Items below use the STROBE cross-sectional-study wording where item wording diverges by design, adapted for a veterinary (non-human) retrospective records-based study.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W w:type="pct" w:w="8%"/>
            <w:tcMar>
              <w:top w:type="dxa" w:w="80"/>
              <w:left w:type="dxa" w:w="100"/>
              <w:bottom w:type="dxa" w:w="80"/>
              <w:right w:type="dxa" w:w="100"/>
            </w:tcMar>
            <w:vAlign w:val="center"/>
          </w:tcPr>
          <w:p>
            <w:r>
              <w:rPr>
                <w:b/>
                <w:bCs/>
                <w:sz w:val="19"/>
                <w:szCs w:val="19"/>
              </w:rPr>
              <w:t xml:space="preserve">Item No</w:t>
            </w:r>
          </w:p>
        </w:tc>
        <w:tc>
          <w:tcPr>
            <w:tcW w:type="pct" w:w="47%"/>
            <w:tcMar>
              <w:top w:type="dxa" w:w="80"/>
              <w:left w:type="dxa" w:w="100"/>
              <w:bottom w:type="dxa" w:w="80"/>
              <w:right w:type="dxa" w:w="100"/>
            </w:tcMar>
            <w:vAlign w:val="center"/>
          </w:tcPr>
          <w:p>
            <w:r>
              <w:rPr>
                <w:b/>
                <w:bCs/>
                <w:sz w:val="19"/>
                <w:szCs w:val="19"/>
              </w:rPr>
              <w:t xml:space="preserve">Recommendation</w:t>
            </w:r>
          </w:p>
        </w:tc>
        <w:tc>
          <w:tcPr>
            <w:tcW w:type="pct" w:w="45%"/>
            <w:tcMar>
              <w:top w:type="dxa" w:w="80"/>
              <w:left w:type="dxa" w:w="100"/>
              <w:bottom w:type="dxa" w:w="80"/>
              <w:right w:type="dxa" w:w="100"/>
            </w:tcMar>
            <w:vAlign w:val="center"/>
          </w:tcPr>
          <w:p>
            <w:r>
              <w:rPr>
                <w:b/>
                <w:bCs/>
                <w:sz w:val="19"/>
                <w:szCs w:val="19"/>
              </w:rPr>
              <w:t xml:space="preserve">Reported in manuscript (section / detail)</w:t>
            </w:r>
          </w:p>
        </w:tc>
      </w:tr>
      <w:tr>
        <w:tc>
          <w:tcPr>
            <w:gridSpan w:val="3"/>
            <w:tcMar>
              <w:top w:type="dxa" w:w="80"/>
              <w:left w:type="dxa" w:w="100"/>
              <w:bottom w:type="dxa" w:w="80"/>
              <w:right w:type="dxa" w:w="100"/>
            </w:tcMar>
          </w:tcPr>
          <w:p>
            <w:r>
              <w:rPr>
                <w:b/>
                <w:bCs/>
                <w:sz w:val="20"/>
                <w:szCs w:val="20"/>
              </w:rPr>
              <w:t xml:space="preserve">Title and abstract</w:t>
            </w:r>
          </w:p>
        </w:tc>
      </w:tr>
      <w:tr>
        <w:tc>
          <w:tcPr>
            <w:tcMar>
              <w:top w:type="dxa" w:w="80"/>
              <w:left w:type="dxa" w:w="100"/>
              <w:bottom w:type="dxa" w:w="80"/>
              <w:right w:type="dxa" w:w="100"/>
            </w:tcMar>
            <w:vAlign w:val="center"/>
          </w:tcPr>
          <w:p>
            <w:r>
              <w:rPr>
                <w:b w:val="false"/>
                <w:bCs w:val="false"/>
                <w:sz w:val="19"/>
                <w:szCs w:val="19"/>
              </w:rPr>
              <w:t xml:space="preserve">1(a)</w:t>
            </w:r>
          </w:p>
        </w:tc>
        <w:tc>
          <w:tcPr>
            <w:tcMar>
              <w:top w:type="dxa" w:w="80"/>
              <w:left w:type="dxa" w:w="100"/>
              <w:bottom w:type="dxa" w:w="80"/>
              <w:right w:type="dxa" w:w="100"/>
            </w:tcMar>
            <w:vAlign w:val="center"/>
          </w:tcPr>
          <w:p>
            <w:r>
              <w:rPr>
                <w:b w:val="false"/>
                <w:bCs w:val="false"/>
                <w:sz w:val="19"/>
                <w:szCs w:val="19"/>
              </w:rPr>
              <w:t xml:space="preserve">Indicate the study's design with a commonly used term in the title or abstract</w:t>
            </w:r>
          </w:p>
        </w:tc>
        <w:tc>
          <w:tcPr>
            <w:tcMar>
              <w:top w:type="dxa" w:w="80"/>
              <w:left w:type="dxa" w:w="100"/>
              <w:bottom w:type="dxa" w:w="80"/>
              <w:right w:type="dxa" w:w="100"/>
            </w:tcMar>
            <w:vAlign w:val="center"/>
          </w:tcPr>
          <w:p>
            <w:r>
              <w:rPr>
                <w:b w:val="false"/>
                <w:bCs w:val="false"/>
                <w:sz w:val="19"/>
                <w:szCs w:val="19"/>
              </w:rPr>
              <w:t xml:space="preserve">Title: “District-Level Trends...” indicates a trend/retrospective design. Abstract Methods states “A retrospective analysis of clinical veterinary records...was conducted.”</w:t>
            </w:r>
          </w:p>
        </w:tc>
      </w:tr>
      <w:tr>
        <w:tc>
          <w:tcPr>
            <w:tcMar>
              <w:top w:type="dxa" w:w="80"/>
              <w:left w:type="dxa" w:w="100"/>
              <w:bottom w:type="dxa" w:w="80"/>
              <w:right w:type="dxa" w:w="100"/>
            </w:tcMar>
            <w:vAlign w:val="center"/>
          </w:tcPr>
          <w:p>
            <w:r>
              <w:rPr>
                <w:b w:val="false"/>
                <w:bCs w:val="false"/>
                <w:sz w:val="19"/>
                <w:szCs w:val="19"/>
              </w:rPr>
              <w:t xml:space="preserve">1(b)</w:t>
            </w:r>
          </w:p>
        </w:tc>
        <w:tc>
          <w:tcPr>
            <w:tcMar>
              <w:top w:type="dxa" w:w="80"/>
              <w:left w:type="dxa" w:w="100"/>
              <w:bottom w:type="dxa" w:w="80"/>
              <w:right w:type="dxa" w:w="100"/>
            </w:tcMar>
            <w:vAlign w:val="center"/>
          </w:tcPr>
          <w:p>
            <w:r>
              <w:rPr>
                <w:b w:val="false"/>
                <w:bCs w:val="false"/>
                <w:sz w:val="19"/>
                <w:szCs w:val="19"/>
              </w:rPr>
              <w:t xml:space="preserve">Provide in the abstract an informative and balanced summary of what was done and what was found</w:t>
            </w:r>
          </w:p>
        </w:tc>
        <w:tc>
          <w:tcPr>
            <w:tcMar>
              <w:top w:type="dxa" w:w="80"/>
              <w:left w:type="dxa" w:w="100"/>
              <w:bottom w:type="dxa" w:w="80"/>
              <w:right w:type="dxa" w:w="100"/>
            </w:tcMar>
            <w:vAlign w:val="center"/>
          </w:tcPr>
          <w:p>
            <w:r>
              <w:rPr>
                <w:b w:val="false"/>
                <w:bCs w:val="false"/>
                <w:sz w:val="19"/>
                <w:szCs w:val="19"/>
              </w:rPr>
              <w:t xml:space="preserve">Abstract (structured: Background/Methods/Results/Conclusions), 343 words — includes setting, period, sample size, key findings (trend, species/facility differences, seasonality), and a balanced statement on what stability does and does not mean.</w:t>
            </w:r>
          </w:p>
        </w:tc>
      </w:tr>
      <w:tr>
        <w:tc>
          <w:tcPr>
            <w:gridSpan w:val="3"/>
            <w:tcMar>
              <w:top w:type="dxa" w:w="80"/>
              <w:left w:type="dxa" w:w="100"/>
              <w:bottom w:type="dxa" w:w="80"/>
              <w:right w:type="dxa" w:w="100"/>
            </w:tcMar>
          </w:tcPr>
          <w:p>
            <w:r>
              <w:rPr>
                <w:b/>
                <w:bCs/>
                <w:sz w:val="20"/>
                <w:szCs w:val="20"/>
              </w:rPr>
              <w:t xml:space="preserve">Introduction</w:t>
            </w:r>
          </w:p>
        </w:tc>
      </w:tr>
      <w:tr>
        <w:tc>
          <w:tcPr>
            <w:tcMar>
              <w:top w:type="dxa" w:w="80"/>
              <w:left w:type="dxa" w:w="100"/>
              <w:bottom w:type="dxa" w:w="80"/>
              <w:right w:type="dxa" w:w="100"/>
            </w:tcMar>
            <w:vAlign w:val="center"/>
          </w:tcPr>
          <w:p>
            <w:r>
              <w:rPr>
                <w:b w:val="false"/>
                <w:bCs w:val="false"/>
                <w:sz w:val="19"/>
                <w:szCs w:val="19"/>
              </w:rPr>
              <w:t xml:space="preserve">2</w:t>
            </w:r>
          </w:p>
        </w:tc>
        <w:tc>
          <w:tcPr>
            <w:tcMar>
              <w:top w:type="dxa" w:w="80"/>
              <w:left w:type="dxa" w:w="100"/>
              <w:bottom w:type="dxa" w:w="80"/>
              <w:right w:type="dxa" w:w="100"/>
            </w:tcMar>
            <w:vAlign w:val="center"/>
          </w:tcPr>
          <w:p>
            <w:r>
              <w:rPr>
                <w:b w:val="false"/>
                <w:bCs w:val="false"/>
                <w:sz w:val="19"/>
                <w:szCs w:val="19"/>
              </w:rPr>
              <w:t xml:space="preserve">Explain the scientific background and rationale for the investigation being reported</w:t>
            </w:r>
          </w:p>
        </w:tc>
        <w:tc>
          <w:tcPr>
            <w:tcMar>
              <w:top w:type="dxa" w:w="80"/>
              <w:left w:type="dxa" w:w="100"/>
              <w:bottom w:type="dxa" w:w="80"/>
              <w:right w:type="dxa" w:w="100"/>
            </w:tcMar>
            <w:vAlign w:val="center"/>
          </w:tcPr>
          <w:p>
            <w:r>
              <w:rPr>
                <w:b w:val="false"/>
                <w:bCs w:val="false"/>
                <w:sz w:val="19"/>
                <w:szCs w:val="19"/>
              </w:rPr>
              <w:t xml:space="preserve">Background, paragraphs 1–4 — global/regional AMR context, LMIC surveillance gap, Bhutan's district veterinary model, and the specific evidence gap this study addresses.</w:t>
            </w:r>
          </w:p>
        </w:tc>
      </w:tr>
      <w:tr>
        <w:tc>
          <w:tcPr>
            <w:tcMar>
              <w:top w:type="dxa" w:w="80"/>
              <w:left w:type="dxa" w:w="100"/>
              <w:bottom w:type="dxa" w:w="80"/>
              <w:right w:type="dxa" w:w="100"/>
            </w:tcMar>
            <w:vAlign w:val="center"/>
          </w:tcPr>
          <w:p>
            <w:r>
              <w:rPr>
                <w:b w:val="false"/>
                <w:bCs w:val="false"/>
                <w:sz w:val="19"/>
                <w:szCs w:val="19"/>
              </w:rPr>
              <w:t xml:space="preserve">3</w:t>
            </w:r>
          </w:p>
        </w:tc>
        <w:tc>
          <w:tcPr>
            <w:tcMar>
              <w:top w:type="dxa" w:w="80"/>
              <w:left w:type="dxa" w:w="100"/>
              <w:bottom w:type="dxa" w:w="80"/>
              <w:right w:type="dxa" w:w="100"/>
            </w:tcMar>
            <w:vAlign w:val="center"/>
          </w:tcPr>
          <w:p>
            <w:r>
              <w:rPr>
                <w:b w:val="false"/>
                <w:bCs w:val="false"/>
                <w:sz w:val="19"/>
                <w:szCs w:val="19"/>
              </w:rPr>
              <w:t xml:space="preserve">State specific objectives, including any prespecified hypotheses</w:t>
            </w:r>
          </w:p>
        </w:tc>
        <w:tc>
          <w:tcPr>
            <w:tcMar>
              <w:top w:type="dxa" w:w="80"/>
              <w:left w:type="dxa" w:w="100"/>
              <w:bottom w:type="dxa" w:w="80"/>
              <w:right w:type="dxa" w:w="100"/>
            </w:tcMar>
            <w:vAlign w:val="center"/>
          </w:tcPr>
          <w:p>
            <w:r>
              <w:rPr>
                <w:b w:val="false"/>
                <w:bCs w:val="false"/>
                <w:sz w:val="19"/>
                <w:szCs w:val="19"/>
              </w:rPr>
              <w:t xml:space="preserve">End of Background — states the study's aim to characterize antimicrobial prescribing volume, trend, species/facility patterns, and seasonality using routinely collected VIS records; descriptive/exploratory, no formal prespecified hypotheses stated (noted as appropriate for a retrospective descriptive design).</w:t>
            </w:r>
          </w:p>
        </w:tc>
      </w:tr>
      <w:tr>
        <w:tc>
          <w:tcPr>
            <w:gridSpan w:val="3"/>
            <w:tcMar>
              <w:top w:type="dxa" w:w="80"/>
              <w:left w:type="dxa" w:w="100"/>
              <w:bottom w:type="dxa" w:w="80"/>
              <w:right w:type="dxa" w:w="100"/>
            </w:tcMar>
          </w:tcPr>
          <w:p>
            <w:r>
              <w:rPr>
                <w:b/>
                <w:bCs/>
                <w:sz w:val="20"/>
                <w:szCs w:val="20"/>
              </w:rPr>
              <w:t xml:space="preserve">Methods</w:t>
            </w:r>
          </w:p>
        </w:tc>
      </w:tr>
      <w:tr>
        <w:tc>
          <w:tcPr>
            <w:tcMar>
              <w:top w:type="dxa" w:w="80"/>
              <w:left w:type="dxa" w:w="100"/>
              <w:bottom w:type="dxa" w:w="80"/>
              <w:right w:type="dxa" w:w="100"/>
            </w:tcMar>
            <w:vAlign w:val="center"/>
          </w:tcPr>
          <w:p>
            <w:r>
              <w:rPr>
                <w:b w:val="false"/>
                <w:bCs w:val="false"/>
                <w:sz w:val="19"/>
                <w:szCs w:val="19"/>
              </w:rPr>
              <w:t xml:space="preserve">4</w:t>
            </w:r>
          </w:p>
        </w:tc>
        <w:tc>
          <w:tcPr>
            <w:tcMar>
              <w:top w:type="dxa" w:w="80"/>
              <w:left w:type="dxa" w:w="100"/>
              <w:bottom w:type="dxa" w:w="80"/>
              <w:right w:type="dxa" w:w="100"/>
            </w:tcMar>
            <w:vAlign w:val="center"/>
          </w:tcPr>
          <w:p>
            <w:r>
              <w:rPr>
                <w:b w:val="false"/>
                <w:bCs w:val="false"/>
                <w:sz w:val="19"/>
                <w:szCs w:val="19"/>
              </w:rPr>
              <w:t xml:space="preserve">Present key elements of study design early in the paper</w:t>
            </w:r>
          </w:p>
        </w:tc>
        <w:tc>
          <w:tcPr>
            <w:tcMar>
              <w:top w:type="dxa" w:w="80"/>
              <w:left w:type="dxa" w:w="100"/>
              <w:bottom w:type="dxa" w:w="80"/>
              <w:right w:type="dxa" w:w="100"/>
            </w:tcMar>
            <w:vAlign w:val="center"/>
          </w:tcPr>
          <w:p>
            <w:r>
              <w:rPr>
                <w:b w:val="false"/>
                <w:bCs w:val="false"/>
                <w:sz w:val="19"/>
                <w:szCs w:val="19"/>
              </w:rPr>
              <w:t xml:space="preserve">Methods → “Study design and setting”: explicitly states this is a retrospective, descriptive study of clinical veterinary records.</w:t>
            </w:r>
          </w:p>
        </w:tc>
      </w:tr>
      <w:tr>
        <w:tc>
          <w:tcPr>
            <w:tcMar>
              <w:top w:type="dxa" w:w="80"/>
              <w:left w:type="dxa" w:w="100"/>
              <w:bottom w:type="dxa" w:w="80"/>
              <w:right w:type="dxa" w:w="100"/>
            </w:tcMar>
            <w:vAlign w:val="center"/>
          </w:tcPr>
          <w:p>
            <w:r>
              <w:rPr>
                <w:b w:val="false"/>
                <w:bCs w:val="false"/>
                <w:sz w:val="19"/>
                <w:szCs w:val="19"/>
              </w:rPr>
              <w:t xml:space="preserve">5</w:t>
            </w:r>
          </w:p>
        </w:tc>
        <w:tc>
          <w:tcPr>
            <w:tcMar>
              <w:top w:type="dxa" w:w="80"/>
              <w:left w:type="dxa" w:w="100"/>
              <w:bottom w:type="dxa" w:w="80"/>
              <w:right w:type="dxa" w:w="100"/>
            </w:tcMar>
            <w:vAlign w:val="center"/>
          </w:tcPr>
          <w:p>
            <w:r>
              <w:rPr>
                <w:b w:val="false"/>
                <w:bCs w:val="false"/>
                <w:sz w:val="19"/>
                <w:szCs w:val="19"/>
              </w:rPr>
              <w:t xml:space="preserve">Describe the setting, locations, and relevant dates, including periods of data collection</w:t>
            </w:r>
          </w:p>
        </w:tc>
        <w:tc>
          <w:tcPr>
            <w:tcMar>
              <w:top w:type="dxa" w:w="80"/>
              <w:left w:type="dxa" w:w="100"/>
              <w:bottom w:type="dxa" w:w="80"/>
              <w:right w:type="dxa" w:w="100"/>
            </w:tcMar>
            <w:vAlign w:val="center"/>
          </w:tcPr>
          <w:p>
            <w:r>
              <w:rPr>
                <w:b w:val="false"/>
                <w:bCs w:val="false"/>
                <w:sz w:val="19"/>
                <w:szCs w:val="19"/>
              </w:rPr>
              <w:t xml:space="preserve">Methods → “Study design and setting” (Mongar District geography, population, livestock demographics) and “Data source and study period” (VIS, January 2023–June 2026, four annual exports).</w:t>
            </w:r>
          </w:p>
        </w:tc>
      </w:tr>
      <w:tr>
        <w:tc>
          <w:tcPr>
            <w:tcMar>
              <w:top w:type="dxa" w:w="80"/>
              <w:left w:type="dxa" w:w="100"/>
              <w:bottom w:type="dxa" w:w="80"/>
              <w:right w:type="dxa" w:w="100"/>
            </w:tcMar>
            <w:vAlign w:val="center"/>
          </w:tcPr>
          <w:p>
            <w:r>
              <w:rPr>
                <w:b w:val="false"/>
                <w:bCs w:val="false"/>
                <w:sz w:val="19"/>
                <w:szCs w:val="19"/>
              </w:rPr>
              <w:t xml:space="preserve">6</w:t>
            </w:r>
          </w:p>
        </w:tc>
        <w:tc>
          <w:tcPr>
            <w:tcMar>
              <w:top w:type="dxa" w:w="80"/>
              <w:left w:type="dxa" w:w="100"/>
              <w:bottom w:type="dxa" w:w="80"/>
              <w:right w:type="dxa" w:w="100"/>
            </w:tcMar>
            <w:vAlign w:val="center"/>
          </w:tcPr>
          <w:p>
            <w:r>
              <w:rPr>
                <w:b w:val="false"/>
                <w:bCs w:val="false"/>
                <w:sz w:val="19"/>
                <w:szCs w:val="19"/>
              </w:rPr>
              <w:t xml:space="preserve">Give the eligibility criteria, and the sources and methods of selection of records</w:t>
            </w:r>
          </w:p>
        </w:tc>
        <w:tc>
          <w:tcPr>
            <w:tcMar>
              <w:top w:type="dxa" w:w="80"/>
              <w:left w:type="dxa" w:w="100"/>
              <w:bottom w:type="dxa" w:w="80"/>
              <w:right w:type="dxa" w:w="100"/>
            </w:tcMar>
            <w:vAlign w:val="center"/>
          </w:tcPr>
          <w:p>
            <w:r>
              <w:rPr>
                <w:b w:val="false"/>
                <w:bCs w:val="false"/>
                <w:sz w:val="19"/>
                <w:szCs w:val="19"/>
              </w:rPr>
              <w:t xml:space="preserve">Methods → “Case definition and variable selection”: all antimicrobial-classified line items in the merged VIS dataset were included; no sampling was performed (full population of routinely collected records for the period).</w:t>
            </w:r>
          </w:p>
        </w:tc>
      </w:tr>
      <w:tr>
        <w:tc>
          <w:tcPr>
            <w:tcMar>
              <w:top w:type="dxa" w:w="80"/>
              <w:left w:type="dxa" w:w="100"/>
              <w:bottom w:type="dxa" w:w="80"/>
              <w:right w:type="dxa" w:w="100"/>
            </w:tcMar>
            <w:vAlign w:val="center"/>
          </w:tcPr>
          <w:p>
            <w:r>
              <w:rPr>
                <w:b w:val="false"/>
                <w:bCs w:val="false"/>
                <w:sz w:val="19"/>
                <w:szCs w:val="19"/>
              </w:rPr>
              <w:t xml:space="preserve">7</w:t>
            </w:r>
          </w:p>
        </w:tc>
        <w:tc>
          <w:tcPr>
            <w:tcMar>
              <w:top w:type="dxa" w:w="80"/>
              <w:left w:type="dxa" w:w="100"/>
              <w:bottom w:type="dxa" w:w="80"/>
              <w:right w:type="dxa" w:w="100"/>
            </w:tcMar>
            <w:vAlign w:val="center"/>
          </w:tcPr>
          <w:p>
            <w:r>
              <w:rPr>
                <w:b w:val="false"/>
                <w:bCs w:val="false"/>
                <w:sz w:val="19"/>
                <w:szCs w:val="19"/>
              </w:rPr>
              <w:t xml:space="preserve">Clearly define all outcomes, exposures, predictors, potential confounders, and effect modifiers</w:t>
            </w:r>
          </w:p>
        </w:tc>
        <w:tc>
          <w:tcPr>
            <w:tcMar>
              <w:top w:type="dxa" w:w="80"/>
              <w:left w:type="dxa" w:w="100"/>
              <w:bottom w:type="dxa" w:w="80"/>
              <w:right w:type="dxa" w:w="100"/>
            </w:tcMar>
            <w:vAlign w:val="center"/>
          </w:tcPr>
          <w:p>
            <w:r>
              <w:rPr>
                <w:b w:val="false"/>
                <w:bCs w:val="false"/>
                <w:sz w:val="19"/>
                <w:szCs w:val="19"/>
              </w:rPr>
              <w:t xml:space="preserve">Methods → “Case definition and variable selection”: defines antimicrobial prescription (Medicine Class field), species, facility type (jurisdiction), drug class grouping, and the visit-level denominator; species mix identified and tested as a potential confounder for the facility comparison (see Results → Facility-level patterns).</w:t>
            </w:r>
          </w:p>
        </w:tc>
      </w:tr>
      <w:tr>
        <w:tc>
          <w:tcPr>
            <w:tcMar>
              <w:top w:type="dxa" w:w="80"/>
              <w:left w:type="dxa" w:w="100"/>
              <w:bottom w:type="dxa" w:w="80"/>
              <w:right w:type="dxa" w:w="100"/>
            </w:tcMar>
            <w:vAlign w:val="center"/>
          </w:tcPr>
          <w:p>
            <w:r>
              <w:rPr>
                <w:b w:val="false"/>
                <w:bCs w:val="false"/>
                <w:sz w:val="19"/>
                <w:szCs w:val="19"/>
              </w:rPr>
              <w:t xml:space="preserve">8</w:t>
            </w:r>
          </w:p>
        </w:tc>
        <w:tc>
          <w:tcPr>
            <w:tcMar>
              <w:top w:type="dxa" w:w="80"/>
              <w:left w:type="dxa" w:w="100"/>
              <w:bottom w:type="dxa" w:w="80"/>
              <w:right w:type="dxa" w:w="100"/>
            </w:tcMar>
            <w:vAlign w:val="center"/>
          </w:tcPr>
          <w:p>
            <w:r>
              <w:rPr>
                <w:b w:val="false"/>
                <w:bCs w:val="false"/>
                <w:sz w:val="19"/>
                <w:szCs w:val="19"/>
              </w:rPr>
              <w:t xml:space="preserve">For each variable, give sources of data and details of measurement</w:t>
            </w:r>
          </w:p>
        </w:tc>
        <w:tc>
          <w:tcPr>
            <w:tcMar>
              <w:top w:type="dxa" w:w="80"/>
              <w:left w:type="dxa" w:w="100"/>
              <w:bottom w:type="dxa" w:w="80"/>
              <w:right w:type="dxa" w:w="100"/>
            </w:tcMar>
            <w:vAlign w:val="center"/>
          </w:tcPr>
          <w:p>
            <w:r>
              <w:rPr>
                <w:b w:val="false"/>
                <w:bCs w:val="false"/>
                <w:sz w:val="19"/>
                <w:szCs w:val="19"/>
              </w:rPr>
              <w:t xml:space="preserve">Methods → “Data source and study period” and “Data management and cleaning”: VIS as sole data source; cleaning steps (date parsing, field standardization, exclusion of low-completeness columns) explicitly described.</w:t>
            </w:r>
          </w:p>
        </w:tc>
      </w:tr>
      <w:tr>
        <w:tc>
          <w:tcPr>
            <w:tcMar>
              <w:top w:type="dxa" w:w="80"/>
              <w:left w:type="dxa" w:w="100"/>
              <w:bottom w:type="dxa" w:w="80"/>
              <w:right w:type="dxa" w:w="100"/>
            </w:tcMar>
            <w:vAlign w:val="center"/>
          </w:tcPr>
          <w:p>
            <w:r>
              <w:rPr>
                <w:b w:val="false"/>
                <w:bCs w:val="false"/>
                <w:sz w:val="19"/>
                <w:szCs w:val="19"/>
              </w:rPr>
              <w:t xml:space="preserve">9</w:t>
            </w:r>
          </w:p>
        </w:tc>
        <w:tc>
          <w:tcPr>
            <w:tcMar>
              <w:top w:type="dxa" w:w="80"/>
              <w:left w:type="dxa" w:w="100"/>
              <w:bottom w:type="dxa" w:w="80"/>
              <w:right w:type="dxa" w:w="100"/>
            </w:tcMar>
            <w:vAlign w:val="center"/>
          </w:tcPr>
          <w:p>
            <w:r>
              <w:rPr>
                <w:b w:val="false"/>
                <w:bCs w:val="false"/>
                <w:sz w:val="19"/>
                <w:szCs w:val="19"/>
              </w:rPr>
              <w:t xml:space="preserve">Describe any efforts to address potential sources of bias</w:t>
            </w:r>
          </w:p>
        </w:tc>
        <w:tc>
          <w:tcPr>
            <w:tcMar>
              <w:top w:type="dxa" w:w="80"/>
              <w:left w:type="dxa" w:w="100"/>
              <w:bottom w:type="dxa" w:w="80"/>
              <w:right w:type="dxa" w:w="100"/>
            </w:tcMar>
            <w:vAlign w:val="center"/>
          </w:tcPr>
          <w:p>
            <w:r>
              <w:rPr>
                <w:b w:val="false"/>
                <w:bCs w:val="false"/>
                <w:sz w:val="19"/>
                <w:szCs w:val="19"/>
              </w:rPr>
              <w:t xml:space="preserve">Methods → “Statistical analysis”: seasonality-adjustment of the trend model, restriction of facility comparison to Bovine-only cases to rule out a species-mix confound, and Monte Carlo simulation for chi-square tests with low expected cell counts.</w:t>
            </w:r>
          </w:p>
        </w:tc>
      </w:tr>
      <w:tr>
        <w:tc>
          <w:tcPr>
            <w:tcMar>
              <w:top w:type="dxa" w:w="80"/>
              <w:left w:type="dxa" w:w="100"/>
              <w:bottom w:type="dxa" w:w="80"/>
              <w:right w:type="dxa" w:w="100"/>
            </w:tcMar>
            <w:vAlign w:val="center"/>
          </w:tcPr>
          <w:p>
            <w:r>
              <w:rPr>
                <w:b w:val="false"/>
                <w:bCs w:val="false"/>
                <w:sz w:val="19"/>
                <w:szCs w:val="19"/>
              </w:rPr>
              <w:t xml:space="preserve">10</w:t>
            </w:r>
          </w:p>
        </w:tc>
        <w:tc>
          <w:tcPr>
            <w:tcMar>
              <w:top w:type="dxa" w:w="80"/>
              <w:left w:type="dxa" w:w="100"/>
              <w:bottom w:type="dxa" w:w="80"/>
              <w:right w:type="dxa" w:w="100"/>
            </w:tcMar>
            <w:vAlign w:val="center"/>
          </w:tcPr>
          <w:p>
            <w:r>
              <w:rPr>
                <w:b w:val="false"/>
                <w:bCs w:val="false"/>
                <w:sz w:val="19"/>
                <w:szCs w:val="19"/>
              </w:rPr>
              <w:t xml:space="preserve">Explain how the study size was arrived at</w:t>
            </w:r>
          </w:p>
        </w:tc>
        <w:tc>
          <w:tcPr>
            <w:tcMar>
              <w:top w:type="dxa" w:w="80"/>
              <w:left w:type="dxa" w:w="100"/>
              <w:bottom w:type="dxa" w:w="80"/>
              <w:right w:type="dxa" w:w="100"/>
            </w:tcMar>
            <w:vAlign w:val="center"/>
          </w:tcPr>
          <w:p>
            <w:r>
              <w:rPr>
                <w:b w:val="false"/>
                <w:bCs w:val="false"/>
                <w:sz w:val="19"/>
                <w:szCs w:val="19"/>
              </w:rPr>
              <w:t xml:space="preserve">Results → opening paragraph: full population of records in the VIS for the study period was used (17,482 total records; 1,063 antimicrobial prescriptions; 8,881 visits); no separate sample-size calculation was performed as this is a complete-population retrospective analysis, not a prospective survey.</w:t>
            </w:r>
          </w:p>
        </w:tc>
      </w:tr>
      <w:tr>
        <w:tc>
          <w:tcPr>
            <w:tcMar>
              <w:top w:type="dxa" w:w="80"/>
              <w:left w:type="dxa" w:w="100"/>
              <w:bottom w:type="dxa" w:w="80"/>
              <w:right w:type="dxa" w:w="100"/>
            </w:tcMar>
            <w:vAlign w:val="center"/>
          </w:tcPr>
          <w:p>
            <w:r>
              <w:rPr>
                <w:b w:val="false"/>
                <w:bCs w:val="false"/>
                <w:sz w:val="19"/>
                <w:szCs w:val="19"/>
              </w:rPr>
              <w:t xml:space="preserve">11</w:t>
            </w:r>
          </w:p>
        </w:tc>
        <w:tc>
          <w:tcPr>
            <w:tcMar>
              <w:top w:type="dxa" w:w="80"/>
              <w:left w:type="dxa" w:w="100"/>
              <w:bottom w:type="dxa" w:w="80"/>
              <w:right w:type="dxa" w:w="100"/>
            </w:tcMar>
            <w:vAlign w:val="center"/>
          </w:tcPr>
          <w:p>
            <w:r>
              <w:rPr>
                <w:b w:val="false"/>
                <w:bCs w:val="false"/>
                <w:sz w:val="19"/>
                <w:szCs w:val="19"/>
              </w:rPr>
              <w:t xml:space="preserve">Explain how quantitative variables were handled in the analyses</w:t>
            </w:r>
          </w:p>
        </w:tc>
        <w:tc>
          <w:tcPr>
            <w:tcMar>
              <w:top w:type="dxa" w:w="80"/>
              <w:left w:type="dxa" w:w="100"/>
              <w:bottom w:type="dxa" w:w="80"/>
              <w:right w:type="dxa" w:w="100"/>
            </w:tcMar>
            <w:vAlign w:val="center"/>
          </w:tcPr>
          <w:p>
            <w:r>
              <w:rPr>
                <w:b w:val="false"/>
                <w:bCs w:val="false"/>
                <w:sz w:val="19"/>
                <w:szCs w:val="19"/>
              </w:rPr>
              <w:t xml:space="preserve">Methods → “Statistical analysis”: monthly counts used as the outcome for trend regression; species, facility type, and drug class treated as categorical groupings, defined and justified in “Case definition and variable selection.”</w:t>
            </w:r>
          </w:p>
        </w:tc>
      </w:tr>
      <w:tr>
        <w:tc>
          <w:tcPr>
            <w:tcMar>
              <w:top w:type="dxa" w:w="80"/>
              <w:left w:type="dxa" w:w="100"/>
              <w:bottom w:type="dxa" w:w="80"/>
              <w:right w:type="dxa" w:w="100"/>
            </w:tcMar>
            <w:vAlign w:val="center"/>
          </w:tcPr>
          <w:p>
            <w:r>
              <w:rPr>
                <w:b w:val="false"/>
                <w:bCs w:val="false"/>
                <w:sz w:val="19"/>
                <w:szCs w:val="19"/>
              </w:rPr>
              <w:t xml:space="preserve">12(a)</w:t>
            </w:r>
          </w:p>
        </w:tc>
        <w:tc>
          <w:tcPr>
            <w:tcMar>
              <w:top w:type="dxa" w:w="80"/>
              <w:left w:type="dxa" w:w="100"/>
              <w:bottom w:type="dxa" w:w="80"/>
              <w:right w:type="dxa" w:w="100"/>
            </w:tcMar>
            <w:vAlign w:val="center"/>
          </w:tcPr>
          <w:p>
            <w:r>
              <w:rPr>
                <w:b w:val="false"/>
                <w:bCs w:val="false"/>
                <w:sz w:val="19"/>
                <w:szCs w:val="19"/>
              </w:rPr>
              <w:t xml:space="preserve">Describe all statistical methods, including methods to control for confounding</w:t>
            </w:r>
          </w:p>
        </w:tc>
        <w:tc>
          <w:tcPr>
            <w:tcMar>
              <w:top w:type="dxa" w:w="80"/>
              <w:left w:type="dxa" w:w="100"/>
              <w:bottom w:type="dxa" w:w="80"/>
              <w:right w:type="dxa" w:w="100"/>
            </w:tcMar>
            <w:vAlign w:val="center"/>
          </w:tcPr>
          <w:p>
            <w:r>
              <w:rPr>
                <w:b w:val="false"/>
                <w:bCs w:val="false"/>
                <w:sz w:val="19"/>
                <w:szCs w:val="19"/>
              </w:rPr>
              <w:t xml:space="preserve">Methods → “Statistical analysis”: linear/quadratic regression for trends; chi-square (with Monte Carlo simulation where needed) for associations; Welch's t-test for duration comparison; Cramér's V with bootstrapped 95% CI for effect sizes; species-mix confounding explicitly controlled for via Bovine-only restriction.</w:t>
            </w:r>
          </w:p>
        </w:tc>
      </w:tr>
      <w:tr>
        <w:tc>
          <w:tcPr>
            <w:tcMar>
              <w:top w:type="dxa" w:w="80"/>
              <w:left w:type="dxa" w:w="100"/>
              <w:bottom w:type="dxa" w:w="80"/>
              <w:right w:type="dxa" w:w="100"/>
            </w:tcMar>
            <w:vAlign w:val="center"/>
          </w:tcPr>
          <w:p>
            <w:r>
              <w:rPr>
                <w:b w:val="false"/>
                <w:bCs w:val="false"/>
                <w:sz w:val="19"/>
                <w:szCs w:val="19"/>
              </w:rPr>
              <w:t xml:space="preserve">12(b)</w:t>
            </w:r>
          </w:p>
        </w:tc>
        <w:tc>
          <w:tcPr>
            <w:tcMar>
              <w:top w:type="dxa" w:w="80"/>
              <w:left w:type="dxa" w:w="100"/>
              <w:bottom w:type="dxa" w:w="80"/>
              <w:right w:type="dxa" w:w="100"/>
            </w:tcMar>
            <w:vAlign w:val="center"/>
          </w:tcPr>
          <w:p>
            <w:r>
              <w:rPr>
                <w:b w:val="false"/>
                <w:bCs w:val="false"/>
                <w:sz w:val="19"/>
                <w:szCs w:val="19"/>
              </w:rPr>
              <w:t xml:space="preserve">Describe methods used to examine subgroups and interactions</w:t>
            </w:r>
          </w:p>
        </w:tc>
        <w:tc>
          <w:tcPr>
            <w:tcMar>
              <w:top w:type="dxa" w:w="80"/>
              <w:left w:type="dxa" w:w="100"/>
              <w:bottom w:type="dxa" w:w="80"/>
              <w:right w:type="dxa" w:w="100"/>
            </w:tcMar>
            <w:vAlign w:val="center"/>
          </w:tcPr>
          <w:p>
            <w:r>
              <w:rPr>
                <w:b w:val="false"/>
                <w:bCs w:val="false"/>
                <w:sz w:val="19"/>
                <w:szCs w:val="19"/>
              </w:rPr>
              <w:t xml:space="preserve">Methods → “Statistical analysis”: species-stratified trend models (Bovine/Canine/Feline); facility-type association re-tested restricted to Bovine cases only.</w:t>
            </w:r>
          </w:p>
        </w:tc>
      </w:tr>
      <w:tr>
        <w:tc>
          <w:tcPr>
            <w:tcMar>
              <w:top w:type="dxa" w:w="80"/>
              <w:left w:type="dxa" w:w="100"/>
              <w:bottom w:type="dxa" w:w="80"/>
              <w:right w:type="dxa" w:w="100"/>
            </w:tcMar>
            <w:vAlign w:val="center"/>
          </w:tcPr>
          <w:p>
            <w:r>
              <w:rPr>
                <w:b w:val="false"/>
                <w:bCs w:val="false"/>
                <w:sz w:val="19"/>
                <w:szCs w:val="19"/>
              </w:rPr>
              <w:t xml:space="preserve">12(c)</w:t>
            </w:r>
          </w:p>
        </w:tc>
        <w:tc>
          <w:tcPr>
            <w:tcMar>
              <w:top w:type="dxa" w:w="80"/>
              <w:left w:type="dxa" w:w="100"/>
              <w:bottom w:type="dxa" w:w="80"/>
              <w:right w:type="dxa" w:w="100"/>
            </w:tcMar>
            <w:vAlign w:val="center"/>
          </w:tcPr>
          <w:p>
            <w:r>
              <w:rPr>
                <w:b w:val="false"/>
                <w:bCs w:val="false"/>
                <w:sz w:val="19"/>
                <w:szCs w:val="19"/>
              </w:rPr>
              <w:t xml:space="preserve">Explain how missing data were addressed</w:t>
            </w:r>
          </w:p>
        </w:tc>
        <w:tc>
          <w:tcPr>
            <w:tcMar>
              <w:top w:type="dxa" w:w="80"/>
              <w:left w:type="dxa" w:w="100"/>
              <w:bottom w:type="dxa" w:w="80"/>
              <w:right w:type="dxa" w:w="100"/>
            </w:tcMar>
            <w:vAlign w:val="center"/>
          </w:tcPr>
          <w:p>
            <w:r>
              <w:rPr>
                <w:b w:val="false"/>
                <w:bCs w:val="false"/>
                <w:sz w:val="19"/>
                <w:szCs w:val="19"/>
              </w:rPr>
              <w:t xml:space="preserve">Discussion → Limitations: ~43 records missing a medicine name are described and interpreted (most likely drug-free visits); Methods → “Data management and cleaning” describes exclusion of columns with negligible completeness.</w:t>
            </w:r>
          </w:p>
        </w:tc>
      </w:tr>
      <w:tr>
        <w:tc>
          <w:tcPr>
            <w:tcMar>
              <w:top w:type="dxa" w:w="80"/>
              <w:left w:type="dxa" w:w="100"/>
              <w:bottom w:type="dxa" w:w="80"/>
              <w:right w:type="dxa" w:w="100"/>
            </w:tcMar>
            <w:vAlign w:val="center"/>
          </w:tcPr>
          <w:p>
            <w:r>
              <w:rPr>
                <w:b w:val="false"/>
                <w:bCs w:val="false"/>
                <w:sz w:val="19"/>
                <w:szCs w:val="19"/>
              </w:rPr>
              <w:t xml:space="preserve">12(d)</w:t>
            </w:r>
          </w:p>
        </w:tc>
        <w:tc>
          <w:tcPr>
            <w:tcMar>
              <w:top w:type="dxa" w:w="80"/>
              <w:left w:type="dxa" w:w="100"/>
              <w:bottom w:type="dxa" w:w="80"/>
              <w:right w:type="dxa" w:w="100"/>
            </w:tcMar>
            <w:vAlign w:val="center"/>
          </w:tcPr>
          <w:p>
            <w:r>
              <w:rPr>
                <w:b w:val="false"/>
                <w:bCs w:val="false"/>
                <w:sz w:val="19"/>
                <w:szCs w:val="19"/>
              </w:rPr>
              <w:t xml:space="preserve">If applicable, describe analytical methods taking account of sampling strategy</w:t>
            </w:r>
          </w:p>
        </w:tc>
        <w:tc>
          <w:tcPr>
            <w:tcMar>
              <w:top w:type="dxa" w:w="80"/>
              <w:left w:type="dxa" w:w="100"/>
              <w:bottom w:type="dxa" w:w="80"/>
              <w:right w:type="dxa" w:w="100"/>
            </w:tcMar>
            <w:vAlign w:val="center"/>
          </w:tcPr>
          <w:p>
            <w:r>
              <w:rPr>
                <w:b w:val="false"/>
                <w:bCs w:val="false"/>
                <w:sz w:val="19"/>
                <w:szCs w:val="19"/>
              </w:rPr>
              <w:t xml:space="preserve">Not applicable — full population of routinely collected records analyzed, not a sampled survey.</w:t>
            </w:r>
          </w:p>
        </w:tc>
      </w:tr>
      <w:tr>
        <w:tc>
          <w:tcPr>
            <w:tcMar>
              <w:top w:type="dxa" w:w="80"/>
              <w:left w:type="dxa" w:w="100"/>
              <w:bottom w:type="dxa" w:w="80"/>
              <w:right w:type="dxa" w:w="100"/>
            </w:tcMar>
            <w:vAlign w:val="center"/>
          </w:tcPr>
          <w:p>
            <w:r>
              <w:rPr>
                <w:b w:val="false"/>
                <w:bCs w:val="false"/>
                <w:sz w:val="19"/>
                <w:szCs w:val="19"/>
              </w:rPr>
              <w:t xml:space="preserve">12(e)</w:t>
            </w:r>
          </w:p>
        </w:tc>
        <w:tc>
          <w:tcPr>
            <w:tcMar>
              <w:top w:type="dxa" w:w="80"/>
              <w:left w:type="dxa" w:w="100"/>
              <w:bottom w:type="dxa" w:w="80"/>
              <w:right w:type="dxa" w:w="100"/>
            </w:tcMar>
            <w:vAlign w:val="center"/>
          </w:tcPr>
          <w:p>
            <w:r>
              <w:rPr>
                <w:b w:val="false"/>
                <w:bCs w:val="false"/>
                <w:sz w:val="19"/>
                <w:szCs w:val="19"/>
              </w:rPr>
              <w:t xml:space="preserve">Describe any sensitivity analyses</w:t>
            </w:r>
          </w:p>
        </w:tc>
        <w:tc>
          <w:tcPr>
            <w:tcMar>
              <w:top w:type="dxa" w:w="80"/>
              <w:left w:type="dxa" w:w="100"/>
              <w:bottom w:type="dxa" w:w="80"/>
              <w:right w:type="dxa" w:w="100"/>
            </w:tcMar>
            <w:vAlign w:val="center"/>
          </w:tcPr>
          <w:p>
            <w:r>
              <w:rPr>
                <w:b w:val="false"/>
                <w:bCs w:val="false"/>
                <w:sz w:val="19"/>
                <w:szCs w:val="19"/>
              </w:rPr>
              <w:t xml:space="preserve">Methods → “Statistical analysis” and Results → overall trend: seasonality-adjusted re-fit of the trend model as a sensitivity check on the main trend result; Methods explicitly notes annualization was used only for descriptive comparison and did not feed into any statistical test.</w:t>
            </w:r>
          </w:p>
        </w:tc>
      </w:tr>
      <w:tr>
        <w:tc>
          <w:tcPr>
            <w:gridSpan w:val="3"/>
            <w:tcMar>
              <w:top w:type="dxa" w:w="80"/>
              <w:left w:type="dxa" w:w="100"/>
              <w:bottom w:type="dxa" w:w="80"/>
              <w:right w:type="dxa" w:w="100"/>
            </w:tcMar>
          </w:tcPr>
          <w:p>
            <w:r>
              <w:rPr>
                <w:b/>
                <w:bCs/>
                <w:sz w:val="20"/>
                <w:szCs w:val="20"/>
              </w:rPr>
              <w:t xml:space="preserve">Results</w:t>
            </w:r>
          </w:p>
        </w:tc>
      </w:tr>
      <w:tr>
        <w:tc>
          <w:tcPr>
            <w:tcMar>
              <w:top w:type="dxa" w:w="80"/>
              <w:left w:type="dxa" w:w="100"/>
              <w:bottom w:type="dxa" w:w="80"/>
              <w:right w:type="dxa" w:w="100"/>
            </w:tcMar>
            <w:vAlign w:val="center"/>
          </w:tcPr>
          <w:p>
            <w:r>
              <w:rPr>
                <w:b w:val="false"/>
                <w:bCs w:val="false"/>
                <w:sz w:val="19"/>
                <w:szCs w:val="19"/>
              </w:rPr>
              <w:t xml:space="preserve">13(a)</w:t>
            </w:r>
          </w:p>
        </w:tc>
        <w:tc>
          <w:tcPr>
            <w:tcMar>
              <w:top w:type="dxa" w:w="80"/>
              <w:left w:type="dxa" w:w="100"/>
              <w:bottom w:type="dxa" w:w="80"/>
              <w:right w:type="dxa" w:w="100"/>
            </w:tcMar>
            <w:vAlign w:val="center"/>
          </w:tcPr>
          <w:p>
            <w:r>
              <w:rPr>
                <w:b w:val="false"/>
                <w:bCs w:val="false"/>
                <w:sz w:val="19"/>
                <w:szCs w:val="19"/>
              </w:rPr>
              <w:t xml:space="preserve">Report numbers of individuals/records at each stage of the study</w:t>
            </w:r>
          </w:p>
        </w:tc>
        <w:tc>
          <w:tcPr>
            <w:tcMar>
              <w:top w:type="dxa" w:w="80"/>
              <w:left w:type="dxa" w:w="100"/>
              <w:bottom w:type="dxa" w:w="80"/>
              <w:right w:type="dxa" w:w="100"/>
            </w:tcMar>
            <w:vAlign w:val="center"/>
          </w:tcPr>
          <w:p>
            <w:r>
              <w:rPr>
                <w:b w:val="false"/>
                <w:bCs w:val="false"/>
                <w:sz w:val="19"/>
                <w:szCs w:val="19"/>
              </w:rPr>
              <w:t xml:space="preserve">Results → opening paragraphs: 17,482 total clinical records → 1,063 antimicrobial prescriptions → 8,881 distinct visits → 1,022 visits with ≥1 antimicrobial (11.5%); Table 1.</w:t>
            </w:r>
          </w:p>
        </w:tc>
      </w:tr>
      <w:tr>
        <w:tc>
          <w:tcPr>
            <w:tcMar>
              <w:top w:type="dxa" w:w="80"/>
              <w:left w:type="dxa" w:w="100"/>
              <w:bottom w:type="dxa" w:w="80"/>
              <w:right w:type="dxa" w:w="100"/>
            </w:tcMar>
            <w:vAlign w:val="center"/>
          </w:tcPr>
          <w:p>
            <w:r>
              <w:rPr>
                <w:b w:val="false"/>
                <w:bCs w:val="false"/>
                <w:sz w:val="19"/>
                <w:szCs w:val="19"/>
              </w:rPr>
              <w:t xml:space="preserve">13(b)</w:t>
            </w:r>
          </w:p>
        </w:tc>
        <w:tc>
          <w:tcPr>
            <w:tcMar>
              <w:top w:type="dxa" w:w="80"/>
              <w:left w:type="dxa" w:w="100"/>
              <w:bottom w:type="dxa" w:w="80"/>
              <w:right w:type="dxa" w:w="100"/>
            </w:tcMar>
            <w:vAlign w:val="center"/>
          </w:tcPr>
          <w:p>
            <w:r>
              <w:rPr>
                <w:b w:val="false"/>
                <w:bCs w:val="false"/>
                <w:sz w:val="19"/>
                <w:szCs w:val="19"/>
              </w:rPr>
              <w:t xml:space="preserve">Give reasons for non-participation/exclusion at each stage</w:t>
            </w:r>
          </w:p>
        </w:tc>
        <w:tc>
          <w:tcPr>
            <w:tcMar>
              <w:top w:type="dxa" w:w="80"/>
              <w:left w:type="dxa" w:w="100"/>
              <w:bottom w:type="dxa" w:w="80"/>
              <w:right w:type="dxa" w:w="100"/>
            </w:tcMar>
            <w:vAlign w:val="center"/>
          </w:tcPr>
          <w:p>
            <w:r>
              <w:rPr>
                <w:b w:val="false"/>
                <w:bCs w:val="false"/>
                <w:sz w:val="19"/>
                <w:szCs w:val="19"/>
              </w:rPr>
              <w:t xml:space="preserve">Discussion → Limitations: missing medicine-name records (~43) explained; Results → Species-level patterns: Poultry/Swine/Caprine/Wildlife excluded from species-level trend testing due to insufficient case volume (1–4 records/year), with reasoning stated.</w:t>
            </w:r>
          </w:p>
        </w:tc>
      </w:tr>
      <w:tr>
        <w:tc>
          <w:tcPr>
            <w:tcMar>
              <w:top w:type="dxa" w:w="80"/>
              <w:left w:type="dxa" w:w="100"/>
              <w:bottom w:type="dxa" w:w="80"/>
              <w:right w:type="dxa" w:w="100"/>
            </w:tcMar>
            <w:vAlign w:val="center"/>
          </w:tcPr>
          <w:p>
            <w:r>
              <w:rPr>
                <w:b w:val="false"/>
                <w:bCs w:val="false"/>
                <w:sz w:val="19"/>
                <w:szCs w:val="19"/>
              </w:rPr>
              <w:t xml:space="preserve">13(c)</w:t>
            </w:r>
          </w:p>
        </w:tc>
        <w:tc>
          <w:tcPr>
            <w:tcMar>
              <w:top w:type="dxa" w:w="80"/>
              <w:left w:type="dxa" w:w="100"/>
              <w:bottom w:type="dxa" w:w="80"/>
              <w:right w:type="dxa" w:w="100"/>
            </w:tcMar>
            <w:vAlign w:val="center"/>
          </w:tcPr>
          <w:p>
            <w:r>
              <w:rPr>
                <w:b w:val="false"/>
                <w:bCs w:val="false"/>
                <w:sz w:val="19"/>
                <w:szCs w:val="19"/>
              </w:rPr>
              <w:t xml:space="preserve">Consider use of a flow diagram</w:t>
            </w:r>
          </w:p>
        </w:tc>
        <w:tc>
          <w:tcPr>
            <w:tcMar>
              <w:top w:type="dxa" w:w="80"/>
              <w:left w:type="dxa" w:w="100"/>
              <w:bottom w:type="dxa" w:w="80"/>
              <w:right w:type="dxa" w:w="100"/>
            </w:tcMar>
            <w:vAlign w:val="center"/>
          </w:tcPr>
          <w:p>
            <w:r>
              <w:rPr>
                <w:b w:val="false"/>
                <w:bCs w:val="false"/>
                <w:sz w:val="19"/>
                <w:szCs w:val="19"/>
              </w:rPr>
              <w:t xml:space="preserve">Not included as a formal flow diagram; the record-to-visit-to-prescription funnel is instead reported numerically in the Results text and Table 1 (considered sufficient given the single, non-branching inclusion pathway).</w:t>
            </w:r>
          </w:p>
        </w:tc>
      </w:tr>
      <w:tr>
        <w:tc>
          <w:tcPr>
            <w:tcMar>
              <w:top w:type="dxa" w:w="80"/>
              <w:left w:type="dxa" w:w="100"/>
              <w:bottom w:type="dxa" w:w="80"/>
              <w:right w:type="dxa" w:w="100"/>
            </w:tcMar>
            <w:vAlign w:val="center"/>
          </w:tcPr>
          <w:p>
            <w:r>
              <w:rPr>
                <w:b w:val="false"/>
                <w:bCs w:val="false"/>
                <w:sz w:val="19"/>
                <w:szCs w:val="19"/>
              </w:rPr>
              <w:t xml:space="preserve">14(a)</w:t>
            </w:r>
          </w:p>
        </w:tc>
        <w:tc>
          <w:tcPr>
            <w:tcMar>
              <w:top w:type="dxa" w:w="80"/>
              <w:left w:type="dxa" w:w="100"/>
              <w:bottom w:type="dxa" w:w="80"/>
              <w:right w:type="dxa" w:w="100"/>
            </w:tcMar>
            <w:vAlign w:val="center"/>
          </w:tcPr>
          <w:p>
            <w:r>
              <w:rPr>
                <w:b w:val="false"/>
                <w:bCs w:val="false"/>
                <w:sz w:val="19"/>
                <w:szCs w:val="19"/>
              </w:rPr>
              <w:t xml:space="preserve">Give characteristics of study records/participants and information on exposures/confounders</w:t>
            </w:r>
          </w:p>
        </w:tc>
        <w:tc>
          <w:tcPr>
            <w:tcMar>
              <w:top w:type="dxa" w:w="80"/>
              <w:left w:type="dxa" w:w="100"/>
              <w:bottom w:type="dxa" w:w="80"/>
              <w:right w:type="dxa" w:w="100"/>
            </w:tcMar>
            <w:vAlign w:val="center"/>
          </w:tcPr>
          <w:p>
            <w:r>
              <w:rPr>
                <w:b w:val="false"/>
                <w:bCs w:val="false"/>
                <w:sz w:val="19"/>
                <w:szCs w:val="19"/>
              </w:rPr>
              <w:t xml:space="preserve">Table 1 (overall/yearly volume), Table 2 (species, drug class, and facility breakdown), and Results → Species-level patterns (population-structure comparison using the 2021 livestock census).</w:t>
            </w:r>
          </w:p>
        </w:tc>
      </w:tr>
      <w:tr>
        <w:tc>
          <w:tcPr>
            <w:tcMar>
              <w:top w:type="dxa" w:w="80"/>
              <w:left w:type="dxa" w:w="100"/>
              <w:bottom w:type="dxa" w:w="80"/>
              <w:right w:type="dxa" w:w="100"/>
            </w:tcMar>
            <w:vAlign w:val="center"/>
          </w:tcPr>
          <w:p>
            <w:r>
              <w:rPr>
                <w:b w:val="false"/>
                <w:bCs w:val="false"/>
                <w:sz w:val="19"/>
                <w:szCs w:val="19"/>
              </w:rPr>
              <w:t xml:space="preserve">14(b)</w:t>
            </w:r>
          </w:p>
        </w:tc>
        <w:tc>
          <w:tcPr>
            <w:tcMar>
              <w:top w:type="dxa" w:w="80"/>
              <w:left w:type="dxa" w:w="100"/>
              <w:bottom w:type="dxa" w:w="80"/>
              <w:right w:type="dxa" w:w="100"/>
            </w:tcMar>
            <w:vAlign w:val="center"/>
          </w:tcPr>
          <w:p>
            <w:r>
              <w:rPr>
                <w:b w:val="false"/>
                <w:bCs w:val="false"/>
                <w:sz w:val="19"/>
                <w:szCs w:val="19"/>
              </w:rPr>
              <w:t xml:space="preserve">Indicate number of records with missing data for each variable of interest</w:t>
            </w:r>
          </w:p>
        </w:tc>
        <w:tc>
          <w:tcPr>
            <w:tcMar>
              <w:top w:type="dxa" w:w="80"/>
              <w:left w:type="dxa" w:w="100"/>
              <w:bottom w:type="dxa" w:w="80"/>
              <w:right w:type="dxa" w:w="100"/>
            </w:tcMar>
            <w:vAlign w:val="center"/>
          </w:tcPr>
          <w:p>
            <w:r>
              <w:rPr>
                <w:b w:val="false"/>
                <w:bCs w:val="false"/>
                <w:sz w:val="19"/>
                <w:szCs w:val="19"/>
              </w:rPr>
              <w:t xml:space="preserve">Discussion → Limitations: ~43 records with missing medicine name specifically quantified and discussed.</w:t>
            </w:r>
          </w:p>
        </w:tc>
      </w:tr>
      <w:tr>
        <w:tc>
          <w:tcPr>
            <w:tcMar>
              <w:top w:type="dxa" w:w="80"/>
              <w:left w:type="dxa" w:w="100"/>
              <w:bottom w:type="dxa" w:w="80"/>
              <w:right w:type="dxa" w:w="100"/>
            </w:tcMar>
            <w:vAlign w:val="center"/>
          </w:tcPr>
          <w:p>
            <w:r>
              <w:rPr>
                <w:b w:val="false"/>
                <w:bCs w:val="false"/>
                <w:sz w:val="19"/>
                <w:szCs w:val="19"/>
              </w:rPr>
              <w:t xml:space="preserve">15</w:t>
            </w:r>
          </w:p>
        </w:tc>
        <w:tc>
          <w:tcPr>
            <w:tcMar>
              <w:top w:type="dxa" w:w="80"/>
              <w:left w:type="dxa" w:w="100"/>
              <w:bottom w:type="dxa" w:w="80"/>
              <w:right w:type="dxa" w:w="100"/>
            </w:tcMar>
            <w:vAlign w:val="center"/>
          </w:tcPr>
          <w:p>
            <w:r>
              <w:rPr>
                <w:b w:val="false"/>
                <w:bCs w:val="false"/>
                <w:sz w:val="19"/>
                <w:szCs w:val="19"/>
              </w:rPr>
              <w:t xml:space="preserve">Report numbers of outcome events or summary measures</w:t>
            </w:r>
          </w:p>
        </w:tc>
        <w:tc>
          <w:tcPr>
            <w:tcMar>
              <w:top w:type="dxa" w:w="80"/>
              <w:left w:type="dxa" w:w="100"/>
              <w:bottom w:type="dxa" w:w="80"/>
              <w:right w:type="dxa" w:w="100"/>
            </w:tcMar>
            <w:vAlign w:val="center"/>
          </w:tcPr>
          <w:p>
            <w:r>
              <w:rPr>
                <w:b w:val="false"/>
                <w:bCs w:val="false"/>
                <w:sz w:val="19"/>
                <w:szCs w:val="19"/>
              </w:rPr>
              <w:t xml:space="preserve">Results throughout, and Tables 1–2: yearly antimicrobial prescription counts, visit-level rate (11.5%), drug-class distribution, species distribution, facility distribution, all with counts and percentages.</w:t>
            </w:r>
          </w:p>
        </w:tc>
      </w:tr>
      <w:tr>
        <w:tc>
          <w:tcPr>
            <w:tcMar>
              <w:top w:type="dxa" w:w="80"/>
              <w:left w:type="dxa" w:w="100"/>
              <w:bottom w:type="dxa" w:w="80"/>
              <w:right w:type="dxa" w:w="100"/>
            </w:tcMar>
            <w:vAlign w:val="center"/>
          </w:tcPr>
          <w:p>
            <w:r>
              <w:rPr>
                <w:b w:val="false"/>
                <w:bCs w:val="false"/>
                <w:sz w:val="19"/>
                <w:szCs w:val="19"/>
              </w:rPr>
              <w:t xml:space="preserve">16(a)</w:t>
            </w:r>
          </w:p>
        </w:tc>
        <w:tc>
          <w:tcPr>
            <w:tcMar>
              <w:top w:type="dxa" w:w="80"/>
              <w:left w:type="dxa" w:w="100"/>
              <w:bottom w:type="dxa" w:w="80"/>
              <w:right w:type="dxa" w:w="100"/>
            </w:tcMar>
            <w:vAlign w:val="center"/>
          </w:tcPr>
          <w:p>
            <w:r>
              <w:rPr>
                <w:b w:val="false"/>
                <w:bCs w:val="false"/>
                <w:sz w:val="19"/>
                <w:szCs w:val="19"/>
              </w:rPr>
              <w:t xml:space="preserve">Give unadjusted and confounder-adjusted estimates and their precision (e.g., 95% CI)</w:t>
            </w:r>
          </w:p>
        </w:tc>
        <w:tc>
          <w:tcPr>
            <w:tcMar>
              <w:top w:type="dxa" w:w="80"/>
              <w:left w:type="dxa" w:w="100"/>
              <w:bottom w:type="dxa" w:w="80"/>
              <w:right w:type="dxa" w:w="100"/>
            </w:tcMar>
            <w:vAlign w:val="center"/>
          </w:tcPr>
          <w:p>
            <w:r>
              <w:rPr>
                <w:b w:val="false"/>
                <w:bCs w:val="false"/>
                <w:sz w:val="19"/>
                <w:szCs w:val="19"/>
              </w:rPr>
              <w:t xml:space="preserve">Table 3 (all trend tests with β estimates and 95% CI) and Table 4 (association tests with Cramér's V and 95% CI); Results → overall trend explicitly reports both the unadjusted and seasonality-adjusted (confounder-adjusted) trend estimates side by side.</w:t>
            </w:r>
          </w:p>
        </w:tc>
      </w:tr>
      <w:tr>
        <w:tc>
          <w:tcPr>
            <w:tcMar>
              <w:top w:type="dxa" w:w="80"/>
              <w:left w:type="dxa" w:w="100"/>
              <w:bottom w:type="dxa" w:w="80"/>
              <w:right w:type="dxa" w:w="100"/>
            </w:tcMar>
            <w:vAlign w:val="center"/>
          </w:tcPr>
          <w:p>
            <w:r>
              <w:rPr>
                <w:b w:val="false"/>
                <w:bCs w:val="false"/>
                <w:sz w:val="19"/>
                <w:szCs w:val="19"/>
              </w:rPr>
              <w:t xml:space="preserve">16(b)</w:t>
            </w:r>
          </w:p>
        </w:tc>
        <w:tc>
          <w:tcPr>
            <w:tcMar>
              <w:top w:type="dxa" w:w="80"/>
              <w:left w:type="dxa" w:w="100"/>
              <w:bottom w:type="dxa" w:w="80"/>
              <w:right w:type="dxa" w:w="100"/>
            </w:tcMar>
            <w:vAlign w:val="center"/>
          </w:tcPr>
          <w:p>
            <w:r>
              <w:rPr>
                <w:b w:val="false"/>
                <w:bCs w:val="false"/>
                <w:sz w:val="19"/>
                <w:szCs w:val="19"/>
              </w:rPr>
              <w:t xml:space="preserve">Report category boundaries when continuous variables were categorized</w:t>
            </w:r>
          </w:p>
        </w:tc>
        <w:tc>
          <w:tcPr>
            <w:tcMar>
              <w:top w:type="dxa" w:w="80"/>
              <w:left w:type="dxa" w:w="100"/>
              <w:bottom w:type="dxa" w:w="80"/>
              <w:right w:type="dxa" w:w="100"/>
            </w:tcMar>
            <w:vAlign w:val="center"/>
          </w:tcPr>
          <w:p>
            <w:r>
              <w:rPr>
                <w:b w:val="false"/>
                <w:bCs w:val="false"/>
                <w:sz w:val="19"/>
                <w:szCs w:val="19"/>
              </w:rPr>
              <w:t xml:space="preserve">Methods → “Case definition and variable selection”: drug-class groupings and their keyword-matching definitions explicitly listed; facility-type categorization (DVH Mongar vs. RNR-EC) defined.</w:t>
            </w:r>
          </w:p>
        </w:tc>
      </w:tr>
      <w:tr>
        <w:tc>
          <w:tcPr>
            <w:tcMar>
              <w:top w:type="dxa" w:w="80"/>
              <w:left w:type="dxa" w:w="100"/>
              <w:bottom w:type="dxa" w:w="80"/>
              <w:right w:type="dxa" w:w="100"/>
            </w:tcMar>
            <w:vAlign w:val="center"/>
          </w:tcPr>
          <w:p>
            <w:r>
              <w:rPr>
                <w:b w:val="false"/>
                <w:bCs w:val="false"/>
                <w:sz w:val="19"/>
                <w:szCs w:val="19"/>
              </w:rPr>
              <w:t xml:space="preserve">16(c)</w:t>
            </w:r>
          </w:p>
        </w:tc>
        <w:tc>
          <w:tcPr>
            <w:tcMar>
              <w:top w:type="dxa" w:w="80"/>
              <w:left w:type="dxa" w:w="100"/>
              <w:bottom w:type="dxa" w:w="80"/>
              <w:right w:type="dxa" w:w="100"/>
            </w:tcMar>
            <w:vAlign w:val="center"/>
          </w:tcPr>
          <w:p>
            <w:r>
              <w:rPr>
                <w:b w:val="false"/>
                <w:bCs w:val="false"/>
                <w:sz w:val="19"/>
                <w:szCs w:val="19"/>
              </w:rPr>
              <w:t xml:space="preserve">If relevant, translate relative risk estimates into absolute risk</w:t>
            </w:r>
          </w:p>
        </w:tc>
        <w:tc>
          <w:tcPr>
            <w:tcMar>
              <w:top w:type="dxa" w:w="80"/>
              <w:left w:type="dxa" w:w="100"/>
              <w:bottom w:type="dxa" w:w="80"/>
              <w:right w:type="dxa" w:w="100"/>
            </w:tcMar>
            <w:vAlign w:val="center"/>
          </w:tcPr>
          <w:p>
            <w:r>
              <w:rPr>
                <w:b w:val="false"/>
                <w:bCs w:val="false"/>
                <w:sz w:val="19"/>
                <w:szCs w:val="19"/>
              </w:rPr>
              <w:t xml:space="preserve">Not directly applicable (no relative-risk-style outcome); absolute prescribing counts, percentages, and rates are reported throughout in place of relative-risk framing.</w:t>
            </w:r>
          </w:p>
        </w:tc>
      </w:tr>
      <w:tr>
        <w:tc>
          <w:tcPr>
            <w:tcMar>
              <w:top w:type="dxa" w:w="80"/>
              <w:left w:type="dxa" w:w="100"/>
              <w:bottom w:type="dxa" w:w="80"/>
              <w:right w:type="dxa" w:w="100"/>
            </w:tcMar>
            <w:vAlign w:val="center"/>
          </w:tcPr>
          <w:p>
            <w:r>
              <w:rPr>
                <w:b w:val="false"/>
                <w:bCs w:val="false"/>
                <w:sz w:val="19"/>
                <w:szCs w:val="19"/>
              </w:rPr>
              <w:t xml:space="preserve">17</w:t>
            </w:r>
          </w:p>
        </w:tc>
        <w:tc>
          <w:tcPr>
            <w:tcMar>
              <w:top w:type="dxa" w:w="80"/>
              <w:left w:type="dxa" w:w="100"/>
              <w:bottom w:type="dxa" w:w="80"/>
              <w:right w:type="dxa" w:w="100"/>
            </w:tcMar>
            <w:vAlign w:val="center"/>
          </w:tcPr>
          <w:p>
            <w:r>
              <w:rPr>
                <w:b w:val="false"/>
                <w:bCs w:val="false"/>
                <w:sz w:val="19"/>
                <w:szCs w:val="19"/>
              </w:rPr>
              <w:t xml:space="preserve">Report other analyses done (subgroups, interactions, sensitivity analyses)</w:t>
            </w:r>
          </w:p>
        </w:tc>
        <w:tc>
          <w:tcPr>
            <w:tcMar>
              <w:top w:type="dxa" w:w="80"/>
              <w:left w:type="dxa" w:w="100"/>
              <w:bottom w:type="dxa" w:w="80"/>
              <w:right w:type="dxa" w:w="100"/>
            </w:tcMar>
            <w:vAlign w:val="center"/>
          </w:tcPr>
          <w:p>
            <w:r>
              <w:rPr>
                <w:b w:val="false"/>
                <w:bCs w:val="false"/>
                <w:sz w:val="19"/>
                <w:szCs w:val="19"/>
              </w:rPr>
              <w:t xml:space="preserve">Results → “Exploring possible drivers of the facility-level difference”: route of administration, diagnostic-test-request field, and treatment duration tested as candidate explanatory factors, restricted to Bovine cases.</w:t>
            </w:r>
          </w:p>
        </w:tc>
      </w:tr>
      <w:tr>
        <w:tc>
          <w:tcPr>
            <w:gridSpan w:val="3"/>
            <w:tcMar>
              <w:top w:type="dxa" w:w="80"/>
              <w:left w:type="dxa" w:w="100"/>
              <w:bottom w:type="dxa" w:w="80"/>
              <w:right w:type="dxa" w:w="100"/>
            </w:tcMar>
          </w:tcPr>
          <w:p>
            <w:r>
              <w:rPr>
                <w:b/>
                <w:bCs/>
                <w:sz w:val="20"/>
                <w:szCs w:val="20"/>
              </w:rPr>
              <w:t xml:space="preserve">Discussion</w:t>
            </w:r>
          </w:p>
        </w:tc>
      </w:tr>
      <w:tr>
        <w:tc>
          <w:tcPr>
            <w:tcMar>
              <w:top w:type="dxa" w:w="80"/>
              <w:left w:type="dxa" w:w="100"/>
              <w:bottom w:type="dxa" w:w="80"/>
              <w:right w:type="dxa" w:w="100"/>
            </w:tcMar>
            <w:vAlign w:val="center"/>
          </w:tcPr>
          <w:p>
            <w:r>
              <w:rPr>
                <w:b w:val="false"/>
                <w:bCs w:val="false"/>
                <w:sz w:val="19"/>
                <w:szCs w:val="19"/>
              </w:rPr>
              <w:t xml:space="preserve">18</w:t>
            </w:r>
          </w:p>
        </w:tc>
        <w:tc>
          <w:tcPr>
            <w:tcMar>
              <w:top w:type="dxa" w:w="80"/>
              <w:left w:type="dxa" w:w="100"/>
              <w:bottom w:type="dxa" w:w="80"/>
              <w:right w:type="dxa" w:w="100"/>
            </w:tcMar>
            <w:vAlign w:val="center"/>
          </w:tcPr>
          <w:p>
            <w:r>
              <w:rPr>
                <w:b w:val="false"/>
                <w:bCs w:val="false"/>
                <w:sz w:val="19"/>
                <w:szCs w:val="19"/>
              </w:rPr>
              <w:t xml:space="preserve">Summarise key results with reference to study objectives</w:t>
            </w:r>
          </w:p>
        </w:tc>
        <w:tc>
          <w:tcPr>
            <w:tcMar>
              <w:top w:type="dxa" w:w="80"/>
              <w:left w:type="dxa" w:w="100"/>
              <w:bottom w:type="dxa" w:w="80"/>
              <w:right w:type="dxa" w:w="100"/>
            </w:tcMar>
            <w:vAlign w:val="center"/>
          </w:tcPr>
          <w:p>
            <w:r>
              <w:rPr>
                <w:b w:val="false"/>
                <w:bCs w:val="false"/>
                <w:sz w:val="19"/>
                <w:szCs w:val="19"/>
              </w:rPr>
              <w:t xml:space="preserve">Discussion → “Principal findings”: summarizes the overall stable trend, species/facility differences, and seasonal pattern directly against the study's stated aim.</w:t>
            </w:r>
          </w:p>
        </w:tc>
      </w:tr>
      <w:tr>
        <w:tc>
          <w:tcPr>
            <w:tcMar>
              <w:top w:type="dxa" w:w="80"/>
              <w:left w:type="dxa" w:w="100"/>
              <w:bottom w:type="dxa" w:w="80"/>
              <w:right w:type="dxa" w:w="100"/>
            </w:tcMar>
            <w:vAlign w:val="center"/>
          </w:tcPr>
          <w:p>
            <w:r>
              <w:rPr>
                <w:b w:val="false"/>
                <w:bCs w:val="false"/>
                <w:sz w:val="19"/>
                <w:szCs w:val="19"/>
              </w:rPr>
              <w:t xml:space="preserve">19</w:t>
            </w:r>
          </w:p>
        </w:tc>
        <w:tc>
          <w:tcPr>
            <w:tcMar>
              <w:top w:type="dxa" w:w="80"/>
              <w:left w:type="dxa" w:w="100"/>
              <w:bottom w:type="dxa" w:w="80"/>
              <w:right w:type="dxa" w:w="100"/>
            </w:tcMar>
            <w:vAlign w:val="center"/>
          </w:tcPr>
          <w:p>
            <w:r>
              <w:rPr>
                <w:b w:val="false"/>
                <w:bCs w:val="false"/>
                <w:sz w:val="19"/>
                <w:szCs w:val="19"/>
              </w:rPr>
              <w:t xml:space="preserve">Discuss limitations, taking into account sources of potential bias or imprecision</w:t>
            </w:r>
          </w:p>
        </w:tc>
        <w:tc>
          <w:tcPr>
            <w:tcMar>
              <w:top w:type="dxa" w:w="80"/>
              <w:left w:type="dxa" w:w="100"/>
              <w:bottom w:type="dxa" w:w="80"/>
              <w:right w:type="dxa" w:w="100"/>
            </w:tcMar>
            <w:vAlign w:val="center"/>
          </w:tcPr>
          <w:p>
            <w:r>
              <w:rPr>
                <w:b w:val="false"/>
                <w:bCs w:val="false"/>
                <w:sz w:val="19"/>
                <w:szCs w:val="19"/>
              </w:rPr>
              <w:t xml:space="preserve">Discussion → “Limitations”: AMU-vs-AMR scope, visit-level rate comparison caveats, partial 2026 year, single-district generalizability, underpowered minor-species testing, unvalidated drug classification, missing medicine-name records — each with direction/magnitude discussed where relevant.</w:t>
            </w:r>
          </w:p>
        </w:tc>
      </w:tr>
      <w:tr>
        <w:tc>
          <w:tcPr>
            <w:tcMar>
              <w:top w:type="dxa" w:w="80"/>
              <w:left w:type="dxa" w:w="100"/>
              <w:bottom w:type="dxa" w:w="80"/>
              <w:right w:type="dxa" w:w="100"/>
            </w:tcMar>
            <w:vAlign w:val="center"/>
          </w:tcPr>
          <w:p>
            <w:r>
              <w:rPr>
                <w:b w:val="false"/>
                <w:bCs w:val="false"/>
                <w:sz w:val="19"/>
                <w:szCs w:val="19"/>
              </w:rPr>
              <w:t xml:space="preserve">20</w:t>
            </w:r>
          </w:p>
        </w:tc>
        <w:tc>
          <w:tcPr>
            <w:tcMar>
              <w:top w:type="dxa" w:w="80"/>
              <w:left w:type="dxa" w:w="100"/>
              <w:bottom w:type="dxa" w:w="80"/>
              <w:right w:type="dxa" w:w="100"/>
            </w:tcMar>
            <w:vAlign w:val="center"/>
          </w:tcPr>
          <w:p>
            <w:r>
              <w:rPr>
                <w:b w:val="false"/>
                <w:bCs w:val="false"/>
                <w:sz w:val="19"/>
                <w:szCs w:val="19"/>
              </w:rPr>
              <w:t xml:space="preserve">Give a cautious overall interpretation considering objectives, limitations, and other evidence</w:t>
            </w:r>
          </w:p>
        </w:tc>
        <w:tc>
          <w:tcPr>
            <w:tcMar>
              <w:top w:type="dxa" w:w="80"/>
              <w:left w:type="dxa" w:w="100"/>
              <w:bottom w:type="dxa" w:w="80"/>
              <w:right w:type="dxa" w:w="100"/>
            </w:tcMar>
            <w:vAlign w:val="center"/>
          </w:tcPr>
          <w:p>
            <w:r>
              <w:rPr>
                <w:b w:val="false"/>
                <w:bCs w:val="false"/>
                <w:sz w:val="19"/>
                <w:szCs w:val="19"/>
              </w:rPr>
              <w:t xml:space="preserve">Discussion → “Principal findings” (explicit caution on what “stable” does and does not mean) and “How this fits with what's already known about Bhutan” / “Where Mongar sits regionally” (interpretation against prior Bhutan and regional evidence).</w:t>
            </w:r>
          </w:p>
        </w:tc>
      </w:tr>
      <w:tr>
        <w:tc>
          <w:tcPr>
            <w:tcMar>
              <w:top w:type="dxa" w:w="80"/>
              <w:left w:type="dxa" w:w="100"/>
              <w:bottom w:type="dxa" w:w="80"/>
              <w:right w:type="dxa" w:w="100"/>
            </w:tcMar>
            <w:vAlign w:val="center"/>
          </w:tcPr>
          <w:p>
            <w:r>
              <w:rPr>
                <w:b w:val="false"/>
                <w:bCs w:val="false"/>
                <w:sz w:val="19"/>
                <w:szCs w:val="19"/>
              </w:rPr>
              <w:t xml:space="preserve">21</w:t>
            </w:r>
          </w:p>
        </w:tc>
        <w:tc>
          <w:tcPr>
            <w:tcMar>
              <w:top w:type="dxa" w:w="80"/>
              <w:left w:type="dxa" w:w="100"/>
              <w:bottom w:type="dxa" w:w="80"/>
              <w:right w:type="dxa" w:w="100"/>
            </w:tcMar>
            <w:vAlign w:val="center"/>
          </w:tcPr>
          <w:p>
            <w:r>
              <w:rPr>
                <w:b w:val="false"/>
                <w:bCs w:val="false"/>
                <w:sz w:val="19"/>
                <w:szCs w:val="19"/>
              </w:rPr>
              <w:t xml:space="preserve">Discuss the generalisability (external validity) of the study results</w:t>
            </w:r>
          </w:p>
        </w:tc>
        <w:tc>
          <w:tcPr>
            <w:tcMar>
              <w:top w:type="dxa" w:w="80"/>
              <w:left w:type="dxa" w:w="100"/>
              <w:bottom w:type="dxa" w:w="80"/>
              <w:right w:type="dxa" w:w="100"/>
            </w:tcMar>
            <w:vAlign w:val="center"/>
          </w:tcPr>
          <w:p>
            <w:r>
              <w:rPr>
                <w:b w:val="false"/>
                <w:bCs w:val="false"/>
                <w:sz w:val="19"/>
                <w:szCs w:val="19"/>
              </w:rPr>
              <w:t xml:space="preserve">Discussion → “Limitations”: explicitly discusses single-district scope and caution needed in generalizing to other dzongkhags or countries; “Strengths” section separately discusses the low-cost replicability of the method itself to other districts.</w:t>
            </w:r>
          </w:p>
        </w:tc>
      </w:tr>
      <w:tr>
        <w:tc>
          <w:tcPr>
            <w:gridSpan w:val="3"/>
            <w:tcMar>
              <w:top w:type="dxa" w:w="80"/>
              <w:left w:type="dxa" w:w="100"/>
              <w:bottom w:type="dxa" w:w="80"/>
              <w:right w:type="dxa" w:w="100"/>
            </w:tcMar>
          </w:tcPr>
          <w:p>
            <w:r>
              <w:rPr>
                <w:b/>
                <w:bCs/>
                <w:sz w:val="20"/>
                <w:szCs w:val="20"/>
              </w:rPr>
              <w:t xml:space="preserve">Other information</w:t>
            </w:r>
          </w:p>
        </w:tc>
      </w:tr>
      <w:tr>
        <w:tc>
          <w:tcPr>
            <w:tcMar>
              <w:top w:type="dxa" w:w="80"/>
              <w:left w:type="dxa" w:w="100"/>
              <w:bottom w:type="dxa" w:w="80"/>
              <w:right w:type="dxa" w:w="100"/>
            </w:tcMar>
            <w:vAlign w:val="center"/>
          </w:tcPr>
          <w:p>
            <w:r>
              <w:rPr>
                <w:b w:val="false"/>
                <w:bCs w:val="false"/>
                <w:sz w:val="19"/>
                <w:szCs w:val="19"/>
              </w:rPr>
              <w:t xml:space="preserve">22</w:t>
            </w:r>
          </w:p>
        </w:tc>
        <w:tc>
          <w:tcPr>
            <w:tcMar>
              <w:top w:type="dxa" w:w="80"/>
              <w:left w:type="dxa" w:w="100"/>
              <w:bottom w:type="dxa" w:w="80"/>
              <w:right w:type="dxa" w:w="100"/>
            </w:tcMar>
            <w:vAlign w:val="center"/>
          </w:tcPr>
          <w:p>
            <w:r>
              <w:rPr>
                <w:b w:val="false"/>
                <w:bCs w:val="false"/>
                <w:sz w:val="19"/>
                <w:szCs w:val="19"/>
              </w:rPr>
              <w:t xml:space="preserve">Give the source of funding and the role of funders</w:t>
            </w:r>
          </w:p>
        </w:tc>
        <w:tc>
          <w:tcPr>
            <w:tcMar>
              <w:top w:type="dxa" w:w="80"/>
              <w:left w:type="dxa" w:w="100"/>
              <w:bottom w:type="dxa" w:w="80"/>
              <w:right w:type="dxa" w:w="100"/>
            </w:tcMar>
            <w:vAlign w:val="center"/>
          </w:tcPr>
          <w:p>
            <w:r>
              <w:rPr>
                <w:b w:val="false"/>
                <w:bCs w:val="false"/>
                <w:sz w:val="19"/>
                <w:szCs w:val="19"/>
              </w:rPr>
              <w:t xml:space="preserve">Declarations → Funding: “No funding was required or received for this study.”</w:t>
            </w:r>
          </w:p>
        </w:tc>
      </w:tr>
    </w:tbl>
    <w:p>
      <w:pPr>
        <w:spacing w:before="200"/>
      </w:pPr>
      <w:r>
        <w:rPr>
          <w:i/>
          <w:iCs/>
          <w:sz w:val="17"/>
          <w:szCs w:val="17"/>
        </w:rPr>
        <w:t xml:space="preserve">Note: An explanation and elaboration article discusses each checklist item and gives methodological background and published examples of transparent reporting. The STROBE checklist is best used in conjunction with this article (freely available on the websites of PLoS Medicine at http://www.plosmedicine.org/, Annals of Internal Medicine at http://www.annals.org/, and Epidemiology at http://www.epidem.com/). Information on the STROBE Initiative is available at http://www.strobe-statement.org.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2026-08-03T11:25:19.981Z</dcterms:created>
  <dcterms:modified xsi:type="dcterms:W3CDTF">2026-08-03T11:25:20.332Z</dcterms:modified>
</cp:coreProperties>
</file>

<file path=docProps/custom.xml><?xml version="1.0" encoding="utf-8"?>
<Properties xmlns="http://schemas.openxmlformats.org/officeDocument/2006/custom-properties" xmlns:vt="http://schemas.openxmlformats.org/officeDocument/2006/docPropsVTypes"/>
</file>