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A7D951" w14:textId="13E9E500" w:rsidR="00C15843" w:rsidRPr="00E205A6" w:rsidRDefault="00000000" w:rsidP="00E205A6">
      <w:pPr>
        <w:spacing w:line="480" w:lineRule="auto"/>
        <w:rPr>
          <w:rFonts w:ascii="Times New Roman" w:eastAsia="Times New Roman" w:hAnsi="Times New Roman" w:cs="Times New Roman"/>
          <w:i/>
          <w:iCs/>
          <w:sz w:val="24"/>
          <w:szCs w:val="24"/>
        </w:rPr>
      </w:pPr>
      <w:r w:rsidRPr="00E205A6">
        <w:rPr>
          <w:rFonts w:ascii="Times New Roman" w:eastAsia="Times New Roman" w:hAnsi="Times New Roman" w:cs="Times New Roman"/>
          <w:b/>
          <w:bCs/>
          <w:sz w:val="24"/>
          <w:szCs w:val="24"/>
        </w:rPr>
        <w:t>SWAN-MPO: A Safety-Aware, Affinity-Normalized Multi-Parameter Optimization Framework for Natural-Product Scaffold Triage in Oncology</w:t>
      </w:r>
    </w:p>
    <w:p w14:paraId="5B07E5D6" w14:textId="115E24DC" w:rsidR="00E205A6" w:rsidRPr="00E205A6" w:rsidRDefault="00000000" w:rsidP="00E205A6">
      <w:pPr>
        <w:spacing w:after="240" w:line="480" w:lineRule="auto"/>
        <w:rPr>
          <w:rFonts w:ascii="Times New Roman" w:eastAsia="Times New Roman" w:hAnsi="Times New Roman" w:cs="Times New Roman"/>
          <w:sz w:val="24"/>
          <w:szCs w:val="24"/>
        </w:rPr>
      </w:pPr>
      <w:r w:rsidRPr="00E205A6">
        <w:rPr>
          <w:rFonts w:ascii="Times New Roman" w:eastAsia="Times New Roman" w:hAnsi="Times New Roman" w:cs="Times New Roman"/>
          <w:sz w:val="24"/>
          <w:szCs w:val="24"/>
        </w:rPr>
        <w:t>Saanvii Senthilkumar</w:t>
      </w:r>
      <w:r w:rsidR="00E205A6" w:rsidRPr="00E205A6">
        <w:rPr>
          <w:rFonts w:ascii="Times New Roman" w:hAnsi="Times New Roman" w:cs="Times New Roman"/>
          <w:b/>
          <w:bCs/>
          <w:color w:val="000000"/>
          <w:sz w:val="24"/>
          <w:szCs w:val="24"/>
        </w:rPr>
        <w:t xml:space="preserve"> </w:t>
      </w:r>
      <w:r w:rsidR="00E205A6" w:rsidRPr="00E205A6">
        <w:rPr>
          <w:rFonts w:ascii="Times New Roman" w:hAnsi="Times New Roman" w:cs="Times New Roman"/>
          <w:color w:val="000000"/>
          <w:sz w:val="24"/>
          <w:szCs w:val="24"/>
        </w:rPr>
        <w:br/>
        <w:t>Independent Researcher, Frisco, TX, USA</w:t>
      </w:r>
      <w:r w:rsidR="00E205A6" w:rsidRPr="00E205A6">
        <w:rPr>
          <w:rFonts w:ascii="Times New Roman" w:hAnsi="Times New Roman" w:cs="Times New Roman"/>
          <w:color w:val="000000"/>
          <w:sz w:val="24"/>
          <w:szCs w:val="24"/>
        </w:rPr>
        <w:br/>
        <w:t>Corresponding author:</w:t>
      </w:r>
      <w:r w:rsidR="00E205A6" w:rsidRPr="00E205A6">
        <w:rPr>
          <w:rStyle w:val="apple-converted-space"/>
          <w:rFonts w:ascii="Times New Roman" w:hAnsi="Times New Roman" w:cs="Times New Roman"/>
          <w:color w:val="000000"/>
          <w:sz w:val="24"/>
          <w:szCs w:val="24"/>
        </w:rPr>
        <w:t> </w:t>
      </w:r>
      <w:r w:rsidR="00E205A6" w:rsidRPr="00E205A6">
        <w:rPr>
          <w:rFonts w:ascii="Times New Roman" w:hAnsi="Times New Roman" w:cs="Times New Roman"/>
          <w:sz w:val="24"/>
          <w:szCs w:val="24"/>
        </w:rPr>
        <w:t>saanviisenthilkumar@gmail.com</w:t>
      </w:r>
      <w:r w:rsidR="00E205A6" w:rsidRPr="00E205A6">
        <w:rPr>
          <w:rFonts w:ascii="Times New Roman" w:hAnsi="Times New Roman" w:cs="Times New Roman"/>
          <w:color w:val="000000"/>
          <w:sz w:val="24"/>
          <w:szCs w:val="24"/>
        </w:rPr>
        <w:br/>
        <w:t xml:space="preserve">ORCID </w:t>
      </w:r>
      <w:proofErr w:type="spellStart"/>
      <w:r w:rsidR="00E205A6" w:rsidRPr="00E205A6">
        <w:rPr>
          <w:rFonts w:ascii="Times New Roman" w:hAnsi="Times New Roman" w:cs="Times New Roman"/>
          <w:color w:val="000000"/>
          <w:sz w:val="24"/>
          <w:szCs w:val="24"/>
        </w:rPr>
        <w:t>iD</w:t>
      </w:r>
      <w:proofErr w:type="spellEnd"/>
      <w:r w:rsidR="00E205A6" w:rsidRPr="00E205A6">
        <w:rPr>
          <w:rFonts w:ascii="Times New Roman" w:hAnsi="Times New Roman" w:cs="Times New Roman"/>
          <w:color w:val="000000"/>
          <w:sz w:val="24"/>
          <w:szCs w:val="24"/>
        </w:rPr>
        <w:t>:</w:t>
      </w:r>
      <w:r w:rsidR="00E205A6" w:rsidRPr="00E205A6">
        <w:rPr>
          <w:rStyle w:val="apple-converted-space"/>
          <w:rFonts w:ascii="Times New Roman" w:hAnsi="Times New Roman" w:cs="Times New Roman"/>
          <w:color w:val="000000"/>
          <w:sz w:val="24"/>
          <w:szCs w:val="24"/>
        </w:rPr>
        <w:t> </w:t>
      </w:r>
      <w:hyperlink r:id="rId6" w:tgtFrame="_new" w:history="1">
        <w:r w:rsidR="00E205A6" w:rsidRPr="00E205A6">
          <w:rPr>
            <w:rStyle w:val="Hyperlink"/>
            <w:rFonts w:ascii="Times New Roman" w:hAnsi="Times New Roman" w:cs="Times New Roman"/>
            <w:sz w:val="24"/>
            <w:szCs w:val="24"/>
          </w:rPr>
          <w:t>https://orcid.org/0009-0000-2050-1070</w:t>
        </w:r>
      </w:hyperlink>
    </w:p>
    <w:p w14:paraId="76568949" w14:textId="07B733F1" w:rsidR="00B618CC" w:rsidRPr="00E205A6" w:rsidRDefault="00E205A6">
      <w:pPr>
        <w:spacing w:line="480" w:lineRule="auto"/>
        <w:rPr>
          <w:rFonts w:ascii="Times New Roman" w:eastAsia="Times New Roman" w:hAnsi="Times New Roman" w:cs="Times New Roman"/>
          <w:b/>
          <w:bCs/>
          <w:sz w:val="24"/>
          <w:szCs w:val="24"/>
        </w:rPr>
      </w:pPr>
      <w:r w:rsidRPr="00E205A6">
        <w:rPr>
          <w:rStyle w:val="Strong"/>
          <w:rFonts w:ascii="Times New Roman" w:hAnsi="Times New Roman" w:cs="Times New Roman"/>
          <w:color w:val="000000"/>
          <w:sz w:val="24"/>
          <w:szCs w:val="24"/>
        </w:rPr>
        <w:t>Supplementary Information</w:t>
      </w:r>
      <w:r w:rsidR="00000000" w:rsidRPr="00E205A6">
        <w:rPr>
          <w:rFonts w:ascii="Times New Roman" w:eastAsia="Times New Roman" w:hAnsi="Times New Roman" w:cs="Times New Roman"/>
          <w:sz w:val="24"/>
          <w:szCs w:val="24"/>
        </w:rPr>
        <w:t xml:space="preserve"> </w:t>
      </w:r>
    </w:p>
    <w:p w14:paraId="03D3947E" w14:textId="60E80E74" w:rsidR="00B618CC" w:rsidRPr="00B618CC" w:rsidRDefault="00B618CC">
      <w:pPr>
        <w:spacing w:line="480" w:lineRule="auto"/>
        <w:rPr>
          <w:rFonts w:ascii="Times New Roman" w:hAnsi="Times New Roman" w:cs="Times New Roman"/>
          <w:sz w:val="24"/>
          <w:szCs w:val="24"/>
        </w:rPr>
      </w:pPr>
      <w:r w:rsidRPr="00B618CC">
        <w:rPr>
          <w:rFonts w:ascii="Times New Roman" w:hAnsi="Times New Roman" w:cs="Times New Roman"/>
          <w:color w:val="000000"/>
          <w:sz w:val="24"/>
          <w:szCs w:val="24"/>
        </w:rPr>
        <w:t>This Supplementary Information provides extended methods, additional results, and reproducibility details supporting the SWAN-MPO framework. Supplementary Methods S1–S12 describe workflow versioning, compound manifests, ligand preparation, docking and target calibration, binding aggregation, sensitivity analyses, retrospective benchmarking, and COCONUT property-space analysis. Supplementary Results S1–S9 summarize rank agreement, grid-center sensitivity, node diagnostics, expanded-library deployment, ligand-efficiency and strict-pass sensitivities, Monte Carlo rank stability, DeLong comparisons, and descriptor-space PCA. Supplementary Tables S1–S23 and Figures S1–S2 provide machine-readable manifests, docking audits, scoring outputs, benchmark results, parameter definitions, and extended sensitivity analyses.</w:t>
      </w:r>
    </w:p>
    <w:p w14:paraId="114635C9" w14:textId="77777777" w:rsidR="00C15843" w:rsidRPr="00B618CC" w:rsidRDefault="00000000">
      <w:pPr>
        <w:spacing w:before="240" w:after="240" w:line="480" w:lineRule="auto"/>
        <w:rPr>
          <w:rFonts w:ascii="Times New Roman" w:eastAsia="Times New Roman" w:hAnsi="Times New Roman" w:cs="Times New Roman"/>
          <w:b/>
          <w:bCs/>
          <w:sz w:val="24"/>
          <w:szCs w:val="24"/>
        </w:rPr>
      </w:pPr>
      <w:bookmarkStart w:id="0" w:name="_rpgf6378gudu" w:colFirst="0" w:colLast="0"/>
      <w:bookmarkEnd w:id="0"/>
      <w:r w:rsidRPr="00B618CC">
        <w:rPr>
          <w:rFonts w:ascii="Times New Roman" w:eastAsia="Times New Roman" w:hAnsi="Times New Roman" w:cs="Times New Roman"/>
          <w:b/>
          <w:bCs/>
          <w:sz w:val="24"/>
          <w:szCs w:val="24"/>
        </w:rPr>
        <w:t>Supplementary Methods S1. Workflow versioning, protocol locking, and reproducibility tracking</w:t>
      </w:r>
    </w:p>
    <w:p w14:paraId="4D8A1F09"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The reproducibility package preserves the execution order, raw and processed input files, intermediate scoring tables, final analysis outputs, figure-generation scripts, software versions, command-line calls, file hashes, execution logs, and runtime information used for each analysis </w:t>
      </w:r>
      <w:r w:rsidRPr="00B618CC">
        <w:rPr>
          <w:rFonts w:ascii="Times New Roman" w:eastAsia="Times New Roman" w:hAnsi="Times New Roman" w:cs="Times New Roman"/>
          <w:sz w:val="24"/>
          <w:szCs w:val="24"/>
        </w:rPr>
        <w:lastRenderedPageBreak/>
        <w:t>layer. The primary scoring implementation is locked to SHA-256 97799e91f23803de3b9a477aea3bbcfb061f1b1d9abebdecfdadcd1b537f4454, and the target-calibration resource is locked to SHA-256 e7584f10c0f970bb54ddf39cfdacbb6cb061bc6a3d2bd795e2d5f119efc7287c. Both hashes are byte-verifiable in the archived software release. After the primary framework was fixed, downstream analyses included Top2Node and Breadth aggregation, ligand-efficiency adjustment, strict-pass-only target restriction, Monte Carlo rank perturbation, and COCONUT-derived property-only contextualization.</w:t>
      </w:r>
    </w:p>
    <w:p w14:paraId="46D56CE4"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Methods S2. Compound-selection manifests and auditability</w:t>
      </w:r>
    </w:p>
    <w:p w14:paraId="04BF51C1"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Supplementary Table S1 documents the internal discovery-panel compound manifest and disease-panel membership. The internal discovery panels were broader than the subsequent </w:t>
      </w:r>
      <w:r w:rsidRPr="00B618CC">
        <w:rPr>
          <w:rFonts w:ascii="Times New Roman" w:eastAsia="Times New Roman" w:hAnsi="Times New Roman" w:cs="Times New Roman"/>
          <w:i/>
          <w:iCs/>
          <w:sz w:val="24"/>
          <w:szCs w:val="24"/>
        </w:rPr>
        <w:t>A. muricata</w:t>
      </w:r>
      <w:r w:rsidRPr="00B618CC">
        <w:rPr>
          <w:rFonts w:ascii="Times New Roman" w:eastAsia="Times New Roman" w:hAnsi="Times New Roman" w:cs="Times New Roman"/>
          <w:sz w:val="24"/>
          <w:szCs w:val="24"/>
        </w:rPr>
        <w:t xml:space="preserve">-restricted expanded deployment and included selected </w:t>
      </w:r>
      <w:proofErr w:type="spellStart"/>
      <w:r w:rsidRPr="00B618CC">
        <w:rPr>
          <w:rFonts w:ascii="Times New Roman" w:eastAsia="Times New Roman" w:hAnsi="Times New Roman" w:cs="Times New Roman"/>
          <w:sz w:val="24"/>
          <w:szCs w:val="24"/>
        </w:rPr>
        <w:t>Annonaceae</w:t>
      </w:r>
      <w:proofErr w:type="spellEnd"/>
      <w:r w:rsidRPr="00B618CC">
        <w:rPr>
          <w:rFonts w:ascii="Times New Roman" w:eastAsia="Times New Roman" w:hAnsi="Times New Roman" w:cs="Times New Roman"/>
          <w:sz w:val="24"/>
          <w:szCs w:val="24"/>
        </w:rPr>
        <w:t xml:space="preserve">-family comparator scaffolds. </w:t>
      </w:r>
      <w:proofErr w:type="spellStart"/>
      <w:r w:rsidRPr="00B618CC">
        <w:rPr>
          <w:rFonts w:ascii="Times New Roman" w:eastAsia="Times New Roman" w:hAnsi="Times New Roman" w:cs="Times New Roman"/>
          <w:sz w:val="24"/>
          <w:szCs w:val="24"/>
        </w:rPr>
        <w:t>Bullatacin</w:t>
      </w:r>
      <w:proofErr w:type="spellEnd"/>
      <w:r w:rsidRPr="00B618CC">
        <w:rPr>
          <w:rFonts w:ascii="Times New Roman" w:eastAsia="Times New Roman" w:hAnsi="Times New Roman" w:cs="Times New Roman"/>
          <w:sz w:val="24"/>
          <w:szCs w:val="24"/>
        </w:rPr>
        <w:t xml:space="preserve">, included only in the internal RCC panel, was treated as an </w:t>
      </w:r>
      <w:proofErr w:type="spellStart"/>
      <w:r w:rsidRPr="00B618CC">
        <w:rPr>
          <w:rFonts w:ascii="Times New Roman" w:eastAsia="Times New Roman" w:hAnsi="Times New Roman" w:cs="Times New Roman"/>
          <w:sz w:val="24"/>
          <w:szCs w:val="24"/>
        </w:rPr>
        <w:t>Annonaceae</w:t>
      </w:r>
      <w:proofErr w:type="spellEnd"/>
      <w:r w:rsidRPr="00B618CC">
        <w:rPr>
          <w:rFonts w:ascii="Times New Roman" w:eastAsia="Times New Roman" w:hAnsi="Times New Roman" w:cs="Times New Roman"/>
          <w:sz w:val="24"/>
          <w:szCs w:val="24"/>
        </w:rPr>
        <w:t xml:space="preserve">-family comparator; its reported source is </w:t>
      </w:r>
      <w:r w:rsidRPr="00B618CC">
        <w:rPr>
          <w:rFonts w:ascii="Times New Roman" w:eastAsia="Times New Roman" w:hAnsi="Times New Roman" w:cs="Times New Roman"/>
          <w:i/>
          <w:iCs/>
          <w:sz w:val="24"/>
          <w:szCs w:val="24"/>
        </w:rPr>
        <w:t>Asimina triloba</w:t>
      </w:r>
      <w:r w:rsidRPr="00B618CC">
        <w:rPr>
          <w:rFonts w:ascii="Times New Roman" w:eastAsia="Times New Roman" w:hAnsi="Times New Roman" w:cs="Times New Roman"/>
          <w:sz w:val="24"/>
          <w:szCs w:val="24"/>
        </w:rPr>
        <w:t xml:space="preserve"> [25], and it was not part of the </w:t>
      </w:r>
      <w:r w:rsidRPr="00B618CC">
        <w:rPr>
          <w:rFonts w:ascii="Times New Roman" w:eastAsia="Times New Roman" w:hAnsi="Times New Roman" w:cs="Times New Roman"/>
          <w:i/>
          <w:iCs/>
          <w:sz w:val="24"/>
          <w:szCs w:val="24"/>
        </w:rPr>
        <w:t>A. muricata</w:t>
      </w:r>
      <w:r w:rsidRPr="00B618CC">
        <w:rPr>
          <w:rFonts w:ascii="Times New Roman" w:eastAsia="Times New Roman" w:hAnsi="Times New Roman" w:cs="Times New Roman"/>
          <w:sz w:val="24"/>
          <w:szCs w:val="24"/>
        </w:rPr>
        <w:t xml:space="preserve">-restricted expanded deployment. Supplementary Table S2 documents the expanded </w:t>
      </w:r>
      <w:r w:rsidRPr="00B618CC">
        <w:rPr>
          <w:rFonts w:ascii="Times New Roman" w:eastAsia="Times New Roman" w:hAnsi="Times New Roman" w:cs="Times New Roman"/>
          <w:i/>
          <w:iCs/>
          <w:sz w:val="24"/>
          <w:szCs w:val="24"/>
        </w:rPr>
        <w:t>A. muricata</w:t>
      </w:r>
      <w:r w:rsidRPr="00B618CC">
        <w:rPr>
          <w:rFonts w:ascii="Times New Roman" w:eastAsia="Times New Roman" w:hAnsi="Times New Roman" w:cs="Times New Roman"/>
          <w:sz w:val="24"/>
          <w:szCs w:val="24"/>
        </w:rPr>
        <w:t xml:space="preserve"> compound manifest, including compound names, structure and SMILES fields, PubChem identifiers where available, source-status fields, inclusion status, and structure-reconciliation fields. </w:t>
      </w:r>
      <w:proofErr w:type="spellStart"/>
      <w:r w:rsidRPr="00B618CC">
        <w:rPr>
          <w:rFonts w:ascii="Times New Roman" w:eastAsia="Times New Roman" w:hAnsi="Times New Roman" w:cs="Times New Roman"/>
          <w:sz w:val="24"/>
          <w:szCs w:val="24"/>
        </w:rPr>
        <w:t>ChEMBL</w:t>
      </w:r>
      <w:proofErr w:type="spellEnd"/>
      <w:r w:rsidRPr="00B618CC">
        <w:rPr>
          <w:rFonts w:ascii="Times New Roman" w:eastAsia="Times New Roman" w:hAnsi="Times New Roman" w:cs="Times New Roman"/>
          <w:sz w:val="24"/>
          <w:szCs w:val="24"/>
        </w:rPr>
        <w:t xml:space="preserve">-derived record identifiers, target assignments, activity measurements, class labels, deduplication outputs, and excluded-record logs are preserved in the reproducibility package for the broad and target-matched benchmark analyses. Supplementary Table S4 documents the retrospective benchmark compounds, their benchmark role, natural-product origin class, documented safety or developability rationale, rationale for primary inclusion or stress-test placement, and literature/source notes. These manifests were frozen </w:t>
      </w:r>
      <w:r w:rsidRPr="00B618CC">
        <w:rPr>
          <w:rFonts w:ascii="Times New Roman" w:eastAsia="Times New Roman" w:hAnsi="Times New Roman" w:cs="Times New Roman"/>
          <w:sz w:val="24"/>
          <w:szCs w:val="24"/>
        </w:rPr>
        <w:lastRenderedPageBreak/>
        <w:t>before final scoring so that compound inclusion could not be adjusted after observing SWAN-MPO rankings.</w:t>
      </w:r>
    </w:p>
    <w:p w14:paraId="3AB0144F"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Methods S3. Analysis-specific ligand preparation, retrospective benchmark docking, redocking validation, and calibration status</w:t>
      </w:r>
    </w:p>
    <w:p w14:paraId="1007E136"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For the expanded 59-compound </w:t>
      </w:r>
      <w:r w:rsidRPr="00B618CC">
        <w:rPr>
          <w:rFonts w:ascii="Times New Roman" w:eastAsia="Times New Roman" w:hAnsi="Times New Roman" w:cs="Times New Roman"/>
          <w:i/>
          <w:iCs/>
          <w:sz w:val="24"/>
          <w:szCs w:val="24"/>
        </w:rPr>
        <w:t>A. muricata</w:t>
      </w:r>
      <w:r w:rsidRPr="00B618CC">
        <w:rPr>
          <w:rFonts w:ascii="Times New Roman" w:eastAsia="Times New Roman" w:hAnsi="Times New Roman" w:cs="Times New Roman"/>
          <w:sz w:val="24"/>
          <w:szCs w:val="24"/>
        </w:rPr>
        <w:t xml:space="preserve"> library, curated SMILES were parsed using </w:t>
      </w:r>
      <w:proofErr w:type="spellStart"/>
      <w:r w:rsidRPr="00B618CC">
        <w:rPr>
          <w:rFonts w:ascii="Times New Roman" w:eastAsia="Times New Roman" w:hAnsi="Times New Roman" w:cs="Times New Roman"/>
          <w:sz w:val="24"/>
          <w:szCs w:val="24"/>
        </w:rPr>
        <w:t>RDKit</w:t>
      </w:r>
      <w:proofErr w:type="spellEnd"/>
      <w:r w:rsidRPr="00B618CC">
        <w:rPr>
          <w:rFonts w:ascii="Times New Roman" w:eastAsia="Times New Roman" w:hAnsi="Times New Roman" w:cs="Times New Roman"/>
          <w:sz w:val="24"/>
          <w:szCs w:val="24"/>
        </w:rPr>
        <w:t xml:space="preserve">, and stereochemical information encoded in the input records was retained during three-dimensional structure generation. Explicit hydrogens were added, and one conformer per ligand was generated using ETKDGv3 with random seed 2026. When initial embedding failed, embedding was repeated using random-coordinate initialization with the random seed 2026. UFF geometry optimization was attempted for up to 1,000 iterations. Each structure was then written to SDF and converted to </w:t>
      </w:r>
      <w:proofErr w:type="spellStart"/>
      <w:r w:rsidRPr="00B618CC">
        <w:rPr>
          <w:rFonts w:ascii="Times New Roman" w:eastAsia="Times New Roman" w:hAnsi="Times New Roman" w:cs="Times New Roman"/>
          <w:sz w:val="24"/>
          <w:szCs w:val="24"/>
        </w:rPr>
        <w:t>AutoDock</w:t>
      </w:r>
      <w:proofErr w:type="spellEnd"/>
      <w:r w:rsidRPr="00B618CC">
        <w:rPr>
          <w:rFonts w:ascii="Times New Roman" w:eastAsia="Times New Roman" w:hAnsi="Times New Roman" w:cs="Times New Roman"/>
          <w:sz w:val="24"/>
          <w:szCs w:val="24"/>
        </w:rPr>
        <w:t xml:space="preserve"> Vina-compatible PDBQT format using Open Babel with Gasteiger partial charges.</w:t>
      </w:r>
    </w:p>
    <w:p w14:paraId="1957852C"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For the retrospective benchmark, validated SMILES were parsed using </w:t>
      </w:r>
      <w:proofErr w:type="spellStart"/>
      <w:r w:rsidRPr="00B618CC">
        <w:rPr>
          <w:rFonts w:ascii="Times New Roman" w:eastAsia="Times New Roman" w:hAnsi="Times New Roman" w:cs="Times New Roman"/>
          <w:sz w:val="24"/>
          <w:szCs w:val="24"/>
        </w:rPr>
        <w:t>RDKit</w:t>
      </w:r>
      <w:proofErr w:type="spellEnd"/>
      <w:r w:rsidRPr="00B618CC">
        <w:rPr>
          <w:rFonts w:ascii="Times New Roman" w:eastAsia="Times New Roman" w:hAnsi="Times New Roman" w:cs="Times New Roman"/>
          <w:sz w:val="24"/>
          <w:szCs w:val="24"/>
        </w:rPr>
        <w:t xml:space="preserve">, explicit hydrogens were added, and one conformer per ligand was generated using ETKDGv3 with random seed 2026. Small-ring and macrocycle torsion handling were enabled during embedding. MMFF geometry optimization was attempted when all required MMFF parameters were available, with UFF used otherwise. The initial retrospective ligand-preparation workflow used a geometry-optimization limit of 500 iterations. </w:t>
      </w:r>
      <w:proofErr w:type="spellStart"/>
      <w:r w:rsidRPr="00B618CC">
        <w:rPr>
          <w:rFonts w:ascii="Times New Roman" w:eastAsia="Times New Roman" w:hAnsi="Times New Roman" w:cs="Times New Roman"/>
          <w:sz w:val="24"/>
          <w:szCs w:val="24"/>
        </w:rPr>
        <w:t>Midostaurin</w:t>
      </w:r>
      <w:proofErr w:type="spellEnd"/>
      <w:r w:rsidRPr="00B618CC">
        <w:rPr>
          <w:rFonts w:ascii="Times New Roman" w:eastAsia="Times New Roman" w:hAnsi="Times New Roman" w:cs="Times New Roman"/>
          <w:sz w:val="24"/>
          <w:szCs w:val="24"/>
        </w:rPr>
        <w:t xml:space="preserve">, Geldanamycin, and </w:t>
      </w:r>
      <w:proofErr w:type="spellStart"/>
      <w:r w:rsidRPr="00B618CC">
        <w:rPr>
          <w:rFonts w:ascii="Times New Roman" w:eastAsia="Times New Roman" w:hAnsi="Times New Roman" w:cs="Times New Roman"/>
          <w:sz w:val="24"/>
          <w:szCs w:val="24"/>
        </w:rPr>
        <w:t>Illudin</w:t>
      </w:r>
      <w:proofErr w:type="spellEnd"/>
      <w:r w:rsidRPr="00B618CC">
        <w:rPr>
          <w:rFonts w:ascii="Times New Roman" w:eastAsia="Times New Roman" w:hAnsi="Times New Roman" w:cs="Times New Roman"/>
          <w:sz w:val="24"/>
          <w:szCs w:val="24"/>
        </w:rPr>
        <w:t xml:space="preserve"> S were prepared subsequently using the same general workflow with a geometry-optimization limit of 1,000 iterations. Structures were written to SDF and converted to PDBQT using Open Babel with Gasteiger partial charges. Ligand-preparation summaries recorded successful parsing, </w:t>
      </w:r>
      <w:r w:rsidRPr="00B618CC">
        <w:rPr>
          <w:rFonts w:ascii="Times New Roman" w:eastAsia="Times New Roman" w:hAnsi="Times New Roman" w:cs="Times New Roman"/>
          <w:sz w:val="24"/>
          <w:szCs w:val="24"/>
        </w:rPr>
        <w:lastRenderedPageBreak/>
        <w:t>conformer generation, geometry optimization, and nonempty PDBQT generation for each retained ligand.</w:t>
      </w:r>
    </w:p>
    <w:p w14:paraId="4D9CB76F"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For native-ligand redocking, ligand coordinates extracted from the crystallographic structures were saved as PDB files. Open Babel was used to convert each native ligand from PDB to MOL2 with hydrogen addition and subsequently from MOL2 to PDBQT with Gasteiger partial charges. This procedure was applied to AGS for mTOR/4JSP, 1XJ for Bcl-2/4LVT, dihydrotestosterone for AR/2AMA, MIY for 5AR2/3V3N, M1J for PI3Kα/6OAC, and WFE for AKT1/3MVH. The crystallographic coordinates were retained for redocking. Redocked PDBQT poses were converted back to PDB only for heavy-atom RMSD comparison against the corresponding crystallographic reference coordinates. </w:t>
      </w:r>
    </w:p>
    <w:p w14:paraId="1035FDFC" w14:textId="714DD7E1"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Gungsuh" w:hAnsi="Times New Roman" w:cs="Times New Roman"/>
          <w:sz w:val="24"/>
          <w:szCs w:val="24"/>
        </w:rPr>
        <w:t xml:space="preserve">Retrospective benchmark docking was performed only for the curated boundary-stress benchmark compounds. The docking matrix comprised </w:t>
      </w:r>
      <w:r w:rsidR="00AC3696">
        <w:rPr>
          <w:rFonts w:ascii="Times New Roman" w:eastAsia="Gungsuh" w:hAnsi="Times New Roman" w:cs="Times New Roman"/>
          <w:sz w:val="24"/>
          <w:szCs w:val="24"/>
        </w:rPr>
        <w:t>15</w:t>
      </w:r>
      <w:r w:rsidRPr="00B618CC">
        <w:rPr>
          <w:rFonts w:ascii="Times New Roman" w:eastAsia="Gungsuh" w:hAnsi="Times New Roman" w:cs="Times New Roman"/>
          <w:sz w:val="24"/>
          <w:szCs w:val="24"/>
        </w:rPr>
        <w:t xml:space="preserve"> ligands and six unique redocking-qualified targets, including four strict top-pose validation targets and two generated-mode recovery targets. Each ligand–target pair was evaluated across 20 grid centers, producing </w:t>
      </w:r>
      <w:r w:rsidR="00AC3696">
        <w:rPr>
          <w:rFonts w:ascii="Times New Roman" w:eastAsia="Gungsuh" w:hAnsi="Times New Roman" w:cs="Times New Roman"/>
          <w:sz w:val="24"/>
          <w:szCs w:val="24"/>
        </w:rPr>
        <w:t>1,800</w:t>
      </w:r>
      <w:r w:rsidRPr="00B618CC">
        <w:rPr>
          <w:rFonts w:ascii="Times New Roman" w:eastAsia="Gungsuh" w:hAnsi="Times New Roman" w:cs="Times New Roman"/>
          <w:sz w:val="24"/>
          <w:szCs w:val="24"/>
        </w:rPr>
        <w:t xml:space="preserve"> completed </w:t>
      </w:r>
      <w:proofErr w:type="spellStart"/>
      <w:r w:rsidRPr="00B618CC">
        <w:rPr>
          <w:rFonts w:ascii="Times New Roman" w:eastAsia="Gungsuh" w:hAnsi="Times New Roman" w:cs="Times New Roman"/>
          <w:sz w:val="24"/>
          <w:szCs w:val="24"/>
        </w:rPr>
        <w:t>AutoDock</w:t>
      </w:r>
      <w:proofErr w:type="spellEnd"/>
      <w:r w:rsidRPr="00B618CC">
        <w:rPr>
          <w:rFonts w:ascii="Times New Roman" w:eastAsia="Gungsuh" w:hAnsi="Times New Roman" w:cs="Times New Roman"/>
          <w:sz w:val="24"/>
          <w:szCs w:val="24"/>
        </w:rPr>
        <w:t xml:space="preserve"> Vina jobs. Docking used a 40.0 Å cubic search box, grid spacing of 0.375 Å, exhaustiveness of 12, nine output modes, and random seed 2026, consistent with the internal and expanded-library workflows. Native-ligand redocking was used to evaluate pose reproduction for receptors with suitable co-crystallized drug-like ligands. Strict validation was defined as a heavy-atom root-mean-square deviation (RMSD) ≤ 2.0 Å for the top-ranked redocked pose and crystallographic reference pose. Generated-mode recovery was monitored and reported separately when a native-like pose with an RMSD ≤ 2.0 Å was recovered among the generated modes but was not selected as the top-ranked pose. For receptors where the top-ranked redocking mode did not reproduce the crystallographic </w:t>
      </w:r>
      <w:proofErr w:type="gramStart"/>
      <w:r w:rsidRPr="00B618CC">
        <w:rPr>
          <w:rFonts w:ascii="Times New Roman" w:eastAsia="Gungsuh" w:hAnsi="Times New Roman" w:cs="Times New Roman"/>
          <w:sz w:val="24"/>
          <w:szCs w:val="24"/>
        </w:rPr>
        <w:t>geometry</w:t>
      </w:r>
      <w:proofErr w:type="gramEnd"/>
      <w:r w:rsidRPr="00B618CC">
        <w:rPr>
          <w:rFonts w:ascii="Times New Roman" w:eastAsia="Gungsuh" w:hAnsi="Times New Roman" w:cs="Times New Roman"/>
          <w:sz w:val="24"/>
          <w:szCs w:val="24"/>
        </w:rPr>
        <w:t xml:space="preserve"> but a native-like mode was </w:t>
      </w:r>
      <w:r w:rsidRPr="00B618CC">
        <w:rPr>
          <w:rFonts w:ascii="Times New Roman" w:eastAsia="Gungsuh" w:hAnsi="Times New Roman" w:cs="Times New Roman"/>
          <w:sz w:val="24"/>
          <w:szCs w:val="24"/>
        </w:rPr>
        <w:lastRenderedPageBreak/>
        <w:t xml:space="preserve">successfully recovered, target-calibrated binding normalization utilized the native-like generated mode energy. Targets with generated-mode recovery were retained in the calibrated target set using the validated native-like mode energy. Comparative-only targets were excluded from the primary reference-calibrated </w:t>
      </w:r>
      <w:proofErr w:type="spellStart"/>
      <w:r w:rsidRPr="00B618CC">
        <w:rPr>
          <w:rFonts w:ascii="Times New Roman" w:eastAsia="Gungsuh" w:hAnsi="Times New Roman" w:cs="Times New Roman"/>
          <w:sz w:val="24"/>
          <w:szCs w:val="24"/>
        </w:rPr>
        <w:t>BestNode</w:t>
      </w:r>
      <w:proofErr w:type="spellEnd"/>
      <w:r w:rsidRPr="00B618CC">
        <w:rPr>
          <w:rFonts w:ascii="Times New Roman" w:eastAsia="Gungsuh" w:hAnsi="Times New Roman" w:cs="Times New Roman"/>
          <w:sz w:val="24"/>
          <w:szCs w:val="24"/>
        </w:rPr>
        <w:t xml:space="preserve"> aggregation and retained only for target-level comparative or sensitivity analyses. Target-specific strict top-pose, generated-mode recovery, and comparative-only classifications, together with native-ligand identities, mode-level RMSD values, and reference-energy sources, are reported in Supplementary Table S6. </w:t>
      </w:r>
    </w:p>
    <w:p w14:paraId="025D6C2A"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Methods S4. Grid-center aggregation and docking-audit fields</w:t>
      </w:r>
    </w:p>
    <w:p w14:paraId="550B42E6"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For each completed ligand–target pair, the target-level summary retained the number of completed grid centers, best ΔG, median ΔG, mean ΔG, standard deviation, first quartile, third quartile, and interquartile range. These fields allowed the primary median-based binding value to be audited against the complete distribution of docking energies observed across the 20 grid centers. Median ΔG across 20 grid centers was locked as the primary grid aggregation statistic to reduce dependence on a single favorable grid center or stochastic Vina artifact. Internal target-level audit fields are reported in Supplementary Table S7, while the complete expanded-library grid-level deployment records are reported in Supplementary Table S3 and preserved with the corresponding target-level summaries in the reproducibility package. The same grid-center aggregation procedure was applied to the internal discovery panels, completed expanded-library screen, and retrospective docking matrix.</w:t>
      </w:r>
    </w:p>
    <w:p w14:paraId="2C1261E0"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After grid-center aggregation, median ΔG values were transformed into target-level binding desirability values before disease-panel binding aggregation. Target-specific calibration was performed separately within each receptor context, and no global normalization of raw Vina </w:t>
      </w:r>
      <w:r w:rsidRPr="00B618CC">
        <w:rPr>
          <w:rFonts w:ascii="Times New Roman" w:eastAsia="Times New Roman" w:hAnsi="Times New Roman" w:cs="Times New Roman"/>
          <w:sz w:val="24"/>
          <w:szCs w:val="24"/>
        </w:rPr>
        <w:lastRenderedPageBreak/>
        <w:t xml:space="preserve">energies across unrelated receptor pockets was used. Redocking/reference status was used to define target-level calibration and confidence annotations, not to change compound inclusion, docking inputs, or primary safety, ADME, or liability components. Targets classified as comparative-only were excluded from the primary reference-calibrated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aggregation and retained only for target-level comparative or sensitivity analyses.</w:t>
      </w:r>
    </w:p>
    <w:p w14:paraId="5841A391" w14:textId="77777777" w:rsidR="00C15843" w:rsidRPr="00B618CC" w:rsidRDefault="00000000">
      <w:pPr>
        <w:spacing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Supplementary Methods S5. Expanded-library deployment and completion audit</w:t>
      </w:r>
    </w:p>
    <w:p w14:paraId="692CDFAB"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Expanded-library eligibility, structure sources, inclusion status, and reconciliation decisions were recorded in the frozen compound manifest in Supplementary Table S2. Ambiguous entries, duplicate structures, and compounds resolved to non-</w:t>
      </w:r>
      <w:r w:rsidRPr="00B618CC">
        <w:rPr>
          <w:rFonts w:ascii="Times New Roman" w:eastAsia="Times New Roman" w:hAnsi="Times New Roman" w:cs="Times New Roman"/>
          <w:i/>
          <w:iCs/>
          <w:sz w:val="24"/>
          <w:szCs w:val="24"/>
        </w:rPr>
        <w:t>A. muricata</w:t>
      </w:r>
      <w:r w:rsidRPr="00B618CC">
        <w:rPr>
          <w:rFonts w:ascii="Times New Roman" w:eastAsia="Times New Roman" w:hAnsi="Times New Roman" w:cs="Times New Roman"/>
          <w:sz w:val="24"/>
          <w:szCs w:val="24"/>
        </w:rPr>
        <w:t xml:space="preserve"> species were excluded or flagged in the same manifest. After structure reconciliation and exact-SMILES deduplication, the final expanded docking input contained 59 unique ligands mapped across nine unique targets. The expanded docking setup retained the same unique-target strategy and reused shared targets across panels instead of redundantly redocking identical receptor-ligand combinations by disease panel. Completion required 20 successful grid-center evaluations for each of the 531 ligand-target blocks, yielding 10,620 completed Vina jobs. The 531 target summaries were mapped to the colorectal, prostate, and RCC target panels </w:t>
      </w:r>
      <w:proofErr w:type="gramStart"/>
      <w:r w:rsidRPr="00B618CC">
        <w:rPr>
          <w:rFonts w:ascii="Times New Roman" w:eastAsia="Times New Roman" w:hAnsi="Times New Roman" w:cs="Times New Roman"/>
          <w:sz w:val="24"/>
          <w:szCs w:val="24"/>
        </w:rPr>
        <w:t>in order to</w:t>
      </w:r>
      <w:proofErr w:type="gramEnd"/>
      <w:r w:rsidRPr="00B618CC">
        <w:rPr>
          <w:rFonts w:ascii="Times New Roman" w:eastAsia="Times New Roman" w:hAnsi="Times New Roman" w:cs="Times New Roman"/>
          <w:sz w:val="24"/>
          <w:szCs w:val="24"/>
        </w:rPr>
        <w:t xml:space="preserve"> generate 177 panel-specific compound records before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scoring and sensitivity analysis. </w:t>
      </w:r>
    </w:p>
    <w:p w14:paraId="798D95D5"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Ligand-target-grid deployment status, receptor and ligand files, grid definitions, docking outputs, runtime fields, and error fields are reported in Supplementary Table S3 and the associated repository records. </w:t>
      </w:r>
    </w:p>
    <w:p w14:paraId="47BA101A" w14:textId="51680DC0"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 xml:space="preserve">Supplementary Methods S6. </w:t>
      </w:r>
      <w:proofErr w:type="spellStart"/>
      <w:r w:rsidRPr="00B618CC">
        <w:rPr>
          <w:rFonts w:ascii="Times New Roman" w:eastAsia="Times New Roman" w:hAnsi="Times New Roman" w:cs="Times New Roman"/>
          <w:b/>
          <w:bCs/>
          <w:sz w:val="24"/>
          <w:szCs w:val="24"/>
        </w:rPr>
        <w:t>BestNode</w:t>
      </w:r>
      <w:proofErr w:type="spellEnd"/>
      <w:r w:rsidRPr="00B618CC">
        <w:rPr>
          <w:rFonts w:ascii="Times New Roman" w:eastAsia="Times New Roman" w:hAnsi="Times New Roman" w:cs="Times New Roman"/>
          <w:b/>
          <w:bCs/>
          <w:sz w:val="24"/>
          <w:szCs w:val="24"/>
        </w:rPr>
        <w:t>, Top2Node, Breadth, and isolated-node diagnostics</w:t>
      </w:r>
    </w:p>
    <w:p w14:paraId="48089BB9" w14:textId="42D71C5E" w:rsidR="00C15843" w:rsidRPr="00B618CC" w:rsidRDefault="00000000">
      <w:pPr>
        <w:spacing w:before="240" w:after="240" w:line="480" w:lineRule="auto"/>
        <w:rPr>
          <w:rFonts w:ascii="Times New Roman" w:eastAsia="Times New Roman" w:hAnsi="Times New Roman" w:cs="Times New Roman"/>
          <w:sz w:val="24"/>
          <w:szCs w:val="24"/>
        </w:rPr>
      </w:pPr>
      <w:proofErr w:type="spellStart"/>
      <w:r w:rsidRPr="00B618CC">
        <w:rPr>
          <w:rFonts w:ascii="Times New Roman" w:eastAsia="Times New Roman" w:hAnsi="Times New Roman" w:cs="Times New Roman"/>
          <w:sz w:val="24"/>
          <w:szCs w:val="24"/>
        </w:rPr>
        <w:lastRenderedPageBreak/>
        <w:t>BestNode</w:t>
      </w:r>
      <w:proofErr w:type="spellEnd"/>
      <w:r w:rsidRPr="00B618CC">
        <w:rPr>
          <w:rFonts w:ascii="Times New Roman" w:eastAsia="Times New Roman" w:hAnsi="Times New Roman" w:cs="Times New Roman"/>
          <w:sz w:val="24"/>
          <w:szCs w:val="24"/>
        </w:rPr>
        <w:t xml:space="preserve"> was the primary disease-panel binding aggregation term. Let </w:t>
      </w:r>
      <m:oMath>
        <m:sSubSup>
          <m:sSubSupPr>
            <m:ctrlPr>
              <w:rPr>
                <w:rFonts w:ascii="Cambria Math" w:eastAsia="Times New Roman" w:hAnsi="Cambria Math" w:cs="Times New Roman"/>
                <w:sz w:val="24"/>
                <w:szCs w:val="24"/>
              </w:rPr>
            </m:ctrlPr>
          </m:sSubSupPr>
          <m:e>
            <m:r>
              <m:rPr>
                <m:scr m:val="script"/>
                <m:sty m:val="p"/>
              </m:rP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m:rPr>
                <m:sty m:val="p"/>
              </m:rPr>
              <w:rPr>
                <w:rFonts w:ascii="Cambria Math" w:eastAsia="Times New Roman" w:hAnsi="Cambria Math" w:cs="Times New Roman"/>
                <w:sz w:val="24"/>
                <w:szCs w:val="24"/>
              </w:rPr>
              <m:t>cal</m:t>
            </m:r>
          </m:sup>
        </m:sSubSup>
      </m:oMath>
      <w:r w:rsidR="0096625E" w:rsidRPr="00B618CC">
        <w:rPr>
          <w:rFonts w:ascii="Times New Roman" w:eastAsia="Times New Roman" w:hAnsi="Times New Roman" w:cs="Times New Roman"/>
          <w:sz w:val="24"/>
          <w:szCs w:val="24"/>
        </w:rPr>
        <w:t xml:space="preserve"> </w:t>
      </w:r>
      <w:r w:rsidRPr="00B618CC">
        <w:rPr>
          <w:rFonts w:ascii="Times New Roman" w:eastAsia="Times New Roman" w:hAnsi="Times New Roman" w:cs="Times New Roman"/>
          <w:sz w:val="24"/>
          <w:szCs w:val="24"/>
        </w:rPr>
        <w:t xml:space="preserve">denote the set of targets for which an eligible reference-calibrated binding desirability was available for ligand </w:t>
      </w:r>
      <w:r w:rsidRPr="00B618CC">
        <w:rPr>
          <w:rFonts w:ascii="Times New Roman" w:eastAsia="Times New Roman" w:hAnsi="Times New Roman" w:cs="Times New Roman"/>
          <w:i/>
          <w:iCs/>
          <w:sz w:val="24"/>
          <w:szCs w:val="24"/>
        </w:rPr>
        <w:t xml:space="preserve">l </w:t>
      </w:r>
      <w:r w:rsidRPr="00B618CC">
        <w:rPr>
          <w:rFonts w:ascii="Times New Roman" w:eastAsia="Times New Roman" w:hAnsi="Times New Roman" w:cs="Times New Roman"/>
          <w:sz w:val="24"/>
          <w:szCs w:val="24"/>
        </w:rPr>
        <w:t xml:space="preserve">in disease panel </w:t>
      </w:r>
      <w:r w:rsidRPr="00B618CC">
        <w:rPr>
          <w:rFonts w:ascii="Times New Roman" w:eastAsia="Times New Roman" w:hAnsi="Times New Roman" w:cs="Times New Roman"/>
          <w:i/>
          <w:iCs/>
          <w:sz w:val="24"/>
          <w:szCs w:val="24"/>
        </w:rPr>
        <w:t>p</w:t>
      </w:r>
      <w:r w:rsidRPr="00B618CC">
        <w:rPr>
          <w:rFonts w:ascii="Times New Roman" w:eastAsia="Times New Roman" w:hAnsi="Times New Roman" w:cs="Times New Roman"/>
          <w:sz w:val="24"/>
          <w:szCs w:val="24"/>
        </w:rPr>
        <w:t xml:space="preserve">. This calibrated target set included targets supported by either a strict top-pose redocking pass or a validated generated-mode recovery reference. Targets lacking a suitable reference ligand were retained in the docking dataset, target-level audit tables, and comparative interpretation, but were not combined with reference-calibrated targets in the primary cross-target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Top2Node, or Breadth aggregation.</w:t>
      </w:r>
    </w:p>
    <w:p w14:paraId="0C759C0B" w14:textId="33349C9B" w:rsidR="00C15843" w:rsidRPr="00B618CC" w:rsidRDefault="00000000" w:rsidP="0096625E">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When at least one reference-calibrated target was available,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selected the highest target-level calibrated binding desirability after median grid-center aggregation:       </w:t>
      </w:r>
    </w:p>
    <w:p w14:paraId="0025533D" w14:textId="6296F9A3" w:rsidR="0096625E" w:rsidRPr="00B618CC" w:rsidRDefault="0096625E" w:rsidP="0096625E">
      <w:pPr>
        <w:spacing w:before="240" w:after="240" w:line="480" w:lineRule="auto"/>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w:proofErr w:type="spellStart"/>
              <m:r>
                <m:rPr>
                  <m:nor/>
                </m:rPr>
                <w:rPr>
                  <w:rFonts w:ascii="Times New Roman" w:eastAsia="Times New Roman" w:hAnsi="Times New Roman" w:cs="Times New Roman"/>
                  <w:sz w:val="24"/>
                  <w:szCs w:val="24"/>
                </w:rPr>
                <m:t>BestNode</m:t>
              </m:r>
              <w:proofErr w:type="spellEnd"/>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func>
            <m:funcPr>
              <m:ctrlPr>
                <w:rPr>
                  <w:rFonts w:ascii="Cambria Math" w:eastAsia="Times New Roman" w:hAnsi="Cambria Math" w:cs="Times New Roman"/>
                  <w:sz w:val="24"/>
                  <w:szCs w:val="24"/>
                </w:rPr>
              </m:ctrlPr>
            </m:funcPr>
            <m:fName>
              <m:limLow>
                <m:limLowPr>
                  <m:ctrlPr>
                    <w:rPr>
                      <w:rFonts w:ascii="Cambria Math" w:eastAsia="Times New Roman" w:hAnsi="Cambria Math" w:cs="Times New Roman"/>
                      <w:i/>
                      <w:sz w:val="24"/>
                      <w:szCs w:val="24"/>
                    </w:rPr>
                  </m:ctrlPr>
                </m:limLowPr>
                <m:e>
                  <m:r>
                    <m:rPr>
                      <m:sty m:val="p"/>
                    </m:rPr>
                    <w:rPr>
                      <w:rFonts w:ascii="Cambria Math" w:eastAsia="Times New Roman" w:hAnsi="Cambria Math" w:cs="Times New Roman"/>
                      <w:sz w:val="24"/>
                      <w:szCs w:val="24"/>
                    </w:rPr>
                    <m:t>max</m:t>
                  </m:r>
                </m:e>
                <m:lim>
                  <m:r>
                    <w:rPr>
                      <w:rFonts w:ascii="Cambria Math" w:eastAsia="Times New Roman" w:hAnsi="Cambria Math" w:cs="Times New Roman"/>
                      <w:sz w:val="24"/>
                      <w:szCs w:val="24"/>
                    </w:rPr>
                    <m:t>t∈</m:t>
                  </m:r>
                  <m:sSubSup>
                    <m:sSubSupPr>
                      <m:ctrlPr>
                        <w:rPr>
                          <w:rFonts w:ascii="Cambria Math" w:eastAsia="Times New Roman" w:hAnsi="Cambria Math" w:cs="Times New Roman"/>
                          <w:i/>
                          <w:sz w:val="24"/>
                          <w:szCs w:val="24"/>
                        </w:rPr>
                      </m:ctrlPr>
                    </m:sSubSupPr>
                    <m:e>
                      <m:r>
                        <m:rPr>
                          <m:scr m:val="script"/>
                        </m:rP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m:rPr>
                          <m:nor/>
                        </m:rPr>
                        <w:rPr>
                          <w:rFonts w:ascii="Times New Roman" w:eastAsia="Times New Roman" w:hAnsi="Times New Roman" w:cs="Times New Roman"/>
                          <w:sz w:val="24"/>
                          <w:szCs w:val="24"/>
                        </w:rPr>
                        <m:t>cal</m:t>
                      </m:r>
                    </m:sup>
                  </m:sSubSup>
                  <m:ctrlPr>
                    <w:rPr>
                      <w:rFonts w:ascii="Cambria Math" w:eastAsia="Times New Roman" w:hAnsi="Cambria Math" w:cs="Times New Roman"/>
                      <w:sz w:val="24"/>
                      <w:szCs w:val="24"/>
                    </w:rPr>
                  </m:ctrlPr>
                </m:lim>
              </m:limLow>
              <m:ctrlPr>
                <w:rPr>
                  <w:rFonts w:ascii="Cambria Math" w:eastAsia="Times New Roman" w:hAnsi="Cambria Math" w:cs="Times New Roman"/>
                  <w:i/>
                  <w:sz w:val="24"/>
                  <w:szCs w:val="24"/>
                </w:rPr>
              </m:ctrlPr>
            </m:fName>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m:r>
                    <w:rPr>
                      <w:rFonts w:ascii="Cambria Math" w:eastAsia="Times New Roman" w:hAnsi="Cambria Math" w:cs="Times New Roman"/>
                      <w:sz w:val="24"/>
                      <w:szCs w:val="24"/>
                    </w:rPr>
                    <m:t>,l,t</m:t>
                  </m:r>
                </m:sub>
              </m:sSub>
              <m:ctrlPr>
                <w:rPr>
                  <w:rFonts w:ascii="Cambria Math" w:eastAsia="Times New Roman" w:hAnsi="Cambria Math" w:cs="Times New Roman"/>
                  <w:i/>
                  <w:sz w:val="24"/>
                  <w:szCs w:val="24"/>
                </w:rPr>
              </m:ctrlPr>
            </m:e>
          </m:func>
        </m:oMath>
      </m:oMathPara>
    </w:p>
    <w:p w14:paraId="16F011B0" w14:textId="528EA8BD"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If no eligible reference-calibrated target was available for a ligand–panel combination, the corresponding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binding value was recorded as unavailable rather than inferred from an uncalibrated cross-receptor comparison.</w:t>
      </w:r>
    </w:p>
    <w:p w14:paraId="12E34F8D" w14:textId="3F985E5B"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To make this maximum operation auditable, the selected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target, second-best node, best-to-second ratio, and isolated-node flag were retained as diagnostic fields. The isolated-node flag was descriptive only and was not used to alter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SWAN-Top2Node, SWAN-Breadth, benchmark labels, ROC-AUC, BEDROC, or compound inclusion.</w:t>
      </w:r>
    </w:p>
    <w:p w14:paraId="356F9A0F" w14:textId="524672A1" w:rsidR="00C15843" w:rsidRPr="00B618CC" w:rsidRDefault="00000000">
      <w:pPr>
        <w:spacing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The Top2Node binding sensitivity was defined as:</w:t>
      </w:r>
    </w:p>
    <w:p w14:paraId="1A61AC1E" w14:textId="18868538" w:rsidR="0096625E" w:rsidRPr="00B618CC" w:rsidRDefault="0096625E">
      <w:pPr>
        <w:spacing w:line="480" w:lineRule="auto"/>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Binding,Top2Node</m:t>
              </m:r>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eqArr>
                <m:eqArrPr>
                  <m:ctrlPr>
                    <w:rPr>
                      <w:rFonts w:ascii="Cambria Math" w:eastAsia="Times New Roman" w:hAnsi="Cambria Math" w:cs="Times New Roman"/>
                      <w:i/>
                      <w:sz w:val="24"/>
                      <w:szCs w:val="24"/>
                    </w:rPr>
                  </m:ctrlPr>
                </m:eqArrPr>
                <m:e>
                  <m:rad>
                    <m:radPr>
                      <m:degHide m:val="1"/>
                      <m:ctrlPr>
                        <w:rPr>
                          <w:rFonts w:ascii="Cambria Math" w:eastAsia="Times New Roman" w:hAnsi="Cambria Math" w:cs="Times New Roman"/>
                          <w:i/>
                          <w:sz w:val="24"/>
                          <w:szCs w:val="24"/>
                        </w:rPr>
                      </m:ctrlPr>
                    </m:radP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m:t>
                                  </m:r>
                                </m:e>
                              </m:d>
                            </m:sub>
                          </m:sSub>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m:t>
                                  </m:r>
                                </m:e>
                              </m:d>
                            </m:sub>
                          </m:sSub>
                        </m:sub>
                      </m:sSub>
                    </m:e>
                  </m:rad>
                  <m:r>
                    <w:rPr>
                      <w:rFonts w:ascii="Cambria Math" w:eastAsia="Times New Roman" w:hAnsi="Cambria Math" w:cs="Times New Roman"/>
                      <w:sz w:val="24"/>
                      <w:szCs w:val="24"/>
                    </w:rPr>
                    <m:t>&amp;</m:t>
                  </m:r>
                  <m:d>
                    <m:dPr>
                      <m:begChr m:val="|"/>
                      <m:endChr m:val="|"/>
                      <m:ctrlPr>
                        <w:rPr>
                          <w:rFonts w:ascii="Cambria Math" w:eastAsia="Times New Roman" w:hAnsi="Cambria Math" w:cs="Times New Roman"/>
                          <w:i/>
                          <w:sz w:val="24"/>
                          <w:szCs w:val="24"/>
                        </w:rPr>
                      </m:ctrlPr>
                    </m:dPr>
                    <m:e>
                      <m:sSubSup>
                        <m:sSubSupPr>
                          <m:ctrlPr>
                            <w:rPr>
                              <w:rFonts w:ascii="Cambria Math" w:eastAsia="Times New Roman" w:hAnsi="Cambria Math" w:cs="Times New Roman"/>
                              <w:i/>
                              <w:sz w:val="24"/>
                              <w:szCs w:val="24"/>
                            </w:rPr>
                          </m:ctrlPr>
                        </m:sSubSupPr>
                        <m:e>
                          <m:r>
                            <m:rPr>
                              <m:scr m:val="script"/>
                            </m:rP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m:rPr>
                              <m:nor/>
                            </m:rPr>
                            <w:rPr>
                              <w:rFonts w:ascii="Times New Roman" w:eastAsia="Times New Roman" w:hAnsi="Times New Roman" w:cs="Times New Roman"/>
                              <w:sz w:val="24"/>
                              <w:szCs w:val="24"/>
                            </w:rPr>
                            <m:t>cal</m:t>
                          </m:r>
                        </m:sup>
                      </m:sSubSup>
                    </m:e>
                  </m:d>
                  <m:r>
                    <w:rPr>
                      <w:rFonts w:ascii="Cambria Math" w:eastAsia="Times New Roman" w:hAnsi="Cambria Math" w:cs="Times New Roman"/>
                      <w:sz w:val="24"/>
                      <w:szCs w:val="24"/>
                    </w:rPr>
                    <m:t>≥2</m:t>
                  </m:r>
                </m:e>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w:proofErr w:type="spellStart"/>
                      <m:r>
                        <m:rPr>
                          <m:nor/>
                        </m:rPr>
                        <w:rPr>
                          <w:rFonts w:ascii="Times New Roman" w:eastAsia="Times New Roman" w:hAnsi="Times New Roman" w:cs="Times New Roman"/>
                          <w:sz w:val="24"/>
                          <w:szCs w:val="24"/>
                        </w:rPr>
                        <m:t>BestNode</m:t>
                      </m:r>
                      <w:proofErr w:type="spellEnd"/>
                      <m:r>
                        <w:rPr>
                          <w:rFonts w:ascii="Cambria Math" w:eastAsia="Times New Roman" w:hAnsi="Cambria Math" w:cs="Times New Roman"/>
                          <w:sz w:val="24"/>
                          <w:szCs w:val="24"/>
                        </w:rPr>
                        <m:t>,l,p</m:t>
                      </m:r>
                    </m:sub>
                  </m:sSub>
                  <m:r>
                    <w:rPr>
                      <w:rFonts w:ascii="Cambria Math" w:eastAsia="Times New Roman" w:hAnsi="Cambria Math" w:cs="Times New Roman"/>
                      <w:sz w:val="24"/>
                      <w:szCs w:val="24"/>
                    </w:rPr>
                    <m:t>&amp;</m:t>
                  </m:r>
                  <m:d>
                    <m:dPr>
                      <m:begChr m:val="|"/>
                      <m:endChr m:val="|"/>
                      <m:ctrlPr>
                        <w:rPr>
                          <w:rFonts w:ascii="Cambria Math" w:eastAsia="Times New Roman" w:hAnsi="Cambria Math" w:cs="Times New Roman"/>
                          <w:i/>
                          <w:sz w:val="24"/>
                          <w:szCs w:val="24"/>
                        </w:rPr>
                      </m:ctrlPr>
                    </m:dPr>
                    <m:e>
                      <m:sSubSup>
                        <m:sSubSupPr>
                          <m:ctrlPr>
                            <w:rPr>
                              <w:rFonts w:ascii="Cambria Math" w:eastAsia="Times New Roman" w:hAnsi="Cambria Math" w:cs="Times New Roman"/>
                              <w:i/>
                              <w:sz w:val="24"/>
                              <w:szCs w:val="24"/>
                            </w:rPr>
                          </m:ctrlPr>
                        </m:sSubSupPr>
                        <m:e>
                          <m:r>
                            <m:rPr>
                              <m:scr m:val="script"/>
                            </m:rP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m:rPr>
                              <m:nor/>
                            </m:rPr>
                            <w:rPr>
                              <w:rFonts w:ascii="Times New Roman" w:eastAsia="Times New Roman" w:hAnsi="Times New Roman" w:cs="Times New Roman"/>
                              <w:sz w:val="24"/>
                              <w:szCs w:val="24"/>
                            </w:rPr>
                            <m:t>cal</m:t>
                          </m:r>
                        </m:sup>
                      </m:sSubSup>
                    </m:e>
                  </m:d>
                  <m:r>
                    <w:rPr>
                      <w:rFonts w:ascii="Cambria Math" w:eastAsia="Times New Roman" w:hAnsi="Cambria Math" w:cs="Times New Roman"/>
                      <w:sz w:val="24"/>
                      <w:szCs w:val="24"/>
                    </w:rPr>
                    <m:t>=1</m:t>
                  </m:r>
                </m:e>
                <m:e>
                  <m:r>
                    <m:rPr>
                      <m:nor/>
                    </m:rPr>
                    <w:rPr>
                      <w:rFonts w:ascii="Times New Roman" w:eastAsia="Times New Roman" w:hAnsi="Times New Roman" w:cs="Times New Roman"/>
                      <w:sz w:val="24"/>
                      <w:szCs w:val="24"/>
                    </w:rPr>
                    <m:t>NA</m:t>
                  </m:r>
                  <m:r>
                    <w:rPr>
                      <w:rFonts w:ascii="Cambria Math" w:eastAsia="Times New Roman" w:hAnsi="Cambria Math" w:cs="Times New Roman"/>
                      <w:sz w:val="24"/>
                      <w:szCs w:val="24"/>
                    </w:rPr>
                    <m:t>&amp;</m:t>
                  </m:r>
                  <m:d>
                    <m:dPr>
                      <m:begChr m:val="|"/>
                      <m:endChr m:val="|"/>
                      <m:ctrlPr>
                        <w:rPr>
                          <w:rFonts w:ascii="Cambria Math" w:eastAsia="Times New Roman" w:hAnsi="Cambria Math" w:cs="Times New Roman"/>
                          <w:i/>
                          <w:sz w:val="24"/>
                          <w:szCs w:val="24"/>
                        </w:rPr>
                      </m:ctrlPr>
                    </m:dPr>
                    <m:e>
                      <m:sSubSup>
                        <m:sSubSupPr>
                          <m:ctrlPr>
                            <w:rPr>
                              <w:rFonts w:ascii="Cambria Math" w:eastAsia="Times New Roman" w:hAnsi="Cambria Math" w:cs="Times New Roman"/>
                              <w:i/>
                              <w:sz w:val="24"/>
                              <w:szCs w:val="24"/>
                            </w:rPr>
                          </m:ctrlPr>
                        </m:sSubSupPr>
                        <m:e>
                          <m:r>
                            <m:rPr>
                              <m:scr m:val="script"/>
                            </m:rP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m:rPr>
                              <m:nor/>
                            </m:rPr>
                            <w:rPr>
                              <w:rFonts w:ascii="Times New Roman" w:eastAsia="Times New Roman" w:hAnsi="Times New Roman" w:cs="Times New Roman"/>
                              <w:sz w:val="24"/>
                              <w:szCs w:val="24"/>
                            </w:rPr>
                            <m:t>cal</m:t>
                          </m:r>
                        </m:sup>
                      </m:sSubSup>
                    </m:e>
                  </m:d>
                  <m:r>
                    <w:rPr>
                      <w:rFonts w:ascii="Cambria Math" w:eastAsia="Times New Roman" w:hAnsi="Cambria Math" w:cs="Times New Roman"/>
                      <w:sz w:val="24"/>
                      <w:szCs w:val="24"/>
                    </w:rPr>
                    <m:t>=0</m:t>
                  </m:r>
                </m:e>
              </m:eqArr>
            </m:e>
          </m:d>
        </m:oMath>
      </m:oMathPara>
    </w:p>
    <w:p w14:paraId="67F07BC6" w14:textId="433174E3" w:rsidR="00C15843" w:rsidRPr="00B618CC" w:rsidRDefault="00000000">
      <w:pPr>
        <w:spacing w:after="24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sz w:val="24"/>
          <w:szCs w:val="24"/>
        </w:rPr>
        <w:lastRenderedPageBreak/>
        <w:t xml:space="preserve">Where </w:t>
      </w:r>
      <w:proofErr w:type="gramStart"/>
      <w:r w:rsidRPr="00B618CC">
        <w:rPr>
          <w:rFonts w:ascii="Times New Roman" w:eastAsia="Times New Roman" w:hAnsi="Times New Roman" w:cs="Times New Roman"/>
          <w:i/>
          <w:iCs/>
          <w:sz w:val="24"/>
          <w:szCs w:val="24"/>
        </w:rPr>
        <w:t>t</w:t>
      </w:r>
      <w:r w:rsidRPr="00B618CC">
        <w:rPr>
          <w:rFonts w:ascii="Times New Roman" w:eastAsia="Times New Roman" w:hAnsi="Times New Roman" w:cs="Times New Roman"/>
          <w:i/>
          <w:iCs/>
          <w:sz w:val="24"/>
          <w:szCs w:val="24"/>
          <w:vertAlign w:val="subscript"/>
        </w:rPr>
        <w:t>(</w:t>
      </w:r>
      <w:proofErr w:type="gramEnd"/>
      <w:r w:rsidRPr="00B618CC">
        <w:rPr>
          <w:rFonts w:ascii="Times New Roman" w:eastAsia="Times New Roman" w:hAnsi="Times New Roman" w:cs="Times New Roman"/>
          <w:i/>
          <w:iCs/>
          <w:sz w:val="24"/>
          <w:szCs w:val="24"/>
          <w:vertAlign w:val="subscript"/>
        </w:rPr>
        <w:t>1</w:t>
      </w:r>
      <w:proofErr w:type="gramStart"/>
      <w:r w:rsidRPr="00B618CC">
        <w:rPr>
          <w:rFonts w:ascii="Times New Roman" w:eastAsia="Times New Roman" w:hAnsi="Times New Roman" w:cs="Times New Roman"/>
          <w:i/>
          <w:iCs/>
          <w:sz w:val="24"/>
          <w:szCs w:val="24"/>
          <w:vertAlign w:val="subscript"/>
        </w:rPr>
        <w:t xml:space="preserve">)  </w:t>
      </w:r>
      <w:r w:rsidRPr="00B618CC">
        <w:rPr>
          <w:rFonts w:ascii="Times New Roman" w:eastAsia="Times New Roman" w:hAnsi="Times New Roman" w:cs="Times New Roman"/>
          <w:sz w:val="24"/>
          <w:szCs w:val="24"/>
        </w:rPr>
        <w:t>and</w:t>
      </w:r>
      <w:proofErr w:type="gramEnd"/>
      <w:r w:rsidRPr="00B618CC">
        <w:rPr>
          <w:rFonts w:ascii="Times New Roman" w:eastAsia="Times New Roman" w:hAnsi="Times New Roman" w:cs="Times New Roman"/>
          <w:i/>
          <w:iCs/>
          <w:sz w:val="24"/>
          <w:szCs w:val="24"/>
        </w:rPr>
        <w:t xml:space="preserve"> </w:t>
      </w:r>
      <w:proofErr w:type="gramStart"/>
      <w:r w:rsidRPr="00B618CC">
        <w:rPr>
          <w:rFonts w:ascii="Times New Roman" w:eastAsia="Times New Roman" w:hAnsi="Times New Roman" w:cs="Times New Roman"/>
          <w:i/>
          <w:iCs/>
          <w:sz w:val="24"/>
          <w:szCs w:val="24"/>
        </w:rPr>
        <w:t>t</w:t>
      </w:r>
      <w:r w:rsidRPr="00B618CC">
        <w:rPr>
          <w:rFonts w:ascii="Times New Roman" w:eastAsia="Times New Roman" w:hAnsi="Times New Roman" w:cs="Times New Roman"/>
          <w:i/>
          <w:iCs/>
          <w:sz w:val="24"/>
          <w:szCs w:val="24"/>
          <w:vertAlign w:val="subscript"/>
        </w:rPr>
        <w:t>(</w:t>
      </w:r>
      <w:proofErr w:type="gramEnd"/>
      <w:r w:rsidRPr="00B618CC">
        <w:rPr>
          <w:rFonts w:ascii="Times New Roman" w:eastAsia="Times New Roman" w:hAnsi="Times New Roman" w:cs="Times New Roman"/>
          <w:i/>
          <w:iCs/>
          <w:sz w:val="24"/>
          <w:szCs w:val="24"/>
          <w:vertAlign w:val="subscript"/>
        </w:rPr>
        <w:t>2</w:t>
      </w:r>
      <w:proofErr w:type="gramStart"/>
      <w:r w:rsidRPr="00B618CC">
        <w:rPr>
          <w:rFonts w:ascii="Times New Roman" w:eastAsia="Times New Roman" w:hAnsi="Times New Roman" w:cs="Times New Roman"/>
          <w:i/>
          <w:iCs/>
          <w:sz w:val="24"/>
          <w:szCs w:val="24"/>
          <w:vertAlign w:val="subscript"/>
        </w:rPr>
        <w:t xml:space="preserve">)  </w:t>
      </w:r>
      <w:r w:rsidRPr="00B618CC">
        <w:rPr>
          <w:rFonts w:ascii="Times New Roman" w:eastAsia="Times New Roman" w:hAnsi="Times New Roman" w:cs="Times New Roman"/>
          <w:sz w:val="24"/>
          <w:szCs w:val="24"/>
        </w:rPr>
        <w:t>denote</w:t>
      </w:r>
      <w:proofErr w:type="gramEnd"/>
      <w:r w:rsidRPr="00B618CC">
        <w:rPr>
          <w:rFonts w:ascii="Times New Roman" w:eastAsia="Times New Roman" w:hAnsi="Times New Roman" w:cs="Times New Roman"/>
          <w:sz w:val="24"/>
          <w:szCs w:val="24"/>
        </w:rPr>
        <w:t xml:space="preserve"> the targets with the highest and second-highest binding </w:t>
      </w:r>
      <w:proofErr w:type="spellStart"/>
      <w:r w:rsidRPr="00B618CC">
        <w:rPr>
          <w:rFonts w:ascii="Times New Roman" w:eastAsia="Times New Roman" w:hAnsi="Times New Roman" w:cs="Times New Roman"/>
          <w:sz w:val="24"/>
          <w:szCs w:val="24"/>
        </w:rPr>
        <w:t>desirabilities</w:t>
      </w:r>
      <w:proofErr w:type="spellEnd"/>
      <w:r w:rsidRPr="00B618CC">
        <w:rPr>
          <w:rFonts w:ascii="Times New Roman" w:eastAsia="Times New Roman" w:hAnsi="Times New Roman" w:cs="Times New Roman"/>
          <w:sz w:val="24"/>
          <w:szCs w:val="24"/>
        </w:rPr>
        <w:t xml:space="preserve"> within the applicable target set for panel </w:t>
      </w:r>
      <w:r w:rsidRPr="00B618CC">
        <w:rPr>
          <w:rFonts w:ascii="Times New Roman" w:eastAsia="Times New Roman" w:hAnsi="Times New Roman" w:cs="Times New Roman"/>
          <w:i/>
          <w:iCs/>
          <w:sz w:val="24"/>
          <w:szCs w:val="24"/>
        </w:rPr>
        <w:t xml:space="preserve">p. </w:t>
      </w:r>
      <w:r w:rsidRPr="00B618CC">
        <w:rPr>
          <w:rFonts w:ascii="Times New Roman" w:eastAsia="Times New Roman" w:hAnsi="Times New Roman" w:cs="Times New Roman"/>
          <w:sz w:val="24"/>
          <w:szCs w:val="24"/>
        </w:rPr>
        <w:t xml:space="preserve">When only one calibrated target was available, Top2Node reverted to the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value rather than becoming unavailable solely because a second reference-calibrated target was absent.</w:t>
      </w:r>
    </w:p>
    <w:p w14:paraId="0FC93A3E" w14:textId="2D0AEFC3"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The Breadth binding sensitivity was defined as:</w:t>
      </w:r>
    </w:p>
    <w:p w14:paraId="35CC11CC" w14:textId="2BD91CC5" w:rsidR="00C15843" w:rsidRPr="00B618CC" w:rsidRDefault="0096625E">
      <w:pPr>
        <w:spacing w:before="240" w:after="240" w:line="480" w:lineRule="auto"/>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Binding,Breadth</m:t>
              </m:r>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exp</m:t>
              </m:r>
              <m:ctrlPr>
                <w:rPr>
                  <w:rFonts w:ascii="Cambria Math" w:eastAsia="Times New Roman" w:hAnsi="Cambria Math" w:cs="Times New Roman"/>
                  <w:i/>
                  <w:sz w:val="24"/>
                  <w:szCs w:val="24"/>
                </w:rPr>
              </m:ctrlPr>
            </m:fName>
            <m:e>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d>
                        <m:dPr>
                          <m:begChr m:val="|"/>
                          <m:endChr m:val="|"/>
                          <m:ctrlPr>
                            <w:rPr>
                              <w:rFonts w:ascii="Cambria Math" w:eastAsia="Times New Roman" w:hAnsi="Cambria Math" w:cs="Times New Roman"/>
                              <w:i/>
                              <w:sz w:val="24"/>
                              <w:szCs w:val="24"/>
                            </w:rPr>
                          </m:ctrlPr>
                        </m:dPr>
                        <m:e>
                          <m:sSubSup>
                            <m:sSubSupPr>
                              <m:ctrlPr>
                                <w:rPr>
                                  <w:rFonts w:ascii="Cambria Math" w:eastAsia="Times New Roman" w:hAnsi="Cambria Math" w:cs="Times New Roman"/>
                                  <w:i/>
                                  <w:sz w:val="24"/>
                                  <w:szCs w:val="24"/>
                                </w:rPr>
                              </m:ctrlPr>
                            </m:sSubSupPr>
                            <m:e>
                              <m:r>
                                <m:rPr>
                                  <m:scr m:val="script"/>
                                </m:rP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m:rPr>
                                  <m:nor/>
                                </m:rPr>
                                <w:rPr>
                                  <w:rFonts w:ascii="Times New Roman" w:eastAsia="Times New Roman" w:hAnsi="Times New Roman" w:cs="Times New Roman"/>
                                  <w:sz w:val="24"/>
                                  <w:szCs w:val="24"/>
                                </w:rPr>
                                <m:t>cal</m:t>
                              </m:r>
                            </m:sup>
                          </m:sSubSup>
                        </m:e>
                      </m:d>
                    </m:den>
                  </m:f>
                  <m:nary>
                    <m:naryPr>
                      <m:chr m:val="∑"/>
                      <m:supHide m:val="1"/>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t∈</m:t>
                      </m:r>
                      <m:sSubSup>
                        <m:sSubSupPr>
                          <m:ctrlPr>
                            <w:rPr>
                              <w:rFonts w:ascii="Cambria Math" w:eastAsia="Times New Roman" w:hAnsi="Cambria Math" w:cs="Times New Roman"/>
                              <w:i/>
                              <w:sz w:val="24"/>
                              <w:szCs w:val="24"/>
                            </w:rPr>
                          </m:ctrlPr>
                        </m:sSubSupPr>
                        <m:e>
                          <m:r>
                            <m:rPr>
                              <m:scr m:val="script"/>
                            </m:rP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m:rPr>
                              <m:nor/>
                            </m:rPr>
                            <w:rPr>
                              <w:rFonts w:ascii="Times New Roman" w:eastAsia="Times New Roman" w:hAnsi="Times New Roman" w:cs="Times New Roman"/>
                              <w:sz w:val="24"/>
                              <w:szCs w:val="24"/>
                            </w:rPr>
                            <m:t>cal</m:t>
                          </m:r>
                        </m:sup>
                      </m:sSubSup>
                    </m:sub>
                    <m:sup/>
                    <m:e>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log</m:t>
                          </m:r>
                          <m:ctrlPr>
                            <w:rPr>
                              <w:rFonts w:ascii="Cambria Math" w:eastAsia="Times New Roman" w:hAnsi="Cambria Math" w:cs="Times New Roman"/>
                              <w:i/>
                              <w:sz w:val="24"/>
                              <w:szCs w:val="24"/>
                            </w:rPr>
                          </m:ctrlPr>
                        </m:fName>
                        <m:e>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m:r>
                                    <w:rPr>
                                      <w:rFonts w:ascii="Cambria Math" w:eastAsia="Times New Roman" w:hAnsi="Cambria Math" w:cs="Times New Roman"/>
                                      <w:sz w:val="24"/>
                                      <w:szCs w:val="24"/>
                                    </w:rPr>
                                    <m:t>,l,t</m:t>
                                  </m:r>
                                </m:sub>
                              </m:sSub>
                            </m:e>
                          </m:d>
                        </m:e>
                      </m:func>
                    </m:e>
                  </m:nary>
                </m:e>
              </m:d>
            </m:e>
          </m:func>
        </m:oMath>
      </m:oMathPara>
    </w:p>
    <w:p w14:paraId="70D39E91" w14:textId="73C2ECA2"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Breadth summarized binding support across all reference-calibrated targets available for ligand </w:t>
      </w:r>
      <w:r w:rsidRPr="00B618CC">
        <w:rPr>
          <w:rFonts w:ascii="Times New Roman" w:eastAsia="Times New Roman" w:hAnsi="Times New Roman" w:cs="Times New Roman"/>
          <w:i/>
          <w:iCs/>
          <w:sz w:val="24"/>
          <w:szCs w:val="24"/>
        </w:rPr>
        <w:t xml:space="preserve">l </w:t>
      </w:r>
      <w:r w:rsidRPr="00B618CC">
        <w:rPr>
          <w:rFonts w:ascii="Times New Roman" w:eastAsia="Times New Roman" w:hAnsi="Times New Roman" w:cs="Times New Roman"/>
          <w:sz w:val="24"/>
          <w:szCs w:val="24"/>
        </w:rPr>
        <w:t xml:space="preserve">in panel </w:t>
      </w:r>
      <w:r w:rsidRPr="00B618CC">
        <w:rPr>
          <w:rFonts w:ascii="Times New Roman" w:eastAsia="Times New Roman" w:hAnsi="Times New Roman" w:cs="Times New Roman"/>
          <w:i/>
          <w:iCs/>
          <w:sz w:val="24"/>
          <w:szCs w:val="24"/>
        </w:rPr>
        <w:t>p</w:t>
      </w:r>
      <w:r w:rsidRPr="00B618CC">
        <w:rPr>
          <w:rFonts w:ascii="Times New Roman" w:eastAsia="Times New Roman" w:hAnsi="Times New Roman" w:cs="Times New Roman"/>
          <w:sz w:val="24"/>
          <w:szCs w:val="24"/>
        </w:rPr>
        <w:t xml:space="preserve">. As all target-level </w:t>
      </w:r>
      <w:proofErr w:type="spellStart"/>
      <w:r w:rsidRPr="00B618CC">
        <w:rPr>
          <w:rFonts w:ascii="Times New Roman" w:eastAsia="Times New Roman" w:hAnsi="Times New Roman" w:cs="Times New Roman"/>
          <w:sz w:val="24"/>
          <w:szCs w:val="24"/>
        </w:rPr>
        <w:t>desirabilities</w:t>
      </w:r>
      <w:proofErr w:type="spellEnd"/>
      <w:r w:rsidRPr="00B618CC">
        <w:rPr>
          <w:rFonts w:ascii="Times New Roman" w:eastAsia="Times New Roman" w:hAnsi="Times New Roman" w:cs="Times New Roman"/>
          <w:sz w:val="24"/>
          <w:szCs w:val="24"/>
        </w:rPr>
        <w:t xml:space="preserve"> were bounded above zero, the logarithmic geometric-mean formulation remained numerically defined.</w:t>
      </w:r>
    </w:p>
    <w:p w14:paraId="01770A41" w14:textId="17F46DB5"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Using these alternative binding terms, SWAN-Top2Node and SWAN-Breadth sensitivity scores were calculated using the same equal-weight geometric integration as the primary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score:</w:t>
      </w:r>
    </w:p>
    <w:p w14:paraId="7BEAFAF1" w14:textId="37025DE5" w:rsidR="0096625E" w:rsidRPr="00B618CC" w:rsidRDefault="0096625E">
      <w:pPr>
        <w:spacing w:before="240" w:after="240" w:line="480" w:lineRule="auto"/>
        <w:rPr>
          <w:rFonts w:ascii="Times New Roman" w:eastAsia="Times New Roman" w:hAnsi="Times New Roman" w:cs="Times New Roman"/>
          <w:b/>
          <w:bCs/>
          <w:sz w:val="24"/>
          <w:szCs w:val="24"/>
        </w:rPr>
      </w:pPr>
      <m:oMathPara>
        <m:oMath>
          <m:sSub>
            <m:sSubPr>
              <m:ctrlPr>
                <w:rPr>
                  <w:rFonts w:ascii="Cambria Math" w:eastAsia="Times New Roman" w:hAnsi="Cambria Math" w:cs="Times New Roman"/>
                  <w:b/>
                  <w:bCs/>
                  <w:i/>
                  <w:sz w:val="24"/>
                  <w:szCs w:val="24"/>
                </w:rPr>
              </m:ctrlPr>
            </m:sSubPr>
            <m:e>
              <m:r>
                <m:rPr>
                  <m:nor/>
                </m:rPr>
                <w:rPr>
                  <w:rFonts w:ascii="Times New Roman" w:eastAsia="Times New Roman" w:hAnsi="Times New Roman" w:cs="Times New Roman"/>
                  <w:b/>
                  <w:bCs/>
                  <w:sz w:val="24"/>
                  <w:szCs w:val="24"/>
                </w:rPr>
                <m:t>SWAN</m:t>
              </m:r>
              <m:ctrlPr>
                <w:rPr>
                  <w:rFonts w:ascii="Cambria Math" w:eastAsia="Times New Roman" w:hAnsi="Cambria Math" w:cs="Times New Roman"/>
                  <w:b/>
                  <w:bCs/>
                  <w:sz w:val="24"/>
                  <w:szCs w:val="24"/>
                </w:rPr>
              </m:ctrlPr>
            </m:e>
            <m:sub>
              <m:r>
                <m:rPr>
                  <m:nor/>
                </m:rPr>
                <w:rPr>
                  <w:rFonts w:ascii="Times New Roman" w:eastAsia="Times New Roman" w:hAnsi="Times New Roman" w:cs="Times New Roman"/>
                  <w:b/>
                  <w:bCs/>
                  <w:sz w:val="24"/>
                  <w:szCs w:val="24"/>
                </w:rPr>
                <m:t>Top2Node</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p>
            <m:sSupPr>
              <m:ctrlPr>
                <w:rPr>
                  <w:rFonts w:ascii="Cambria Math" w:eastAsia="Times New Roman" w:hAnsi="Cambria Math" w:cs="Times New Roman"/>
                  <w:b/>
                  <w:bCs/>
                  <w:i/>
                  <w:sz w:val="24"/>
                  <w:szCs w:val="24"/>
                </w:rPr>
              </m:ctrlPr>
            </m:sSupPr>
            <m:e>
              <m:d>
                <m:dPr>
                  <m:ctrlPr>
                    <w:rPr>
                      <w:rFonts w:ascii="Cambria Math" w:eastAsia="Times New Roman" w:hAnsi="Cambria Math" w:cs="Times New Roman"/>
                      <w:b/>
                      <w:bCs/>
                      <w:i/>
                      <w:sz w:val="24"/>
                      <w:szCs w:val="24"/>
                    </w:rPr>
                  </m:ctrlPr>
                </m:d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Safety</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ADME</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Binding,Top2Node</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Liability</m:t>
                      </m:r>
                      <m:r>
                        <m:rPr>
                          <m:sty m:val="bi"/>
                        </m:rPr>
                        <w:rPr>
                          <w:rFonts w:ascii="Cambria Math" w:eastAsia="Times New Roman" w:hAnsi="Cambria Math" w:cs="Times New Roman"/>
                          <w:sz w:val="24"/>
                          <w:szCs w:val="24"/>
                        </w:rPr>
                        <m:t>,l,p</m:t>
                      </m:r>
                    </m:sub>
                  </m:sSub>
                </m:e>
              </m:d>
            </m:e>
            <m:sup>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1</m:t>
                  </m:r>
                </m:num>
                <m:den>
                  <m:r>
                    <m:rPr>
                      <m:sty m:val="bi"/>
                    </m:rPr>
                    <w:rPr>
                      <w:rFonts w:ascii="Cambria Math" w:eastAsia="Times New Roman" w:hAnsi="Cambria Math" w:cs="Times New Roman"/>
                      <w:sz w:val="24"/>
                      <w:szCs w:val="24"/>
                    </w:rPr>
                    <m:t>4</m:t>
                  </m:r>
                </m:den>
              </m:f>
            </m:sup>
          </m:sSup>
        </m:oMath>
      </m:oMathPara>
    </w:p>
    <w:p w14:paraId="54BD5ED9" w14:textId="2F1F9BCF" w:rsidR="0096625E" w:rsidRPr="00B618CC" w:rsidRDefault="0096625E">
      <w:pPr>
        <w:spacing w:before="240" w:after="240" w:line="480" w:lineRule="auto"/>
        <w:rPr>
          <w:rFonts w:ascii="Times New Roman" w:eastAsia="Times New Roman" w:hAnsi="Times New Roman" w:cs="Times New Roman"/>
          <w:b/>
          <w:bCs/>
          <w:sz w:val="24"/>
          <w:szCs w:val="24"/>
        </w:rPr>
      </w:pPr>
      <m:oMathPara>
        <m:oMath>
          <m:sSub>
            <m:sSubPr>
              <m:ctrlPr>
                <w:rPr>
                  <w:rFonts w:ascii="Cambria Math" w:eastAsia="Times New Roman" w:hAnsi="Cambria Math" w:cs="Times New Roman"/>
                  <w:b/>
                  <w:bCs/>
                  <w:i/>
                  <w:sz w:val="24"/>
                  <w:szCs w:val="24"/>
                </w:rPr>
              </m:ctrlPr>
            </m:sSubPr>
            <m:e>
              <m:r>
                <m:rPr>
                  <m:nor/>
                </m:rPr>
                <w:rPr>
                  <w:rFonts w:ascii="Times New Roman" w:eastAsia="Times New Roman" w:hAnsi="Times New Roman" w:cs="Times New Roman"/>
                  <w:b/>
                  <w:bCs/>
                  <w:sz w:val="24"/>
                  <w:szCs w:val="24"/>
                </w:rPr>
                <m:t>SWAN</m:t>
              </m:r>
              <m:ctrlPr>
                <w:rPr>
                  <w:rFonts w:ascii="Cambria Math" w:eastAsia="Times New Roman" w:hAnsi="Cambria Math" w:cs="Times New Roman"/>
                  <w:b/>
                  <w:bCs/>
                  <w:sz w:val="24"/>
                  <w:szCs w:val="24"/>
                </w:rPr>
              </m:ctrlPr>
            </m:e>
            <m:sub>
              <m:r>
                <m:rPr>
                  <m:nor/>
                </m:rPr>
                <w:rPr>
                  <w:rFonts w:ascii="Times New Roman" w:eastAsia="Times New Roman" w:hAnsi="Times New Roman" w:cs="Times New Roman"/>
                  <w:b/>
                  <w:bCs/>
                  <w:sz w:val="24"/>
                  <w:szCs w:val="24"/>
                </w:rPr>
                <m:t>Breadth</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p>
            <m:sSupPr>
              <m:ctrlPr>
                <w:rPr>
                  <w:rFonts w:ascii="Cambria Math" w:eastAsia="Times New Roman" w:hAnsi="Cambria Math" w:cs="Times New Roman"/>
                  <w:b/>
                  <w:bCs/>
                  <w:i/>
                  <w:sz w:val="24"/>
                  <w:szCs w:val="24"/>
                </w:rPr>
              </m:ctrlPr>
            </m:sSupPr>
            <m:e>
              <m:d>
                <m:dPr>
                  <m:ctrlPr>
                    <w:rPr>
                      <w:rFonts w:ascii="Cambria Math" w:eastAsia="Times New Roman" w:hAnsi="Cambria Math" w:cs="Times New Roman"/>
                      <w:b/>
                      <w:bCs/>
                      <w:i/>
                      <w:sz w:val="24"/>
                      <w:szCs w:val="24"/>
                    </w:rPr>
                  </m:ctrlPr>
                </m:dPr>
                <m:e>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Safety</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ADME</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Binding,Breadth</m:t>
                      </m:r>
                      <m:r>
                        <m:rPr>
                          <m:sty m:val="bi"/>
                        </m:rPr>
                        <w:rPr>
                          <w:rFonts w:ascii="Cambria Math" w:eastAsia="Times New Roman" w:hAnsi="Cambria Math" w:cs="Times New Roman"/>
                          <w:sz w:val="24"/>
                          <w:szCs w:val="24"/>
                        </w:rPr>
                        <m:t>,l,p</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d</m:t>
                      </m:r>
                    </m:e>
                    <m:sub>
                      <m:r>
                        <m:rPr>
                          <m:nor/>
                        </m:rPr>
                        <w:rPr>
                          <w:rFonts w:ascii="Times New Roman" w:eastAsia="Times New Roman" w:hAnsi="Times New Roman" w:cs="Times New Roman"/>
                          <w:b/>
                          <w:bCs/>
                          <w:sz w:val="24"/>
                          <w:szCs w:val="24"/>
                        </w:rPr>
                        <m:t>Liability</m:t>
                      </m:r>
                      <m:r>
                        <m:rPr>
                          <m:sty m:val="bi"/>
                        </m:rPr>
                        <w:rPr>
                          <w:rFonts w:ascii="Cambria Math" w:eastAsia="Times New Roman" w:hAnsi="Cambria Math" w:cs="Times New Roman"/>
                          <w:sz w:val="24"/>
                          <w:szCs w:val="24"/>
                        </w:rPr>
                        <m:t>,l,p</m:t>
                      </m:r>
                    </m:sub>
                  </m:sSub>
                </m:e>
              </m:d>
            </m:e>
            <m:sup>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1</m:t>
                  </m:r>
                </m:num>
                <m:den>
                  <m:r>
                    <m:rPr>
                      <m:sty m:val="bi"/>
                    </m:rPr>
                    <w:rPr>
                      <w:rFonts w:ascii="Cambria Math" w:eastAsia="Times New Roman" w:hAnsi="Cambria Math" w:cs="Times New Roman"/>
                      <w:sz w:val="24"/>
                      <w:szCs w:val="24"/>
                    </w:rPr>
                    <m:t>4</m:t>
                  </m:r>
                </m:den>
              </m:f>
            </m:sup>
          </m:sSup>
        </m:oMath>
      </m:oMathPara>
    </w:p>
    <w:p w14:paraId="4ED1108A" w14:textId="0E8C121A" w:rsidR="00C15843" w:rsidRPr="00B618CC" w:rsidRDefault="00000000">
      <w:pPr>
        <w:spacing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sz w:val="24"/>
          <w:szCs w:val="24"/>
        </w:rPr>
        <w:t>These sensitivity scores were used to evaluate whether prioritization depended on a single selected target node or remained directionally stable when binding support was summarized across the top two nodes or across the full panel.</w:t>
      </w:r>
      <w:r w:rsidR="00B618CC">
        <w:rPr>
          <w:rFonts w:ascii="Times New Roman" w:eastAsia="Times New Roman" w:hAnsi="Times New Roman" w:cs="Times New Roman"/>
          <w:sz w:val="24"/>
          <w:szCs w:val="24"/>
        </w:rPr>
        <w:br/>
      </w:r>
      <w:r w:rsidR="00B618CC" w:rsidRPr="00B618CC">
        <w:rPr>
          <w:rFonts w:ascii="Times New Roman" w:hAnsi="Times New Roman" w:cs="Times New Roman"/>
          <w:color w:val="000000"/>
          <w:sz w:val="24"/>
          <w:szCs w:val="24"/>
        </w:rPr>
        <w:t xml:space="preserve">Under the published calibration, mTOR was the only reference-calibrated target eligible for the </w:t>
      </w:r>
      <w:r w:rsidR="00B618CC" w:rsidRPr="00B618CC">
        <w:rPr>
          <w:rFonts w:ascii="Times New Roman" w:hAnsi="Times New Roman" w:cs="Times New Roman"/>
          <w:color w:val="000000"/>
          <w:sz w:val="24"/>
          <w:szCs w:val="24"/>
        </w:rPr>
        <w:lastRenderedPageBreak/>
        <w:t xml:space="preserve">colorectal panel; consequently, colorectal </w:t>
      </w:r>
      <w:proofErr w:type="spellStart"/>
      <w:r w:rsidR="00B618CC" w:rsidRPr="00B618CC">
        <w:rPr>
          <w:rFonts w:ascii="Times New Roman" w:hAnsi="Times New Roman" w:cs="Times New Roman"/>
          <w:color w:val="000000"/>
          <w:sz w:val="24"/>
          <w:szCs w:val="24"/>
        </w:rPr>
        <w:t>BestNode</w:t>
      </w:r>
      <w:proofErr w:type="spellEnd"/>
      <w:r w:rsidR="00B618CC" w:rsidRPr="00B618CC">
        <w:rPr>
          <w:rFonts w:ascii="Times New Roman" w:hAnsi="Times New Roman" w:cs="Times New Roman"/>
          <w:color w:val="000000"/>
          <w:sz w:val="24"/>
          <w:szCs w:val="24"/>
        </w:rPr>
        <w:t>, Top2Node, and Breadth binding terms reduce to calibrated support from a single eligible node. Under strict-top-pose restriction, the colorectal panel contained no eligible targets and was therefore not estimable.</w:t>
      </w:r>
    </w:p>
    <w:p w14:paraId="45746F6D" w14:textId="00C8EE42" w:rsidR="00C15843" w:rsidRPr="00B618CC" w:rsidRDefault="00000000">
      <w:pPr>
        <w:spacing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Methods S7. Ligand-efficiency sensitivity</w:t>
      </w:r>
    </w:p>
    <w:p w14:paraId="10D8BC95" w14:textId="2BE10385" w:rsidR="0096625E" w:rsidRPr="00B618CC" w:rsidRDefault="00000000">
      <w:pPr>
        <w:spacing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Ligand-efficiency sensitivity was performed to test whether larger natural-product scaffolds were favored by raw docking energies because of greater contact surface area or heavy-atom count. For each ligand-target pair, raw ligand efficiency was calculated as:</w:t>
      </w:r>
    </w:p>
    <w:p w14:paraId="795439F7" w14:textId="088307B7" w:rsidR="00E17C22" w:rsidRPr="00B618CC" w:rsidRDefault="00E17C22">
      <w:pPr>
        <w:spacing w:line="48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l,t</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ΔG</m:t>
                      </m:r>
                    </m:e>
                  </m:acc>
                </m:e>
                <m:sub>
                  <m:r>
                    <w:rPr>
                      <w:rFonts w:ascii="Cambria Math" w:eastAsia="Times New Roman" w:hAnsi="Cambria Math" w:cs="Times New Roman"/>
                      <w:sz w:val="24"/>
                      <w:szCs w:val="24"/>
                    </w:rPr>
                    <m:t>l,t</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m:rPr>
                      <m:nor/>
                    </m:rPr>
                    <w:rPr>
                      <w:rFonts w:ascii="Times New Roman" w:eastAsia="Times New Roman" w:hAnsi="Times New Roman" w:cs="Times New Roman"/>
                      <w:sz w:val="24"/>
                      <w:szCs w:val="24"/>
                    </w:rPr>
                    <m:t>h</m:t>
                  </m:r>
                  <w:proofErr w:type="spellStart"/>
                  <m:r>
                    <m:rPr>
                      <m:nor/>
                    </m:rPr>
                    <w:rPr>
                      <w:rFonts w:ascii="Times New Roman" w:eastAsia="Times New Roman" w:hAnsi="Times New Roman" w:cs="Times New Roman"/>
                      <w:sz w:val="24"/>
                      <w:szCs w:val="24"/>
                    </w:rPr>
                    <m:t>eavy</m:t>
                  </m:r>
                  <w:proofErr w:type="spellEnd"/>
                  <m:r>
                    <w:rPr>
                      <w:rFonts w:ascii="Cambria Math" w:eastAsia="Times New Roman" w:hAnsi="Cambria Math" w:cs="Times New Roman"/>
                      <w:sz w:val="24"/>
                      <w:szCs w:val="24"/>
                    </w:rPr>
                    <m:t>,l</m:t>
                  </m:r>
                </m:sub>
              </m:sSub>
            </m:den>
          </m:f>
        </m:oMath>
      </m:oMathPara>
    </w:p>
    <w:p w14:paraId="34CBD434" w14:textId="2C8F7CE9" w:rsidR="00C15843" w:rsidRPr="00B618CC" w:rsidRDefault="00000000">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Here,</w:t>
      </w:r>
      <w:r w:rsidR="00E17C22" w:rsidRPr="00B618CC">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∆G</m:t>
                </m:r>
              </m:e>
            </m:acc>
          </m:e>
          <m:sub>
            <m:r>
              <w:rPr>
                <w:rFonts w:ascii="Cambria Math" w:eastAsia="Times New Roman" w:hAnsi="Cambria Math" w:cs="Times New Roman"/>
                <w:sz w:val="24"/>
                <w:szCs w:val="24"/>
              </w:rPr>
              <m:t>l,t</m:t>
            </m:r>
          </m:sub>
        </m:sSub>
      </m:oMath>
      <w:r w:rsidRPr="00B618CC">
        <w:rPr>
          <w:rFonts w:ascii="Times New Roman" w:eastAsia="Times New Roman" w:hAnsi="Times New Roman" w:cs="Times New Roman"/>
          <w:sz w:val="24"/>
          <w:szCs w:val="24"/>
        </w:rPr>
        <w:t xml:space="preserve"> denotes the median docking energy for ligand </w:t>
      </w:r>
      <w:r w:rsidRPr="00B618CC">
        <w:rPr>
          <w:rFonts w:ascii="Times New Roman" w:eastAsia="Times New Roman" w:hAnsi="Times New Roman" w:cs="Times New Roman"/>
          <w:i/>
          <w:iCs/>
          <w:sz w:val="24"/>
          <w:szCs w:val="24"/>
        </w:rPr>
        <w:t>l</w:t>
      </w:r>
      <w:r w:rsidRPr="00B618CC">
        <w:rPr>
          <w:rFonts w:ascii="Times New Roman" w:eastAsia="Times New Roman" w:hAnsi="Times New Roman" w:cs="Times New Roman"/>
          <w:sz w:val="24"/>
          <w:szCs w:val="24"/>
        </w:rPr>
        <w:t xml:space="preserve"> against target </w:t>
      </w:r>
      <w:r w:rsidRPr="00B618CC">
        <w:rPr>
          <w:rFonts w:ascii="Times New Roman" w:eastAsia="Times New Roman" w:hAnsi="Times New Roman" w:cs="Times New Roman"/>
          <w:i/>
          <w:iCs/>
          <w:sz w:val="24"/>
          <w:szCs w:val="24"/>
        </w:rPr>
        <w:t>t</w:t>
      </w:r>
      <w:r w:rsidRPr="00B618CC">
        <w:rPr>
          <w:rFonts w:ascii="Times New Roman" w:eastAsia="Times New Roman" w:hAnsi="Times New Roman" w:cs="Times New Roman"/>
          <w:sz w:val="24"/>
          <w:szCs w:val="24"/>
        </w:rPr>
        <w:t xml:space="preserve"> and </w:t>
      </w:r>
      <w:proofErr w:type="spellStart"/>
      <w:proofErr w:type="gramStart"/>
      <w:r w:rsidRPr="00B618CC">
        <w:rPr>
          <w:rFonts w:ascii="Times New Roman" w:eastAsia="Times New Roman" w:hAnsi="Times New Roman" w:cs="Times New Roman"/>
          <w:sz w:val="24"/>
          <w:szCs w:val="24"/>
        </w:rPr>
        <w:t>N</w:t>
      </w:r>
      <w:r w:rsidRPr="00B618CC">
        <w:rPr>
          <w:rFonts w:ascii="Times New Roman" w:eastAsia="Times New Roman" w:hAnsi="Times New Roman" w:cs="Times New Roman"/>
          <w:sz w:val="24"/>
          <w:szCs w:val="24"/>
          <w:vertAlign w:val="subscript"/>
        </w:rPr>
        <w:t>heavy,</w:t>
      </w:r>
      <w:r w:rsidRPr="00B618CC">
        <w:rPr>
          <w:rFonts w:ascii="Times New Roman" w:eastAsia="Times New Roman" w:hAnsi="Times New Roman" w:cs="Times New Roman"/>
          <w:i/>
          <w:iCs/>
          <w:sz w:val="24"/>
          <w:szCs w:val="24"/>
          <w:vertAlign w:val="subscript"/>
        </w:rPr>
        <w:t>l</w:t>
      </w:r>
      <w:proofErr w:type="spellEnd"/>
      <w:r w:rsidRPr="00B618CC">
        <w:rPr>
          <w:rFonts w:ascii="Times New Roman" w:eastAsia="Times New Roman" w:hAnsi="Times New Roman" w:cs="Times New Roman"/>
          <w:i/>
          <w:iCs/>
          <w:sz w:val="24"/>
          <w:szCs w:val="24"/>
          <w:vertAlign w:val="subscript"/>
        </w:rPr>
        <w:t>​</w:t>
      </w:r>
      <w:proofErr w:type="gramEnd"/>
      <w:r w:rsidRPr="00B618CC">
        <w:rPr>
          <w:rFonts w:ascii="Times New Roman" w:eastAsia="Times New Roman" w:hAnsi="Times New Roman" w:cs="Times New Roman"/>
          <w:sz w:val="24"/>
          <w:szCs w:val="24"/>
          <w:vertAlign w:val="subscript"/>
        </w:rPr>
        <w:t xml:space="preserve">  </w:t>
      </w:r>
      <w:r w:rsidRPr="00B618CC">
        <w:rPr>
          <w:rFonts w:ascii="Times New Roman" w:eastAsia="Times New Roman" w:hAnsi="Times New Roman" w:cs="Times New Roman"/>
          <w:sz w:val="24"/>
          <w:szCs w:val="24"/>
        </w:rPr>
        <w:t xml:space="preserve">denotes the ligand heavy-atom count. Heavy-atom counts were generated from ADME/SMILES-derived ligand entries using Python and </w:t>
      </w:r>
      <w:proofErr w:type="spellStart"/>
      <w:r w:rsidRPr="00B618CC">
        <w:rPr>
          <w:rFonts w:ascii="Times New Roman" w:eastAsia="Times New Roman" w:hAnsi="Times New Roman" w:cs="Times New Roman"/>
          <w:sz w:val="24"/>
          <w:szCs w:val="24"/>
        </w:rPr>
        <w:t>RDKit</w:t>
      </w:r>
      <w:proofErr w:type="spellEnd"/>
      <w:r w:rsidRPr="00B618CC">
        <w:rPr>
          <w:rFonts w:ascii="Times New Roman" w:eastAsia="Times New Roman" w:hAnsi="Times New Roman" w:cs="Times New Roman"/>
          <w:sz w:val="24"/>
          <w:szCs w:val="24"/>
        </w:rPr>
        <w:t>-compatible parsing.</w:t>
      </w:r>
    </w:p>
    <w:p w14:paraId="56CD9038" w14:textId="76F9ED1C" w:rsidR="00E17C22"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Raw ligand efficiency was transformed into a bounded desirability value before integration</w:t>
      </w:r>
      <w:r w:rsidR="00E17C22" w:rsidRPr="00B618CC">
        <w:rPr>
          <w:rFonts w:ascii="Times New Roman" w:eastAsia="Times New Roman" w:hAnsi="Times New Roman" w:cs="Times New Roman"/>
          <w:sz w:val="24"/>
          <w:szCs w:val="24"/>
        </w:rPr>
        <w:t>:</w:t>
      </w:r>
    </w:p>
    <w:p w14:paraId="076943F2" w14:textId="2F2D8605" w:rsidR="00E17C22" w:rsidRPr="00B618CC" w:rsidRDefault="00E17C22">
      <w:pPr>
        <w:spacing w:before="240" w:after="240" w:line="480" w:lineRule="auto"/>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LE,l,t</m:t>
              </m:r>
            </m:sub>
          </m:sSub>
          <m:r>
            <w:rPr>
              <w:rFonts w:ascii="Cambria Math" w:eastAsia="Times New Roman" w:hAnsi="Cambria Math" w:cs="Times New Roman"/>
              <w:sz w:val="24"/>
              <w:szCs w:val="24"/>
            </w:rPr>
            <m:t>=clip</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m:t>
              </m:r>
            </m:e>
            <m:sub>
              <m:r>
                <w:rPr>
                  <w:rFonts w:ascii="Cambria Math" w:eastAsia="Times New Roman" w:hAnsi="Cambria Math" w:cs="Times New Roman"/>
                  <w:sz w:val="24"/>
                  <w:szCs w:val="24"/>
                </w:rPr>
                <m:t>0.01,1.00</m:t>
              </m:r>
            </m:sub>
          </m:sSub>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 xml:space="preserve">0.01+0.99 </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l,t</m:t>
                          </m:r>
                        </m:sub>
                      </m:sSub>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worst,t</m:t>
                          </m:r>
                        </m:sub>
                      </m:sSub>
                    </m:num>
                    <m:den>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best,t</m:t>
                          </m:r>
                        </m:sub>
                      </m:sSub>
                      <m:r>
                        <w:rPr>
                          <w:rFonts w:ascii="Cambria Math" w:eastAsia="Times New Roman" w:hAnsi="Cambria Math" w:cs="Times New Roman"/>
                          <w:sz w:val="24"/>
                          <w:szCs w:val="24"/>
                        </w:rPr>
                        <m:t>-L</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worst,t</m:t>
                          </m:r>
                        </m:sub>
                      </m:sSub>
                    </m:den>
                  </m:f>
                </m:e>
              </m:d>
            </m:e>
          </m:d>
        </m:oMath>
      </m:oMathPara>
    </w:p>
    <w:p w14:paraId="5D83DC97" w14:textId="632324B4" w:rsidR="00C15843" w:rsidRPr="00B618CC" w:rsidRDefault="00000000">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Here, </w:t>
      </w:r>
      <w:proofErr w:type="spellStart"/>
      <w:proofErr w:type="gramStart"/>
      <w:r w:rsidRPr="00B618CC">
        <w:rPr>
          <w:rFonts w:ascii="Times New Roman" w:eastAsia="Times New Roman" w:hAnsi="Times New Roman" w:cs="Times New Roman"/>
          <w:i/>
          <w:iCs/>
          <w:sz w:val="24"/>
          <w:szCs w:val="24"/>
        </w:rPr>
        <w:t>LE</w:t>
      </w:r>
      <w:r w:rsidRPr="00B618CC">
        <w:rPr>
          <w:rFonts w:ascii="Times New Roman" w:eastAsia="Times New Roman" w:hAnsi="Times New Roman" w:cs="Times New Roman"/>
          <w:sz w:val="24"/>
          <w:szCs w:val="24"/>
          <w:vertAlign w:val="subscript"/>
        </w:rPr>
        <w:t>best,</w:t>
      </w:r>
      <w:r w:rsidRPr="00B618CC">
        <w:rPr>
          <w:rFonts w:ascii="Times New Roman" w:eastAsia="Times New Roman" w:hAnsi="Times New Roman" w:cs="Times New Roman"/>
          <w:i/>
          <w:iCs/>
          <w:sz w:val="24"/>
          <w:szCs w:val="24"/>
          <w:vertAlign w:val="subscript"/>
        </w:rPr>
        <w:t>t</w:t>
      </w:r>
      <w:proofErr w:type="spellEnd"/>
      <w:proofErr w:type="gramEnd"/>
      <w:r w:rsidRPr="00B618CC">
        <w:rPr>
          <w:rFonts w:ascii="Times New Roman" w:eastAsia="Times New Roman" w:hAnsi="Times New Roman" w:cs="Times New Roman"/>
          <w:i/>
          <w:iCs/>
          <w:sz w:val="24"/>
          <w:szCs w:val="24"/>
          <w:vertAlign w:val="subscript"/>
        </w:rPr>
        <w:t xml:space="preserve"> </w:t>
      </w:r>
      <w:r w:rsidRPr="00B618CC">
        <w:rPr>
          <w:rFonts w:ascii="Times New Roman" w:eastAsia="Times New Roman" w:hAnsi="Times New Roman" w:cs="Times New Roman"/>
          <w:sz w:val="24"/>
          <w:szCs w:val="24"/>
        </w:rPr>
        <w:t xml:space="preserve"> and </w:t>
      </w:r>
      <w:proofErr w:type="spellStart"/>
      <w:proofErr w:type="gramStart"/>
      <w:r w:rsidRPr="00B618CC">
        <w:rPr>
          <w:rFonts w:ascii="Times New Roman" w:eastAsia="Times New Roman" w:hAnsi="Times New Roman" w:cs="Times New Roman"/>
          <w:i/>
          <w:iCs/>
          <w:sz w:val="24"/>
          <w:szCs w:val="24"/>
        </w:rPr>
        <w:t>LE</w:t>
      </w:r>
      <w:r w:rsidRPr="00B618CC">
        <w:rPr>
          <w:rFonts w:ascii="Times New Roman" w:eastAsia="Times New Roman" w:hAnsi="Times New Roman" w:cs="Times New Roman"/>
          <w:sz w:val="24"/>
          <w:szCs w:val="24"/>
          <w:vertAlign w:val="subscript"/>
        </w:rPr>
        <w:t>worst,</w:t>
      </w:r>
      <w:r w:rsidRPr="00B618CC">
        <w:rPr>
          <w:rFonts w:ascii="Times New Roman" w:eastAsia="Times New Roman" w:hAnsi="Times New Roman" w:cs="Times New Roman"/>
          <w:i/>
          <w:iCs/>
          <w:sz w:val="24"/>
          <w:szCs w:val="24"/>
          <w:vertAlign w:val="subscript"/>
        </w:rPr>
        <w:t>t</w:t>
      </w:r>
      <w:proofErr w:type="spellEnd"/>
      <w:proofErr w:type="gramEnd"/>
      <w:r w:rsidRPr="00B618CC">
        <w:rPr>
          <w:rFonts w:ascii="Times New Roman" w:eastAsia="Times New Roman" w:hAnsi="Times New Roman" w:cs="Times New Roman"/>
          <w:i/>
          <w:iCs/>
          <w:sz w:val="24"/>
          <w:szCs w:val="24"/>
          <w:vertAlign w:val="subscript"/>
        </w:rPr>
        <w:t xml:space="preserve">  </w:t>
      </w:r>
      <w:proofErr w:type="gramStart"/>
      <w:r w:rsidRPr="00B618CC">
        <w:rPr>
          <w:rFonts w:ascii="Times New Roman" w:eastAsia="Times New Roman" w:hAnsi="Times New Roman" w:cs="Times New Roman"/>
          <w:sz w:val="24"/>
          <w:szCs w:val="24"/>
        </w:rPr>
        <w:t>denote</w:t>
      </w:r>
      <w:proofErr w:type="gramEnd"/>
      <w:r w:rsidRPr="00B618CC">
        <w:rPr>
          <w:rFonts w:ascii="Times New Roman" w:eastAsia="Times New Roman" w:hAnsi="Times New Roman" w:cs="Times New Roman"/>
          <w:sz w:val="24"/>
          <w:szCs w:val="24"/>
        </w:rPr>
        <w:t xml:space="preserve"> the target-specific favorable and least-favorable ligand-efficiency reference values used in the implemented transformation. The clipping operation bounded all resulting </w:t>
      </w:r>
      <w:proofErr w:type="spellStart"/>
      <w:r w:rsidRPr="00B618CC">
        <w:rPr>
          <w:rFonts w:ascii="Times New Roman" w:eastAsia="Times New Roman" w:hAnsi="Times New Roman" w:cs="Times New Roman"/>
          <w:sz w:val="24"/>
          <w:szCs w:val="24"/>
        </w:rPr>
        <w:t>desirabilities</w:t>
      </w:r>
      <w:proofErr w:type="spellEnd"/>
      <w:r w:rsidRPr="00B618CC">
        <w:rPr>
          <w:rFonts w:ascii="Times New Roman" w:eastAsia="Times New Roman" w:hAnsi="Times New Roman" w:cs="Times New Roman"/>
          <w:sz w:val="24"/>
          <w:szCs w:val="24"/>
        </w:rPr>
        <w:t xml:space="preserve"> between 0.01 and 1.00. Target-specific ligand-efficiency reference values and transformation parameters are reported in the supplementary parameter table.</w:t>
      </w:r>
    </w:p>
    <w:p w14:paraId="26B28066" w14:textId="6D390BA7" w:rsidR="00C15843" w:rsidRPr="00B618CC" w:rsidRDefault="00000000">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The LE-adjusted binding sensitivity was then:</w:t>
      </w:r>
    </w:p>
    <w:p w14:paraId="2CCAC7F8" w14:textId="1888F723" w:rsidR="00B6284A" w:rsidRPr="00B618CC" w:rsidRDefault="00B6284A">
      <w:pPr>
        <w:spacing w:before="200" w:line="480" w:lineRule="auto"/>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w:proofErr w:type="spellStart"/>
              <m:r>
                <m:rPr>
                  <m:nor/>
                </m:rPr>
                <w:rPr>
                  <w:rFonts w:ascii="Times New Roman" w:eastAsia="Times New Roman" w:hAnsi="Times New Roman" w:cs="Times New Roman"/>
                  <w:sz w:val="24"/>
                  <w:szCs w:val="24"/>
                </w:rPr>
                <m:t>Binding,LEadj</m:t>
              </m:r>
              <w:proofErr w:type="spellEnd"/>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w:proofErr w:type="spellStart"/>
                  <m:r>
                    <m:rPr>
                      <m:nor/>
                    </m:rPr>
                    <w:rPr>
                      <w:rFonts w:ascii="Times New Roman" w:eastAsia="Times New Roman" w:hAnsi="Times New Roman" w:cs="Times New Roman"/>
                      <w:sz w:val="24"/>
                      <w:szCs w:val="24"/>
                    </w:rPr>
                    <m:t>Binding,BestNode</m:t>
                  </m:r>
                  <w:proofErr w:type="spellEnd"/>
                  <m:r>
                    <w:rPr>
                      <w:rFonts w:ascii="Cambria Math" w:eastAsia="Times New Roman" w:hAnsi="Cambria Math" w:cs="Times New Roman"/>
                      <w:sz w:val="24"/>
                      <w:szCs w:val="24"/>
                    </w:rPr>
                    <m:t>,l,p</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LE,l,</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w:rPr>
                          <w:rFonts w:ascii="Cambria Math" w:eastAsia="Times New Roman" w:hAnsi="Cambria Math" w:cs="Times New Roman"/>
                          <w:sz w:val="24"/>
                          <w:szCs w:val="24"/>
                        </w:rPr>
                        <m:t>*</m:t>
                      </m:r>
                    </m:sup>
                  </m:sSubSup>
                </m:sub>
              </m:sSub>
              <m:r>
                <w:rPr>
                  <w:rFonts w:ascii="Cambria Math" w:eastAsia="Times New Roman" w:hAnsi="Cambria Math" w:cs="Times New Roman"/>
                  <w:sz w:val="24"/>
                  <w:szCs w:val="24"/>
                </w:rPr>
                <m:t>,p</m:t>
              </m:r>
            </m:e>
          </m:rad>
        </m:oMath>
      </m:oMathPara>
    </w:p>
    <w:p w14:paraId="46DE7921" w14:textId="597DAE50" w:rsidR="00C15843" w:rsidRPr="00B618CC" w:rsidRDefault="00000000">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Here,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t</m:t>
            </m:r>
          </m:e>
          <m:sub>
            <m:r>
              <w:rPr>
                <w:rFonts w:ascii="Cambria Math" w:eastAsia="Times New Roman" w:hAnsi="Cambria Math" w:cs="Times New Roman"/>
                <w:sz w:val="24"/>
                <w:szCs w:val="24"/>
              </w:rPr>
              <m:t>l,p</m:t>
            </m:r>
          </m:sub>
          <m:sup>
            <m:r>
              <w:rPr>
                <w:rFonts w:ascii="Cambria Math" w:eastAsia="Times New Roman" w:hAnsi="Cambria Math" w:cs="Times New Roman"/>
                <w:sz w:val="24"/>
                <w:szCs w:val="24"/>
              </w:rPr>
              <m:t>*</m:t>
            </m:r>
          </m:sup>
        </m:sSubSup>
      </m:oMath>
      <w:r w:rsidRPr="00B618CC">
        <w:rPr>
          <w:rFonts w:ascii="Times New Roman" w:eastAsia="Times New Roman" w:hAnsi="Times New Roman" w:cs="Times New Roman"/>
          <w:sz w:val="24"/>
          <w:szCs w:val="24"/>
        </w:rPr>
        <w:t xml:space="preserve">denotes the target selected by the primary BestNode calculation for ligand </w:t>
      </w:r>
      <w:r w:rsidRPr="00B618CC">
        <w:rPr>
          <w:rFonts w:ascii="Times New Roman" w:eastAsia="Times New Roman" w:hAnsi="Times New Roman" w:cs="Times New Roman"/>
          <w:i/>
          <w:iCs/>
          <w:sz w:val="24"/>
          <w:szCs w:val="24"/>
        </w:rPr>
        <w:t xml:space="preserve">l </w:t>
      </w:r>
      <w:r w:rsidRPr="00B618CC">
        <w:rPr>
          <w:rFonts w:ascii="Times New Roman" w:eastAsia="Times New Roman" w:hAnsi="Times New Roman" w:cs="Times New Roman"/>
          <w:sz w:val="24"/>
          <w:szCs w:val="24"/>
        </w:rPr>
        <w:t xml:space="preserve">in disease panel </w:t>
      </w:r>
      <w:r w:rsidRPr="00B618CC">
        <w:rPr>
          <w:rFonts w:ascii="Times New Roman" w:eastAsia="Times New Roman" w:hAnsi="Times New Roman" w:cs="Times New Roman"/>
          <w:i/>
          <w:iCs/>
          <w:sz w:val="24"/>
          <w:szCs w:val="24"/>
        </w:rPr>
        <w:t>p</w:t>
      </w:r>
      <w:r w:rsidRPr="00B618CC">
        <w:rPr>
          <w:rFonts w:ascii="Times New Roman" w:eastAsia="Times New Roman" w:hAnsi="Times New Roman" w:cs="Times New Roman"/>
          <w:sz w:val="24"/>
          <w:szCs w:val="24"/>
        </w:rPr>
        <w:t xml:space="preserve">. The LE-adjusted analysis therefore evaluated ligand efficiency at the same target selected by the primary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calculation.</w:t>
      </w:r>
    </w:p>
    <w:p w14:paraId="5FD9C2A0" w14:textId="1A8A711B" w:rsidR="00C15843" w:rsidRPr="00B618CC" w:rsidRDefault="00000000">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The corresponding LE-adjusted SWAN sensitivity score was calculated as:</w:t>
      </w:r>
    </w:p>
    <w:p w14:paraId="1FE72A30" w14:textId="445297A5" w:rsidR="00B6284A" w:rsidRPr="00B618CC" w:rsidRDefault="00B6284A">
      <w:pPr>
        <w:spacing w:before="200" w:line="480" w:lineRule="auto"/>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SWAN</m:t>
              </m:r>
              <m:ctrlPr>
                <w:rPr>
                  <w:rFonts w:ascii="Cambria Math" w:eastAsia="Times New Roman" w:hAnsi="Cambria Math" w:cs="Times New Roman"/>
                  <w:sz w:val="24"/>
                  <w:szCs w:val="24"/>
                </w:rPr>
              </m:ctrlPr>
            </m:e>
            <m:sub>
              <w:proofErr w:type="spellStart"/>
              <m:r>
                <m:rPr>
                  <m:nor/>
                </m:rPr>
                <w:rPr>
                  <w:rFonts w:ascii="Times New Roman" w:eastAsia="Times New Roman" w:hAnsi="Times New Roman" w:cs="Times New Roman"/>
                  <w:sz w:val="24"/>
                  <w:szCs w:val="24"/>
                </w:rPr>
                <m:t>BestNode-LEadj</m:t>
              </m:r>
              <w:proofErr w:type="spellEnd"/>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Safety</m:t>
                      </m:r>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ADME</m:t>
                      </m:r>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w:proofErr w:type="spellStart"/>
                      <m:r>
                        <m:rPr>
                          <m:nor/>
                        </m:rPr>
                        <w:rPr>
                          <w:rFonts w:ascii="Times New Roman" w:eastAsia="Times New Roman" w:hAnsi="Times New Roman" w:cs="Times New Roman"/>
                          <w:sz w:val="24"/>
                          <w:szCs w:val="24"/>
                        </w:rPr>
                        <m:t>LEadj</m:t>
                      </m:r>
                      <w:proofErr w:type="spellEnd"/>
                      <m:r>
                        <w:rPr>
                          <w:rFonts w:ascii="Cambria Math" w:eastAsia="Times New Roman" w:hAnsi="Cambria Math" w:cs="Times New Roman"/>
                          <w:sz w:val="24"/>
                          <w:szCs w:val="24"/>
                        </w:rPr>
                        <m:t>,l,p</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Liability</m:t>
                      </m:r>
                      <m:r>
                        <w:rPr>
                          <w:rFonts w:ascii="Cambria Math" w:eastAsia="Times New Roman" w:hAnsi="Cambria Math" w:cs="Times New Roman"/>
                          <w:sz w:val="24"/>
                          <w:szCs w:val="24"/>
                        </w:rPr>
                        <m:t>,l,p</m:t>
                      </m:r>
                    </m:sub>
                  </m:sSub>
                </m:e>
              </m:d>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4</m:t>
                  </m:r>
                </m:den>
              </m:f>
            </m:sup>
          </m:sSup>
        </m:oMath>
      </m:oMathPara>
    </w:p>
    <w:p w14:paraId="3DFFA7A1" w14:textId="77777777" w:rsidR="00B6284A" w:rsidRPr="00B618CC" w:rsidRDefault="00000000" w:rsidP="00B6284A">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LE-adjusted outputs are reported in Supplementary Table S17 and were interpreted only as size-normalized binding diagnostics.</w:t>
      </w:r>
    </w:p>
    <w:p w14:paraId="79BA9869" w14:textId="7265F788" w:rsidR="00B6284A" w:rsidRPr="00B618CC" w:rsidRDefault="00B6284A" w:rsidP="00B6284A">
      <w:pPr>
        <w:spacing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Supplementary Methods S8. Strict-pass-only target-restriction sensitivity</w:t>
      </w:r>
    </w:p>
    <w:p w14:paraId="014438A3" w14:textId="2F905CF3" w:rsidR="00C15843" w:rsidRPr="00B618CC" w:rsidRDefault="00000000" w:rsidP="00B6284A">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Strict-top-pose target-restriction sensitivity was applied separately to the internal discovery-panel score matrices and the completed 59-compound expanded-library score matrices. Within each disease panel, eligible targets were restricted to receptors meeting the strict top-pose redocking criterion, thereby removing generated-mode recovery targets from the calibrated target set. For the internal analysis,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Top2Node, and Breadth scores were recalculated within the reduced target subset; the final expanded-library closeout recalculated the strict-pass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score.</w:t>
      </w:r>
    </w:p>
    <w:p w14:paraId="313D6F07" w14:textId="3F54BB85"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Target coverage for the strict-pass-only subset was recorded separately by panel, target, PDB ID, and number of available compounds. The strict-pass-only analysis preserved the same safety, ADME, and liability values as the all-target model, changing only the eligible docking target set.</w:t>
      </w:r>
    </w:p>
    <w:p w14:paraId="1CD937A8" w14:textId="6AD4B584"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lastRenderedPageBreak/>
        <w:t xml:space="preserve">Strict-pass-only target coverage and rank-shift outputs are reported in Supplementary Table S18. A disease panel was recorded as not estimable when </w:t>
      </w:r>
      <w:proofErr w:type="gramStart"/>
      <w:r w:rsidRPr="00B618CC">
        <w:rPr>
          <w:rFonts w:ascii="Times New Roman" w:eastAsia="Times New Roman" w:hAnsi="Times New Roman" w:cs="Times New Roman"/>
          <w:sz w:val="24"/>
          <w:szCs w:val="24"/>
        </w:rPr>
        <w:t>its</w:t>
      </w:r>
      <w:proofErr w:type="gramEnd"/>
      <w:r w:rsidRPr="00B618CC">
        <w:rPr>
          <w:rFonts w:ascii="Times New Roman" w:eastAsia="Times New Roman" w:hAnsi="Times New Roman" w:cs="Times New Roman"/>
          <w:sz w:val="24"/>
          <w:szCs w:val="24"/>
        </w:rPr>
        <w:t xml:space="preserve"> prespecified target set contained no strict top-pose target; no generated-mode target, comparative-only target, or imputed binding value was substituted.</w:t>
      </w:r>
    </w:p>
    <w:p w14:paraId="5438DFC7" w14:textId="6AE41676" w:rsidR="00C15843" w:rsidRPr="00B618CC" w:rsidRDefault="00000000">
      <w:pPr>
        <w:spacing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Methods S9. Monte Carlo rank-stability analysis</w:t>
      </w:r>
    </w:p>
    <w:p w14:paraId="24EDB487" w14:textId="0D0F0C37" w:rsidR="00C15843" w:rsidRPr="00B618CC" w:rsidRDefault="00000000">
      <w:pPr>
        <w:spacing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sz w:val="24"/>
          <w:szCs w:val="24"/>
        </w:rPr>
        <w:t xml:space="preserve">Monte Carlo domain-weight perturbation was applied separately to the internal discovery panel as well as the completed 59-compound expanded-library score matrix. In each analysis, the fixed safety, ADME,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binding, and liability </w:t>
      </w:r>
      <w:proofErr w:type="spellStart"/>
      <w:r w:rsidRPr="00B618CC">
        <w:rPr>
          <w:rFonts w:ascii="Times New Roman" w:eastAsia="Times New Roman" w:hAnsi="Times New Roman" w:cs="Times New Roman"/>
          <w:sz w:val="24"/>
          <w:szCs w:val="24"/>
        </w:rPr>
        <w:t>desirabilities</w:t>
      </w:r>
      <w:proofErr w:type="spellEnd"/>
      <w:r w:rsidRPr="00B618CC">
        <w:rPr>
          <w:rFonts w:ascii="Times New Roman" w:eastAsia="Times New Roman" w:hAnsi="Times New Roman" w:cs="Times New Roman"/>
          <w:sz w:val="24"/>
          <w:szCs w:val="24"/>
        </w:rPr>
        <w:t xml:space="preserve"> were recombined using the iteration-specific domain weights, and compound ranks were recalculated separately within each disease panel.</w:t>
      </w:r>
    </w:p>
    <w:p w14:paraId="4E3373B6" w14:textId="49812CF4" w:rsidR="00C15843" w:rsidRPr="00B618CC" w:rsidRDefault="00B6284A">
      <w:pPr>
        <w:spacing w:line="480" w:lineRule="auto"/>
        <w:rPr>
          <w:rFonts w:ascii="Times New Roman" w:eastAsia="Times New Roman" w:hAnsi="Times New Roman" w:cs="Times New Roman"/>
          <w:sz w:val="24"/>
          <w:szCs w:val="24"/>
        </w:rPr>
      </w:pPr>
      <m:oMathPara>
        <m:oMath>
          <m:sSubSup>
            <m:sSubSupPr>
              <m:ctrlPr>
                <w:rPr>
                  <w:rFonts w:ascii="Cambria Math" w:eastAsia="Times New Roman" w:hAnsi="Cambria Math" w:cs="Times New Roman"/>
                  <w:i/>
                  <w:sz w:val="24"/>
                  <w:szCs w:val="24"/>
                </w:rPr>
              </m:ctrlPr>
            </m:sSubSupPr>
            <m:e>
              <m:r>
                <m:rPr>
                  <m:nor/>
                </m:rPr>
                <w:rPr>
                  <w:rFonts w:ascii="Times New Roman" w:eastAsia="Times New Roman" w:hAnsi="Times New Roman" w:cs="Times New Roman"/>
                  <w:sz w:val="24"/>
                  <w:szCs w:val="24"/>
                </w:rPr>
                <m:t>SWAN</m:t>
              </m:r>
              <m:ctrlPr>
                <w:rPr>
                  <w:rFonts w:ascii="Cambria Math" w:eastAsia="Times New Roman" w:hAnsi="Cambria Math" w:cs="Times New Roman"/>
                  <w:sz w:val="24"/>
                  <w:szCs w:val="24"/>
                </w:rPr>
              </m:ctrlPr>
            </m:e>
            <m:sub>
              <m:r>
                <w:rPr>
                  <w:rFonts w:ascii="Cambria Math" w:eastAsia="Times New Roman" w:hAnsi="Cambria Math" w:cs="Times New Roman"/>
                  <w:sz w:val="24"/>
                  <w:szCs w:val="24"/>
                </w:rPr>
                <m:t>l,p</m:t>
              </m:r>
            </m:sub>
            <m:sup>
              <m:r>
                <w:rPr>
                  <w:rFonts w:ascii="Cambria Math" w:eastAsia="Times New Roman" w:hAnsi="Cambria Math" w:cs="Times New Roman"/>
                  <w:sz w:val="24"/>
                  <w:szCs w:val="24"/>
                </w:rPr>
                <m:t>(r)</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Safety</m:t>
              </m:r>
              <m:r>
                <w:rPr>
                  <w:rFonts w:ascii="Cambria Math" w:eastAsia="Times New Roman" w:hAnsi="Cambria Math" w:cs="Times New Roman"/>
                  <w:sz w:val="24"/>
                  <w:szCs w:val="24"/>
                </w:rPr>
                <m:t>,l,p</m:t>
              </m:r>
            </m:sub>
            <m: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Safety</m:t>
                  </m:r>
                </m:sub>
                <m:sup>
                  <m:r>
                    <w:rPr>
                      <w:rFonts w:ascii="Cambria Math" w:eastAsia="Times New Roman" w:hAnsi="Cambria Math" w:cs="Times New Roman"/>
                      <w:sz w:val="24"/>
                      <w:szCs w:val="24"/>
                    </w:rPr>
                    <m:t>(r)</m:t>
                  </m:r>
                </m:sup>
              </m:sSubSup>
            </m:sup>
          </m:sSub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ADME</m:t>
              </m:r>
              <m:r>
                <w:rPr>
                  <w:rFonts w:ascii="Cambria Math" w:eastAsia="Times New Roman" w:hAnsi="Cambria Math" w:cs="Times New Roman"/>
                  <w:sz w:val="24"/>
                  <w:szCs w:val="24"/>
                </w:rPr>
                <m:t>,l,p</m:t>
              </m:r>
            </m:sub>
            <m: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ADME</m:t>
                  </m:r>
                </m:sub>
                <m:sup>
                  <m:r>
                    <w:rPr>
                      <w:rFonts w:ascii="Cambria Math" w:eastAsia="Times New Roman" w:hAnsi="Cambria Math" w:cs="Times New Roman"/>
                      <w:sz w:val="24"/>
                      <w:szCs w:val="24"/>
                    </w:rPr>
                    <m:t>(r)</m:t>
                  </m:r>
                </m:sup>
              </m:sSubSup>
            </m:sup>
          </m:sSub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Binding,</m:t>
              </m:r>
              <w:proofErr w:type="spellStart"/>
              <m:r>
                <m:rPr>
                  <m:nor/>
                </m:rPr>
                <w:rPr>
                  <w:rFonts w:ascii="Times New Roman" w:eastAsia="Times New Roman" w:hAnsi="Times New Roman" w:cs="Times New Roman"/>
                  <w:sz w:val="24"/>
                  <w:szCs w:val="24"/>
                </w:rPr>
                <m:t>BestNode</m:t>
              </m:r>
              <w:proofErr w:type="spellEnd"/>
              <m:r>
                <w:rPr>
                  <w:rFonts w:ascii="Cambria Math" w:eastAsia="Times New Roman" w:hAnsi="Cambria Math" w:cs="Times New Roman"/>
                  <w:sz w:val="24"/>
                  <w:szCs w:val="24"/>
                </w:rPr>
                <m:t>,l,p</m:t>
              </m:r>
            </m:sub>
            <m: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Binding</m:t>
                  </m:r>
                </m:sub>
                <m:sup>
                  <m:r>
                    <w:rPr>
                      <w:rFonts w:ascii="Cambria Math" w:eastAsia="Times New Roman" w:hAnsi="Cambria Math" w:cs="Times New Roman"/>
                      <w:sz w:val="24"/>
                      <w:szCs w:val="24"/>
                    </w:rPr>
                    <m:t>(r)</m:t>
                  </m:r>
                </m:sup>
              </m:sSubSup>
            </m:sup>
          </m:sSub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d</m:t>
              </m:r>
            </m:e>
            <m:sub>
              <m:r>
                <m:rPr>
                  <m:nor/>
                </m:rPr>
                <w:rPr>
                  <w:rFonts w:ascii="Times New Roman" w:eastAsia="Times New Roman" w:hAnsi="Times New Roman" w:cs="Times New Roman"/>
                  <w:sz w:val="24"/>
                  <w:szCs w:val="24"/>
                </w:rPr>
                <m:t>Liability</m:t>
              </m:r>
              <m:r>
                <w:rPr>
                  <w:rFonts w:ascii="Cambria Math" w:eastAsia="Times New Roman" w:hAnsi="Cambria Math" w:cs="Times New Roman"/>
                  <w:sz w:val="24"/>
                  <w:szCs w:val="24"/>
                </w:rPr>
                <m:t>,l,p</m:t>
              </m:r>
            </m:sub>
            <m:sup>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Liability</m:t>
                  </m:r>
                </m:sub>
                <m:sup>
                  <m:r>
                    <w:rPr>
                      <w:rFonts w:ascii="Cambria Math" w:eastAsia="Times New Roman" w:hAnsi="Cambria Math" w:cs="Times New Roman"/>
                      <w:sz w:val="24"/>
                      <w:szCs w:val="24"/>
                    </w:rPr>
                    <m:t>(r)</m:t>
                  </m:r>
                </m:sup>
              </m:sSubSup>
            </m:sup>
          </m:sSubSup>
        </m:oMath>
      </m:oMathPara>
    </w:p>
    <w:p w14:paraId="26EAF0B3" w14:textId="16332A45" w:rsidR="00C15843" w:rsidRPr="00B618CC" w:rsidRDefault="00B6284A">
      <w:pPr>
        <w:spacing w:line="480" w:lineRule="auto"/>
        <w:rPr>
          <w:rFonts w:ascii="Times New Roman" w:eastAsia="Times New Roman" w:hAnsi="Times New Roman" w:cs="Times New Roman"/>
          <w:sz w:val="24"/>
          <w:szCs w:val="24"/>
        </w:rPr>
      </w:pPr>
      <m:oMathPara>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Safety</m:t>
              </m:r>
            </m:sub>
            <m:sup>
              <m:r>
                <w:rPr>
                  <w:rFonts w:ascii="Cambria Math" w:eastAsia="Times New Roman" w:hAnsi="Cambria Math" w:cs="Times New Roman"/>
                  <w:sz w:val="24"/>
                  <w:szCs w:val="24"/>
                </w:rPr>
                <m:t>(r)</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ADME</m:t>
              </m:r>
            </m:sub>
            <m:sup>
              <m:r>
                <w:rPr>
                  <w:rFonts w:ascii="Cambria Math" w:eastAsia="Times New Roman" w:hAnsi="Cambria Math" w:cs="Times New Roman"/>
                  <w:sz w:val="24"/>
                  <w:szCs w:val="24"/>
                </w:rPr>
                <m:t>(r)</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Binding</m:t>
              </m:r>
            </m:sub>
            <m:sup>
              <m:r>
                <w:rPr>
                  <w:rFonts w:ascii="Cambria Math" w:eastAsia="Times New Roman" w:hAnsi="Cambria Math" w:cs="Times New Roman"/>
                  <w:sz w:val="24"/>
                  <w:szCs w:val="24"/>
                </w:rPr>
                <m:t>(r)</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w</m:t>
              </m:r>
            </m:e>
            <m:sub>
              <m:r>
                <m:rPr>
                  <m:nor/>
                </m:rPr>
                <w:rPr>
                  <w:rFonts w:ascii="Times New Roman" w:eastAsia="Times New Roman" w:hAnsi="Times New Roman" w:cs="Times New Roman"/>
                  <w:sz w:val="24"/>
                  <w:szCs w:val="24"/>
                </w:rPr>
                <m:t>Liability</m:t>
              </m:r>
            </m:sub>
            <m:sup>
              <m:r>
                <w:rPr>
                  <w:rFonts w:ascii="Cambria Math" w:eastAsia="Times New Roman" w:hAnsi="Cambria Math" w:cs="Times New Roman"/>
                  <w:sz w:val="24"/>
                  <w:szCs w:val="24"/>
                </w:rPr>
                <m:t>(r)</m:t>
              </m:r>
            </m:sup>
          </m:sSubSup>
          <m:r>
            <w:rPr>
              <w:rFonts w:ascii="Cambria Math" w:eastAsia="Times New Roman" w:hAnsi="Cambria Math" w:cs="Times New Roman"/>
              <w:sz w:val="24"/>
              <w:szCs w:val="24"/>
            </w:rPr>
            <m:t>=1</m:t>
          </m:r>
        </m:oMath>
      </m:oMathPara>
    </w:p>
    <w:p w14:paraId="1E20C5DE" w14:textId="43E9443A"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For the internal discovery-panel analysis, weight vectors were sampled from symmetric Dirichlet distributions centered on equal weighting. The moderate perturbation regime used Dirichlet parameters (20, 20, 20, 20), and the broad perturbation regime used Dirichlet parameters (4, 4, 4, 4). Each regime consisted of 10,000 iterations, and random seed 2026 was used.</w:t>
      </w:r>
    </w:p>
    <w:p w14:paraId="6A538A05"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For the completed expanded-library analysis, the moderate perturbation regime used Dirichlet parameters (20, 20, 20, 20), and the broad perturbation regime used Dirichlet parameters (5, 5, 5, 5). Each regime consisted of 20,000 iterations, and random seed 2026 was used.</w:t>
      </w:r>
    </w:p>
    <w:p w14:paraId="21E2E0BF"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lastRenderedPageBreak/>
        <w:t xml:space="preserve">Only the four domain weights were varied, while compound-level </w:t>
      </w:r>
      <w:proofErr w:type="spellStart"/>
      <w:r w:rsidRPr="00B618CC">
        <w:rPr>
          <w:rFonts w:ascii="Times New Roman" w:eastAsia="Times New Roman" w:hAnsi="Times New Roman" w:cs="Times New Roman"/>
          <w:sz w:val="24"/>
          <w:szCs w:val="24"/>
        </w:rPr>
        <w:t>desirabilities</w:t>
      </w:r>
      <w:proofErr w:type="spellEnd"/>
      <w:r w:rsidRPr="00B618CC">
        <w:rPr>
          <w:rFonts w:ascii="Times New Roman" w:eastAsia="Times New Roman" w:hAnsi="Times New Roman" w:cs="Times New Roman"/>
          <w:sz w:val="24"/>
          <w:szCs w:val="24"/>
        </w:rPr>
        <w:t xml:space="preserve">,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target selection, target-calibration status, descriptor transformations, and compound inclusion were held constant. Scores were recalculated and ranked separately within each disease panel.</w:t>
      </w:r>
    </w:p>
    <w:p w14:paraId="17D4CDB1"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For the internal analysis, descending ranks were assigned using the minimum-rank rule for tied scores. Retained outputs included the median simulated score, 2.5th and 97.5th percentiles of simulated score, median simulated rank, probability of rank 1, probability of </w:t>
      </w:r>
      <w:proofErr w:type="gramStart"/>
      <w:r w:rsidRPr="00B618CC">
        <w:rPr>
          <w:rFonts w:ascii="Times New Roman" w:eastAsia="Times New Roman" w:hAnsi="Times New Roman" w:cs="Times New Roman"/>
          <w:sz w:val="24"/>
          <w:szCs w:val="24"/>
        </w:rPr>
        <w:t>top-two</w:t>
      </w:r>
      <w:proofErr w:type="gramEnd"/>
      <w:r w:rsidRPr="00B618CC">
        <w:rPr>
          <w:rFonts w:ascii="Times New Roman" w:eastAsia="Times New Roman" w:hAnsi="Times New Roman" w:cs="Times New Roman"/>
          <w:sz w:val="24"/>
          <w:szCs w:val="24"/>
        </w:rPr>
        <w:t xml:space="preserve"> placement, and probability of </w:t>
      </w:r>
      <w:proofErr w:type="gramStart"/>
      <w:r w:rsidRPr="00B618CC">
        <w:rPr>
          <w:rFonts w:ascii="Times New Roman" w:eastAsia="Times New Roman" w:hAnsi="Times New Roman" w:cs="Times New Roman"/>
          <w:sz w:val="24"/>
          <w:szCs w:val="24"/>
        </w:rPr>
        <w:t>top-three</w:t>
      </w:r>
      <w:proofErr w:type="gramEnd"/>
      <w:r w:rsidRPr="00B618CC">
        <w:rPr>
          <w:rFonts w:ascii="Times New Roman" w:eastAsia="Times New Roman" w:hAnsi="Times New Roman" w:cs="Times New Roman"/>
          <w:sz w:val="24"/>
          <w:szCs w:val="24"/>
        </w:rPr>
        <w:t xml:space="preserve"> placement.</w:t>
      </w:r>
    </w:p>
    <w:p w14:paraId="59E3ABA8"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For the expanded-library analysis, stable descending ordinal ranking was used, with a fixed compound order retained for exact numerical ties. Retained outputs included the deterministic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score and rank, median simulated score, 2.5th and 97.5th percentiles of simulated score, probability of rank 1, probability of </w:t>
      </w:r>
      <w:proofErr w:type="gramStart"/>
      <w:r w:rsidRPr="00B618CC">
        <w:rPr>
          <w:rFonts w:ascii="Times New Roman" w:eastAsia="Times New Roman" w:hAnsi="Times New Roman" w:cs="Times New Roman"/>
          <w:sz w:val="24"/>
          <w:szCs w:val="24"/>
        </w:rPr>
        <w:t>top-three</w:t>
      </w:r>
      <w:proofErr w:type="gramEnd"/>
      <w:r w:rsidRPr="00B618CC">
        <w:rPr>
          <w:rFonts w:ascii="Times New Roman" w:eastAsia="Times New Roman" w:hAnsi="Times New Roman" w:cs="Times New Roman"/>
          <w:sz w:val="24"/>
          <w:szCs w:val="24"/>
        </w:rPr>
        <w:t xml:space="preserve"> placement, median simulated rank, and 2.5th and 97.5th percentiles of simulated rank.</w:t>
      </w:r>
    </w:p>
    <w:p w14:paraId="0E3D3A41"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Complete compound-level summaries, iteration-level outputs, and sampled weight vectors are reported in Supplementary Table S19 and the associated repository files.</w:t>
      </w:r>
    </w:p>
    <w:p w14:paraId="5DF08A81" w14:textId="77777777" w:rsidR="00C15843" w:rsidRPr="00B618CC" w:rsidRDefault="00000000">
      <w:pPr>
        <w:spacing w:before="20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Methods S10. Retrospective boundary-stress design and curated-liability sensitivity</w:t>
      </w:r>
    </w:p>
    <w:p w14:paraId="6FFE6E39" w14:textId="2013213D"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Retrospective docking was completed for </w:t>
      </w:r>
      <w:r w:rsidR="00AC3696">
        <w:rPr>
          <w:rFonts w:ascii="Times New Roman" w:eastAsia="Times New Roman" w:hAnsi="Times New Roman" w:cs="Times New Roman"/>
          <w:sz w:val="24"/>
          <w:szCs w:val="24"/>
        </w:rPr>
        <w:t>15</w:t>
      </w:r>
      <w:r w:rsidRPr="00B618CC">
        <w:rPr>
          <w:rFonts w:ascii="Times New Roman" w:eastAsia="Times New Roman" w:hAnsi="Times New Roman" w:cs="Times New Roman"/>
          <w:sz w:val="24"/>
          <w:szCs w:val="24"/>
        </w:rPr>
        <w:t xml:space="preserve"> prepared ligands across six unique redocking-qualified targets, including four strict top-pose validation targets and two generated-mode recovery targets. Each ligand–target pair was evaluated across 20 grid centers, producing </w:t>
      </w:r>
      <w:r w:rsidR="00AC3696">
        <w:rPr>
          <w:rFonts w:ascii="Times New Roman" w:eastAsia="Times New Roman" w:hAnsi="Times New Roman" w:cs="Times New Roman"/>
          <w:sz w:val="24"/>
          <w:szCs w:val="24"/>
        </w:rPr>
        <w:t>1</w:t>
      </w:r>
      <w:r w:rsidRPr="00B618CC">
        <w:rPr>
          <w:rFonts w:ascii="Times New Roman" w:eastAsia="Times New Roman" w:hAnsi="Times New Roman" w:cs="Times New Roman"/>
          <w:sz w:val="24"/>
          <w:szCs w:val="24"/>
        </w:rPr>
        <w:t>,8</w:t>
      </w:r>
      <w:r w:rsidR="00AC3696">
        <w:rPr>
          <w:rFonts w:ascii="Times New Roman" w:eastAsia="Times New Roman" w:hAnsi="Times New Roman" w:cs="Times New Roman"/>
          <w:sz w:val="24"/>
          <w:szCs w:val="24"/>
        </w:rPr>
        <w:t>00</w:t>
      </w:r>
      <w:r w:rsidRPr="00B618CC">
        <w:rPr>
          <w:rFonts w:ascii="Times New Roman" w:eastAsia="Times New Roman" w:hAnsi="Times New Roman" w:cs="Times New Roman"/>
          <w:sz w:val="24"/>
          <w:szCs w:val="24"/>
        </w:rPr>
        <w:t xml:space="preserve"> completed </w:t>
      </w:r>
      <w:proofErr w:type="spellStart"/>
      <w:r w:rsidRPr="00B618CC">
        <w:rPr>
          <w:rFonts w:ascii="Times New Roman" w:eastAsia="Times New Roman" w:hAnsi="Times New Roman" w:cs="Times New Roman"/>
          <w:sz w:val="24"/>
          <w:szCs w:val="24"/>
        </w:rPr>
        <w:t>AutoDock</w:t>
      </w:r>
      <w:proofErr w:type="spellEnd"/>
      <w:r w:rsidRPr="00B618CC">
        <w:rPr>
          <w:rFonts w:ascii="Times New Roman" w:eastAsia="Times New Roman" w:hAnsi="Times New Roman" w:cs="Times New Roman"/>
          <w:sz w:val="24"/>
          <w:szCs w:val="24"/>
        </w:rPr>
        <w:t xml:space="preserve"> Vina jobs</w:t>
      </w:r>
      <w:r w:rsidRPr="00D65985">
        <w:rPr>
          <w:rFonts w:ascii="Times New Roman" w:eastAsia="Times New Roman" w:hAnsi="Times New Roman" w:cs="Times New Roman"/>
          <w:sz w:val="24"/>
          <w:szCs w:val="24"/>
        </w:rPr>
        <w:t xml:space="preserve">. </w:t>
      </w:r>
      <w:r w:rsidR="00D65985" w:rsidRPr="00D65985">
        <w:rPr>
          <w:rFonts w:ascii="Times New Roman" w:hAnsi="Times New Roman" w:cs="Times New Roman"/>
          <w:color w:val="000000"/>
          <w:sz w:val="24"/>
          <w:szCs w:val="24"/>
        </w:rPr>
        <w:t>The reported benchmark comprised six favorable comparators and nine liability anchors.</w:t>
      </w:r>
      <w:r w:rsidR="00D65985" w:rsidRPr="00D65985">
        <w:rPr>
          <w:rFonts w:ascii="Times New Roman" w:hAnsi="Times New Roman" w:cs="Times New Roman"/>
          <w:color w:val="000000"/>
          <w:sz w:val="24"/>
          <w:szCs w:val="24"/>
        </w:rPr>
        <w:t xml:space="preserve"> </w:t>
      </w:r>
      <w:r w:rsidRPr="00D65985">
        <w:rPr>
          <w:rFonts w:ascii="Times New Roman" w:eastAsia="Times New Roman" w:hAnsi="Times New Roman" w:cs="Times New Roman"/>
          <w:sz w:val="24"/>
          <w:szCs w:val="24"/>
        </w:rPr>
        <w:t>Docking</w:t>
      </w:r>
      <w:r w:rsidRPr="00B618CC">
        <w:rPr>
          <w:rFonts w:ascii="Times New Roman" w:eastAsia="Times New Roman" w:hAnsi="Times New Roman" w:cs="Times New Roman"/>
          <w:sz w:val="24"/>
          <w:szCs w:val="24"/>
        </w:rPr>
        <w:t xml:space="preserve"> used a 40.0 Å cubic search box, grid spacing of 0.375 Å, </w:t>
      </w:r>
      <w:r w:rsidRPr="00B618CC">
        <w:rPr>
          <w:rFonts w:ascii="Times New Roman" w:eastAsia="Times New Roman" w:hAnsi="Times New Roman" w:cs="Times New Roman"/>
          <w:sz w:val="24"/>
          <w:szCs w:val="24"/>
        </w:rPr>
        <w:lastRenderedPageBreak/>
        <w:t>exhaustiveness of 12, nine output modes, and random seed 2026, consistent with the internal and expanded-library workflows.</w:t>
      </w:r>
    </w:p>
    <w:p w14:paraId="0ED7681D"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The raw automated retrospective analysis used the predefined safety, ADME, liability, and reference-calibrated binding inputs without manual modification of the underlying </w:t>
      </w:r>
      <w:proofErr w:type="spellStart"/>
      <w:r w:rsidRPr="00B618CC">
        <w:rPr>
          <w:rFonts w:ascii="Times New Roman" w:eastAsia="Times New Roman" w:hAnsi="Times New Roman" w:cs="Times New Roman"/>
          <w:sz w:val="24"/>
          <w:szCs w:val="24"/>
        </w:rPr>
        <w:t>ProTox</w:t>
      </w:r>
      <w:proofErr w:type="spellEnd"/>
      <w:r w:rsidRPr="00B618CC">
        <w:rPr>
          <w:rFonts w:ascii="Times New Roman" w:eastAsia="Times New Roman" w:hAnsi="Times New Roman" w:cs="Times New Roman"/>
          <w:sz w:val="24"/>
          <w:szCs w:val="24"/>
        </w:rPr>
        <w:t xml:space="preserve"> or </w:t>
      </w:r>
      <w:proofErr w:type="spellStart"/>
      <w:r w:rsidRPr="00B618CC">
        <w:rPr>
          <w:rFonts w:ascii="Times New Roman" w:eastAsia="Times New Roman" w:hAnsi="Times New Roman" w:cs="Times New Roman"/>
          <w:sz w:val="24"/>
          <w:szCs w:val="24"/>
        </w:rPr>
        <w:t>SwissADME</w:t>
      </w:r>
      <w:proofErr w:type="spellEnd"/>
      <w:r w:rsidRPr="00B618CC">
        <w:rPr>
          <w:rFonts w:ascii="Times New Roman" w:eastAsia="Times New Roman" w:hAnsi="Times New Roman" w:cs="Times New Roman"/>
          <w:sz w:val="24"/>
          <w:szCs w:val="24"/>
        </w:rPr>
        <w:t xml:space="preserve"> outputs. Curated-liability information was stored separately from these automated inputs using four permitted binary fields: chronic or developability toxicity, genotoxic-hepatotoxicity, hepatotoxicity, and nephrotoxicity. These fields did not overwrite the automated predictions and were used only to generate a separate curated-liability sensitivity score. The exact categorical mappings and aggregation rule used to construct the curated-liability desirability are reported in the supplementary parameter table.</w:t>
      </w:r>
    </w:p>
    <w:p w14:paraId="78C1C71F"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Anchor-level ablations were performed one annotation at a time to quantify how much each documented liability annotation contributed to overall separation. This analysis is presented as a sensitivity demonstration of the curated-liability encoding capacity, not as evidence of prospective hazard prediction, because documented liabilities informed both cohort construction and curated annotations. For each ablation, the selected curated annotation was reverted to its corresponding raw automated liability value while all other compound inputs, target-level binding values, scoring transformations, and benchmark labels were held constant. Performance metrics were then recalculated using the unchanged benchmark cohort.</w:t>
      </w:r>
    </w:p>
    <w:p w14:paraId="3D00DF02" w14:textId="67DB45A6" w:rsidR="00C15843" w:rsidRPr="00AC3696" w:rsidRDefault="00000000">
      <w:pPr>
        <w:spacing w:before="240" w:after="240" w:line="480" w:lineRule="auto"/>
        <w:rPr>
          <w:rFonts w:ascii="Times New Roman" w:eastAsia="Times New Roman" w:hAnsi="Times New Roman" w:cs="Times New Roman"/>
          <w:sz w:val="24"/>
          <w:szCs w:val="24"/>
        </w:rPr>
      </w:pPr>
      <w:r w:rsidRPr="00AC3696">
        <w:rPr>
          <w:rFonts w:ascii="Times New Roman" w:eastAsia="Times New Roman" w:hAnsi="Times New Roman" w:cs="Times New Roman"/>
          <w:sz w:val="24"/>
          <w:szCs w:val="24"/>
        </w:rPr>
        <w:t xml:space="preserve">Compound-level raw and curated retrospective scores are reported in Supplementary Table S15. </w:t>
      </w:r>
      <w:r w:rsidR="00AC3696" w:rsidRPr="00AC3696">
        <w:rPr>
          <w:rFonts w:ascii="Times New Roman" w:hAnsi="Times New Roman" w:cs="Times New Roman"/>
          <w:color w:val="000000"/>
          <w:sz w:val="24"/>
          <w:szCs w:val="24"/>
        </w:rPr>
        <w:t>Summary metrics for the curated-liability ablation variants are reported in Supplementary Table S16.</w:t>
      </w:r>
    </w:p>
    <w:p w14:paraId="65781509"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Methods S11. Descriptor-space principal component analyses</w:t>
      </w:r>
    </w:p>
    <w:p w14:paraId="4ACBD4C8"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lastRenderedPageBreak/>
        <w:t>Principal component analysis was performed separately for the retrospective boundary-stress benchmark and the COCONUT-derived property-space analysis.</w:t>
      </w:r>
    </w:p>
    <w:p w14:paraId="7581944F" w14:textId="77777777" w:rsidR="00AC3696" w:rsidRPr="00AC3696" w:rsidRDefault="00AC3696">
      <w:pPr>
        <w:spacing w:before="240" w:after="240" w:line="480" w:lineRule="auto"/>
        <w:rPr>
          <w:rFonts w:ascii="Times New Roman" w:hAnsi="Times New Roman" w:cs="Times New Roman"/>
          <w:color w:val="000000"/>
          <w:sz w:val="24"/>
          <w:szCs w:val="24"/>
        </w:rPr>
      </w:pPr>
      <w:r w:rsidRPr="00AC3696">
        <w:rPr>
          <w:rFonts w:ascii="Times New Roman" w:hAnsi="Times New Roman" w:cs="Times New Roman"/>
          <w:color w:val="000000"/>
          <w:sz w:val="24"/>
          <w:szCs w:val="24"/>
        </w:rPr>
        <w:t xml:space="preserve">The retrospective PCA used the frozen 15-compound primary boundary-stress descriptor matrix. The 14 physicochemical, developability, and toxicological variables used for this analysis were standardized before singular value </w:t>
      </w:r>
      <w:proofErr w:type="spellStart"/>
      <w:r w:rsidRPr="00AC3696">
        <w:rPr>
          <w:rFonts w:ascii="Times New Roman" w:hAnsi="Times New Roman" w:cs="Times New Roman"/>
          <w:color w:val="000000"/>
          <w:sz w:val="24"/>
          <w:szCs w:val="24"/>
        </w:rPr>
        <w:t>decomposition.</w:t>
      </w:r>
      <w:proofErr w:type="spellEnd"/>
    </w:p>
    <w:p w14:paraId="38D47BE0" w14:textId="125582A4"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The COCONUT PCA used the property-descriptor matrix defined in Supplementary Methods S12. COCONUT nearest-neighbor coordinates and PCA model parameters and loadings are reported in Supplementary Table S22 and the associated repository files.</w:t>
      </w:r>
    </w:p>
    <w:p w14:paraId="4AA111F9" w14:textId="77777777" w:rsidR="00C15843" w:rsidRPr="00B618CC" w:rsidRDefault="00000000">
      <w:pPr>
        <w:spacing w:before="240" w:after="24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Supplementary Methods S12. COCONUT-derived property-space implementation</w:t>
      </w:r>
    </w:p>
    <w:p w14:paraId="203B4FE1"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COCONUT 2.0 structures were processed using Python and </w:t>
      </w:r>
      <w:proofErr w:type="spellStart"/>
      <w:r w:rsidRPr="00B618CC">
        <w:rPr>
          <w:rFonts w:ascii="Times New Roman" w:eastAsia="Times New Roman" w:hAnsi="Times New Roman" w:cs="Times New Roman"/>
          <w:sz w:val="24"/>
          <w:szCs w:val="24"/>
        </w:rPr>
        <w:t>RDKit</w:t>
      </w:r>
      <w:proofErr w:type="spellEnd"/>
      <w:r w:rsidRPr="00B618CC">
        <w:rPr>
          <w:rFonts w:ascii="Times New Roman" w:eastAsia="Times New Roman" w:hAnsi="Times New Roman" w:cs="Times New Roman"/>
          <w:sz w:val="24"/>
          <w:szCs w:val="24"/>
        </w:rPr>
        <w:t xml:space="preserve"> version 2026.03.2. Structures that could not be parsed successfully were excluded, leaving 738,801 structures in the final scored universe. For each retained structure, molecular weight, calculated </w:t>
      </w:r>
      <w:proofErr w:type="spellStart"/>
      <w:r w:rsidRPr="00B618CC">
        <w:rPr>
          <w:rFonts w:ascii="Times New Roman" w:eastAsia="Times New Roman" w:hAnsi="Times New Roman" w:cs="Times New Roman"/>
          <w:sz w:val="24"/>
          <w:szCs w:val="24"/>
        </w:rPr>
        <w:t>logP</w:t>
      </w:r>
      <w:proofErr w:type="spellEnd"/>
      <w:r w:rsidRPr="00B618CC">
        <w:rPr>
          <w:rFonts w:ascii="Times New Roman" w:eastAsia="Times New Roman" w:hAnsi="Times New Roman" w:cs="Times New Roman"/>
          <w:sz w:val="24"/>
          <w:szCs w:val="24"/>
        </w:rPr>
        <w:t>, topological polar surface area, hydrogen-bond donor count, hydrogen-bond acceptor count, rotatable-bond count, and heavy-atom count were calculated from the parsed molecular graph. The property-only score was calculated using the predefined bounded property-desirability transformations and geometric aggregation implemented in the final COCONUT scoring script. Exact descriptor membership, transformation direction, preferred or tolerated ranges, boundary values, and aggregation rules are reported in the supplementary parameter table. The workflow retained the compound-level property score, global rank, percentile position, descriptor values, nearest-neighbor outputs, and PCA model parameters used in the supplementary analyses.</w:t>
      </w:r>
    </w:p>
    <w:p w14:paraId="1E743D16"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lastRenderedPageBreak/>
        <w:t xml:space="preserve">Docking, </w:t>
      </w:r>
      <w:proofErr w:type="spellStart"/>
      <w:r w:rsidRPr="00B618CC">
        <w:rPr>
          <w:rFonts w:ascii="Times New Roman" w:eastAsia="Times New Roman" w:hAnsi="Times New Roman" w:cs="Times New Roman"/>
          <w:sz w:val="24"/>
          <w:szCs w:val="24"/>
        </w:rPr>
        <w:t>ProTox</w:t>
      </w:r>
      <w:proofErr w:type="spellEnd"/>
      <w:r w:rsidRPr="00B618CC">
        <w:rPr>
          <w:rFonts w:ascii="Times New Roman" w:eastAsia="Times New Roman" w:hAnsi="Times New Roman" w:cs="Times New Roman"/>
          <w:sz w:val="24"/>
          <w:szCs w:val="24"/>
        </w:rPr>
        <w:t xml:space="preserve"> predictions, curated-liability annotations, target biology, disease-panel scoring, and biological activity labels were not included in the COCONUT workflow. </w:t>
      </w:r>
      <w:proofErr w:type="spellStart"/>
      <w:r w:rsidRPr="00B618CC">
        <w:rPr>
          <w:rFonts w:ascii="Times New Roman" w:eastAsia="Times New Roman" w:hAnsi="Times New Roman" w:cs="Times New Roman"/>
          <w:sz w:val="24"/>
          <w:szCs w:val="24"/>
        </w:rPr>
        <w:t>Muricatacin’s</w:t>
      </w:r>
      <w:proofErr w:type="spellEnd"/>
      <w:r w:rsidRPr="00B618CC">
        <w:rPr>
          <w:rFonts w:ascii="Times New Roman" w:eastAsia="Times New Roman" w:hAnsi="Times New Roman" w:cs="Times New Roman"/>
          <w:sz w:val="24"/>
          <w:szCs w:val="24"/>
        </w:rPr>
        <w:t xml:space="preserve"> global-position output, nearest-neighbor results, and PCA model parameters and loadings are reported in Supplementary Tables S22A–S22C, with the larger underlying property-space artifacts preserved in the associated repository files.</w:t>
      </w:r>
    </w:p>
    <w:p w14:paraId="6C58405E" w14:textId="77777777" w:rsidR="00C15843" w:rsidRPr="00B618CC" w:rsidRDefault="00000000">
      <w:pPr>
        <w:spacing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Results S1. Rank-agreement analysis</w:t>
      </w:r>
    </w:p>
    <w:p w14:paraId="10AA4C04" w14:textId="77777777" w:rsidR="00C15843" w:rsidRPr="00B618CC" w:rsidRDefault="00000000">
      <w:pPr>
        <w:spacing w:before="20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Kendall’s </w:t>
      </w:r>
      <w:proofErr w:type="spellStart"/>
      <w:r w:rsidRPr="00B618CC">
        <w:rPr>
          <w:rFonts w:ascii="Times New Roman" w:eastAsia="Times New Roman" w:hAnsi="Times New Roman" w:cs="Times New Roman"/>
          <w:sz w:val="24"/>
          <w:szCs w:val="24"/>
        </w:rPr>
        <w:t>τ</w:t>
      </w:r>
      <w:r w:rsidRPr="00B618CC">
        <w:rPr>
          <w:rFonts w:ascii="Times New Roman" w:eastAsia="Times New Roman" w:hAnsi="Times New Roman" w:cs="Times New Roman"/>
          <w:sz w:val="24"/>
          <w:szCs w:val="24"/>
          <w:vertAlign w:val="subscript"/>
        </w:rPr>
        <w:t>b</w:t>
      </w:r>
      <w:proofErr w:type="spellEnd"/>
      <w:r w:rsidRPr="00B618CC">
        <w:rPr>
          <w:rFonts w:ascii="Times New Roman" w:eastAsia="Times New Roman" w:hAnsi="Times New Roman" w:cs="Times New Roman"/>
          <w:sz w:val="24"/>
          <w:szCs w:val="24"/>
          <w:vertAlign w:val="subscript"/>
        </w:rPr>
        <w:t xml:space="preserve"> </w:t>
      </w:r>
      <w:r w:rsidRPr="00B618CC">
        <w:rPr>
          <w:rFonts w:ascii="Times New Roman" w:eastAsia="Times New Roman" w:hAnsi="Times New Roman" w:cs="Times New Roman"/>
          <w:sz w:val="24"/>
          <w:szCs w:val="24"/>
        </w:rPr>
        <w:t>between QED-only and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was 0.000 in colorectal cancer, 0.473 in prostate cancer, and 0.238 in RCC. Kendall’s </w:t>
      </w:r>
      <w:proofErr w:type="spellStart"/>
      <w:r w:rsidRPr="00B618CC">
        <w:rPr>
          <w:rFonts w:ascii="Times New Roman" w:eastAsia="Times New Roman" w:hAnsi="Times New Roman" w:cs="Times New Roman"/>
          <w:sz w:val="24"/>
          <w:szCs w:val="24"/>
        </w:rPr>
        <w:t>τ</w:t>
      </w:r>
      <w:r w:rsidRPr="00B618CC">
        <w:rPr>
          <w:rFonts w:ascii="Times New Roman" w:eastAsia="Times New Roman" w:hAnsi="Times New Roman" w:cs="Times New Roman"/>
          <w:sz w:val="24"/>
          <w:szCs w:val="24"/>
          <w:vertAlign w:val="subscript"/>
        </w:rPr>
        <w:t>b</w:t>
      </w:r>
      <w:proofErr w:type="spellEnd"/>
      <w:r w:rsidRPr="00B618CC">
        <w:rPr>
          <w:rFonts w:ascii="Times New Roman" w:eastAsia="Times New Roman" w:hAnsi="Times New Roman" w:cs="Times New Roman"/>
          <w:sz w:val="24"/>
          <w:szCs w:val="24"/>
          <w:vertAlign w:val="subscript"/>
        </w:rPr>
        <w:t xml:space="preserve"> </w:t>
      </w:r>
      <w:r w:rsidRPr="00B618CC">
        <w:rPr>
          <w:rFonts w:ascii="Times New Roman" w:eastAsia="Gungsuh" w:hAnsi="Times New Roman" w:cs="Times New Roman"/>
          <w:sz w:val="24"/>
          <w:szCs w:val="24"/>
        </w:rPr>
        <w:t>between QED+ADME+BestNode and SWAN-</w:t>
      </w:r>
      <w:proofErr w:type="spellStart"/>
      <w:r w:rsidRPr="00B618CC">
        <w:rPr>
          <w:rFonts w:ascii="Times New Roman" w:eastAsia="Gungsuh" w:hAnsi="Times New Roman" w:cs="Times New Roman"/>
          <w:sz w:val="24"/>
          <w:szCs w:val="24"/>
        </w:rPr>
        <w:t>BestNode</w:t>
      </w:r>
      <w:proofErr w:type="spellEnd"/>
      <w:r w:rsidRPr="00B618CC">
        <w:rPr>
          <w:rFonts w:ascii="Times New Roman" w:eastAsia="Gungsuh" w:hAnsi="Times New Roman" w:cs="Times New Roman"/>
          <w:sz w:val="24"/>
          <w:szCs w:val="24"/>
        </w:rPr>
        <w:t xml:space="preserve"> was −0.200 in colorectal cancer, 0.714 in prostate cancer, and 0.429 in RCC. As the internal panels contained only five to eight compounds, these correlations were interpreted descriptively. Rank agreement was panel-dependent, indicating that SWAN-</w:t>
      </w:r>
      <w:proofErr w:type="spellStart"/>
      <w:r w:rsidRPr="00B618CC">
        <w:rPr>
          <w:rFonts w:ascii="Times New Roman" w:eastAsia="Gungsuh" w:hAnsi="Times New Roman" w:cs="Times New Roman"/>
          <w:sz w:val="24"/>
          <w:szCs w:val="24"/>
        </w:rPr>
        <w:t>BestNode</w:t>
      </w:r>
      <w:proofErr w:type="spellEnd"/>
      <w:r w:rsidRPr="00B618CC">
        <w:rPr>
          <w:rFonts w:ascii="Times New Roman" w:eastAsia="Gungsuh" w:hAnsi="Times New Roman" w:cs="Times New Roman"/>
          <w:sz w:val="24"/>
          <w:szCs w:val="24"/>
        </w:rPr>
        <w:t xml:space="preserve"> was not uniformly redundant with either QED-only or QED+ADME+BestNode. Agreement was limited in colorectal cancer and RCC, whereas partial alignment was observed in the prostate panel. Complete coefficients, p-values, and panel sizes are reported in Supplementary Table S10.</w:t>
      </w:r>
    </w:p>
    <w:p w14:paraId="7032DE49" w14:textId="77777777" w:rsidR="00C15843" w:rsidRPr="00B618CC" w:rsidRDefault="00000000">
      <w:pPr>
        <w:spacing w:before="240" w:after="24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 xml:space="preserve">Supplementary Results S2. Internal best-grid versus median-grid sensitivity </w:t>
      </w:r>
    </w:p>
    <w:p w14:paraId="6A86967F"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As a scaffold-specific sensitivity check, </w:t>
      </w:r>
      <w:proofErr w:type="spellStart"/>
      <w:r w:rsidRPr="00B618CC">
        <w:rPr>
          <w:rFonts w:ascii="Times New Roman" w:eastAsia="Times New Roman" w:hAnsi="Times New Roman" w:cs="Times New Roman"/>
          <w:sz w:val="24"/>
          <w:szCs w:val="24"/>
        </w:rPr>
        <w:t>Muricatacin’s</w:t>
      </w:r>
      <w:proofErr w:type="spellEnd"/>
      <w:r w:rsidRPr="00B618CC">
        <w:rPr>
          <w:rFonts w:ascii="Times New Roman" w:eastAsia="Times New Roman" w:hAnsi="Times New Roman" w:cs="Times New Roman"/>
          <w:sz w:val="24"/>
          <w:szCs w:val="24"/>
        </w:rPr>
        <w:t xml:space="preserve"> internal binding rank was unchanged when target-level docking was summarized using median-grid rather than best-grid ΔG. It remained rank 3 in colorectal cancer, rank 8 in prostate cancer, and rank 7 in RCC under both summaries. Therefore, its internal binding-rank position was not altered by replacing the most favorable grid-center energy with the median across grid centers.</w:t>
      </w:r>
    </w:p>
    <w:p w14:paraId="48486944"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sz w:val="24"/>
          <w:szCs w:val="24"/>
        </w:rPr>
        <w:lastRenderedPageBreak/>
        <w:t xml:space="preserve">Full grid-center audit fields and the best/median docking summaries are reported in Supplementary Table S7 and visualized in Supplementary Figure S1. </w:t>
      </w:r>
    </w:p>
    <w:p w14:paraId="1CFB3B75" w14:textId="77777777" w:rsidR="00C15843" w:rsidRPr="00B618CC" w:rsidRDefault="00000000">
      <w:pPr>
        <w:spacing w:before="20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 xml:space="preserve">Supplementary Results S3. Node-specific </w:t>
      </w:r>
      <w:proofErr w:type="spellStart"/>
      <w:r w:rsidRPr="00B618CC">
        <w:rPr>
          <w:rFonts w:ascii="Times New Roman" w:eastAsia="Times New Roman" w:hAnsi="Times New Roman" w:cs="Times New Roman"/>
          <w:b/>
          <w:bCs/>
          <w:sz w:val="24"/>
          <w:szCs w:val="24"/>
        </w:rPr>
        <w:t>BestNode</w:t>
      </w:r>
      <w:proofErr w:type="spellEnd"/>
      <w:r w:rsidRPr="00B618CC">
        <w:rPr>
          <w:rFonts w:ascii="Times New Roman" w:eastAsia="Times New Roman" w:hAnsi="Times New Roman" w:cs="Times New Roman"/>
          <w:b/>
          <w:bCs/>
          <w:sz w:val="24"/>
          <w:szCs w:val="24"/>
        </w:rPr>
        <w:t xml:space="preserve"> diagnostics</w:t>
      </w:r>
    </w:p>
    <w:p w14:paraId="6D24C49A"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In all three internal discovery panels, mTOR was selected as </w:t>
      </w:r>
      <w:proofErr w:type="spellStart"/>
      <w:r w:rsidRPr="00B618CC">
        <w:rPr>
          <w:rFonts w:ascii="Times New Roman" w:eastAsia="Times New Roman" w:hAnsi="Times New Roman" w:cs="Times New Roman"/>
          <w:sz w:val="24"/>
          <w:szCs w:val="24"/>
        </w:rPr>
        <w:t>Muricatacin’s</w:t>
      </w:r>
      <w:proofErr w:type="spellEnd"/>
      <w:r w:rsidRPr="00B618CC">
        <w:rPr>
          <w:rFonts w:ascii="Times New Roman" w:eastAsia="Times New Roman" w:hAnsi="Times New Roman" w:cs="Times New Roman"/>
          <w:sz w:val="24"/>
          <w:szCs w:val="24"/>
        </w:rPr>
        <w:t xml:space="preserve">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target. Selected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target, second-best node, best-to-second ratio, and isolated-node diagnostic fields are reported in Supplementary Table S9.</w:t>
      </w:r>
    </w:p>
    <w:p w14:paraId="369744A0" w14:textId="77777777" w:rsidR="00C15843" w:rsidRPr="00B618CC" w:rsidRDefault="00000000">
      <w:pPr>
        <w:spacing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 xml:space="preserve">Supplementary Results S4. Expanded </w:t>
      </w:r>
      <w:r w:rsidRPr="00B618CC">
        <w:rPr>
          <w:rFonts w:ascii="Times New Roman" w:eastAsia="Times New Roman" w:hAnsi="Times New Roman" w:cs="Times New Roman"/>
          <w:b/>
          <w:bCs/>
          <w:i/>
          <w:iCs/>
          <w:sz w:val="24"/>
          <w:szCs w:val="24"/>
        </w:rPr>
        <w:t>Annona muricata</w:t>
      </w:r>
      <w:r w:rsidRPr="00B618CC">
        <w:rPr>
          <w:rFonts w:ascii="Times New Roman" w:eastAsia="Times New Roman" w:hAnsi="Times New Roman" w:cs="Times New Roman"/>
          <w:b/>
          <w:bCs/>
          <w:sz w:val="24"/>
          <w:szCs w:val="24"/>
        </w:rPr>
        <w:t xml:space="preserve"> natural-product deployment</w:t>
      </w:r>
    </w:p>
    <w:p w14:paraId="6430918E"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The completed expanded screen consisted of 59 unique ligands, nine targets, 531 ligand–target blocks, and 10,620 successful Vina evaluations, producing 177 panel-specific score records.</w:t>
      </w:r>
    </w:p>
    <w:p w14:paraId="364CCFD9"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For the representative scaffold </w:t>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xml:space="preserve">, mTOR was selected as the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in all three panels. </w:t>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xml:space="preserve"> remained rank 1 under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Top2Node, and Breadth scoring in colorectal cancer; in prostate cancer and RCC, it ranked 2 under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and 3 under both Top2Node and Breadth scoring.</w:t>
      </w:r>
    </w:p>
    <w:p w14:paraId="3BCE9AD0"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Expanded-screen compound inclusion, exclusion, and structure-reconciliation records are reported in Supplementary Table S2, and docking-deployment records are reported in Supplementary Table S3. Complete expanded-library primary scores are reported in Supplementary Table S8B, while binding-aggregation diagnostics, selected nodes, and associated sensitivity outputs are reported in Supplementary Table S9 and the accompanying repository files.</w:t>
      </w:r>
    </w:p>
    <w:p w14:paraId="0015F562" w14:textId="77777777" w:rsidR="00C15843" w:rsidRPr="00B618CC" w:rsidRDefault="00000000">
      <w:pPr>
        <w:spacing w:before="240" w:after="24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Supplementary Results S5. Ligand-efficiency sensitivity</w:t>
      </w:r>
    </w:p>
    <w:p w14:paraId="65735F94"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lastRenderedPageBreak/>
        <w:t>In the expanded library, LE-adjusted rankings remained significantly concordant with the primary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rankings in colorectal cancer (</w:t>
      </w:r>
      <w:proofErr w:type="spellStart"/>
      <w:r w:rsidRPr="00B618CC">
        <w:rPr>
          <w:rFonts w:ascii="Times New Roman" w:eastAsia="Times New Roman" w:hAnsi="Times New Roman" w:cs="Times New Roman"/>
          <w:sz w:val="24"/>
          <w:szCs w:val="24"/>
        </w:rPr>
        <w:t>τ</w:t>
      </w:r>
      <w:r w:rsidRPr="00B618CC">
        <w:rPr>
          <w:rFonts w:ascii="Times New Roman" w:eastAsia="Times New Roman" w:hAnsi="Times New Roman" w:cs="Times New Roman"/>
          <w:sz w:val="24"/>
          <w:szCs w:val="24"/>
          <w:vertAlign w:val="subscript"/>
        </w:rPr>
        <w:t>b</w:t>
      </w:r>
      <w:proofErr w:type="spellEnd"/>
      <w:r w:rsidRPr="00B618CC">
        <w:rPr>
          <w:rFonts w:ascii="Times New Roman" w:eastAsia="Times New Roman" w:hAnsi="Times New Roman" w:cs="Times New Roman"/>
          <w:sz w:val="24"/>
          <w:szCs w:val="24"/>
        </w:rPr>
        <w:t xml:space="preserve">=0.813, </w:t>
      </w:r>
      <w:r w:rsidRPr="00B618CC">
        <w:rPr>
          <w:rFonts w:ascii="Times New Roman" w:eastAsia="Times New Roman" w:hAnsi="Times New Roman" w:cs="Times New Roman"/>
          <w:i/>
          <w:iCs/>
          <w:sz w:val="24"/>
          <w:szCs w:val="24"/>
        </w:rPr>
        <w:t>p</w:t>
      </w:r>
      <w:r w:rsidRPr="00B618CC">
        <w:rPr>
          <w:rFonts w:ascii="Times New Roman" w:eastAsia="Gungsuh" w:hAnsi="Times New Roman" w:cs="Times New Roman"/>
          <w:sz w:val="24"/>
          <w:szCs w:val="24"/>
        </w:rPr>
        <w:t>=9.34×10−20), prostate cancer (</w:t>
      </w:r>
      <w:proofErr w:type="spellStart"/>
      <w:r w:rsidRPr="00B618CC">
        <w:rPr>
          <w:rFonts w:ascii="Times New Roman" w:eastAsia="Gungsuh" w:hAnsi="Times New Roman" w:cs="Times New Roman"/>
          <w:sz w:val="24"/>
          <w:szCs w:val="24"/>
        </w:rPr>
        <w:t>τ</w:t>
      </w:r>
      <w:r w:rsidRPr="00B618CC">
        <w:rPr>
          <w:rFonts w:ascii="Times New Roman" w:eastAsia="Times New Roman" w:hAnsi="Times New Roman" w:cs="Times New Roman"/>
          <w:sz w:val="24"/>
          <w:szCs w:val="24"/>
          <w:vertAlign w:val="subscript"/>
        </w:rPr>
        <w:t>b</w:t>
      </w:r>
      <w:proofErr w:type="spellEnd"/>
      <w:r w:rsidRPr="00B618CC">
        <w:rPr>
          <w:rFonts w:ascii="Times New Roman" w:eastAsia="Times New Roman" w:hAnsi="Times New Roman" w:cs="Times New Roman"/>
          <w:sz w:val="24"/>
          <w:szCs w:val="24"/>
        </w:rPr>
        <w:t xml:space="preserve">=0.804, </w:t>
      </w:r>
      <w:r w:rsidRPr="00B618CC">
        <w:rPr>
          <w:rFonts w:ascii="Times New Roman" w:eastAsia="Times New Roman" w:hAnsi="Times New Roman" w:cs="Times New Roman"/>
          <w:i/>
          <w:iCs/>
          <w:sz w:val="24"/>
          <w:szCs w:val="24"/>
        </w:rPr>
        <w:t>p</w:t>
      </w:r>
      <w:r w:rsidRPr="00B618CC">
        <w:rPr>
          <w:rFonts w:ascii="Times New Roman" w:eastAsia="Gungsuh" w:hAnsi="Times New Roman" w:cs="Times New Roman"/>
          <w:sz w:val="24"/>
          <w:szCs w:val="24"/>
        </w:rPr>
        <w:t>=2.43×10−19), and RCC (</w:t>
      </w:r>
      <w:proofErr w:type="spellStart"/>
      <w:r w:rsidRPr="00B618CC">
        <w:rPr>
          <w:rFonts w:ascii="Times New Roman" w:eastAsia="Gungsuh" w:hAnsi="Times New Roman" w:cs="Times New Roman"/>
          <w:sz w:val="24"/>
          <w:szCs w:val="24"/>
        </w:rPr>
        <w:t>τ</w:t>
      </w:r>
      <w:r w:rsidRPr="00B618CC">
        <w:rPr>
          <w:rFonts w:ascii="Times New Roman" w:eastAsia="Times New Roman" w:hAnsi="Times New Roman" w:cs="Times New Roman"/>
          <w:sz w:val="24"/>
          <w:szCs w:val="24"/>
          <w:vertAlign w:val="subscript"/>
        </w:rPr>
        <w:t>b</w:t>
      </w:r>
      <w:proofErr w:type="spellEnd"/>
      <w:r w:rsidRPr="00B618CC">
        <w:rPr>
          <w:rFonts w:ascii="Times New Roman" w:eastAsia="Times New Roman" w:hAnsi="Times New Roman" w:cs="Times New Roman"/>
          <w:sz w:val="24"/>
          <w:szCs w:val="24"/>
        </w:rPr>
        <w:t xml:space="preserve">=0.804, </w:t>
      </w:r>
      <w:r w:rsidRPr="00B618CC">
        <w:rPr>
          <w:rFonts w:ascii="Times New Roman" w:eastAsia="Times New Roman" w:hAnsi="Times New Roman" w:cs="Times New Roman"/>
          <w:i/>
          <w:iCs/>
          <w:sz w:val="24"/>
          <w:szCs w:val="24"/>
        </w:rPr>
        <w:t>p</w:t>
      </w:r>
      <w:r w:rsidRPr="00B618CC">
        <w:rPr>
          <w:rFonts w:ascii="Times New Roman" w:eastAsia="Gungsuh" w:hAnsi="Times New Roman" w:cs="Times New Roman"/>
          <w:sz w:val="24"/>
          <w:szCs w:val="24"/>
        </w:rPr>
        <w:t xml:space="preserve">=2.43×10−19). </w:t>
      </w:r>
      <w:proofErr w:type="spellStart"/>
      <w:r w:rsidRPr="00B618CC">
        <w:rPr>
          <w:rFonts w:ascii="Times New Roman" w:eastAsia="Gungsuh" w:hAnsi="Times New Roman" w:cs="Times New Roman"/>
          <w:sz w:val="24"/>
          <w:szCs w:val="24"/>
        </w:rPr>
        <w:t>Muricatacin</w:t>
      </w:r>
      <w:proofErr w:type="spellEnd"/>
      <w:r w:rsidRPr="00B618CC">
        <w:rPr>
          <w:rFonts w:ascii="Times New Roman" w:eastAsia="Gungsuh" w:hAnsi="Times New Roman" w:cs="Times New Roman"/>
          <w:sz w:val="24"/>
          <w:szCs w:val="24"/>
        </w:rPr>
        <w:t xml:space="preserve"> retained rank 1 in colorectal cancer and shifted from rank 2 to rank 1 in prostate cancer and RCC, with LE-adjusted scores of 0.751863, 0.677281, and 0.677281, respectively.</w:t>
      </w:r>
    </w:p>
    <w:p w14:paraId="1626ACB4"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Complete internal and expanded-library ligand-efficiency values, LE-adjusted binding terms, SWAN scores, ranks, and rank-concordance outputs are reported in Supplementary Table S17 and the associated repository files. </w:t>
      </w:r>
    </w:p>
    <w:p w14:paraId="64BC20C6" w14:textId="77777777" w:rsidR="00C15843" w:rsidRPr="00B618CC" w:rsidRDefault="00000000">
      <w:pPr>
        <w:spacing w:before="200" w:after="20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Supplementary Results S6. Strict-top-pose target-restriction results</w:t>
      </w:r>
    </w:p>
    <w:p w14:paraId="20422C4A" w14:textId="5B2BDFD5"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In the internal prostate panel, </w:t>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xml:space="preserve"> shifted from primary rank 1 to strict-pass rank 2, while remaining at rank 2 in RCC. The colorectal analysis was not estimable because none of </w:t>
      </w:r>
      <w:proofErr w:type="gramStart"/>
      <w:r w:rsidRPr="00B618CC">
        <w:rPr>
          <w:rFonts w:ascii="Times New Roman" w:eastAsia="Times New Roman" w:hAnsi="Times New Roman" w:cs="Times New Roman"/>
          <w:sz w:val="24"/>
          <w:szCs w:val="24"/>
        </w:rPr>
        <w:t>its</w:t>
      </w:r>
      <w:proofErr w:type="gramEnd"/>
      <w:r w:rsidRPr="00B618CC">
        <w:rPr>
          <w:rFonts w:ascii="Times New Roman" w:eastAsia="Times New Roman" w:hAnsi="Times New Roman" w:cs="Times New Roman"/>
          <w:sz w:val="24"/>
          <w:szCs w:val="24"/>
        </w:rPr>
        <w:t xml:space="preserve"> prespecified targets met the strict top-pose criterion. In the expanded library, </w:t>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xml:space="preserve"> shifted from rank 2 to rank 4 in prostate cancer and from rank 2 to rank 3 in RCC under strict-pass-only scoring. Across the complete expanded library, strict-pass rankings remained highly concordant with the primary rankings in the two estimable panels (Kendall’s </w:t>
      </w:r>
      <w:proofErr w:type="spellStart"/>
      <w:r w:rsidRPr="00B618CC">
        <w:rPr>
          <w:rFonts w:ascii="Times New Roman" w:eastAsia="Times New Roman" w:hAnsi="Times New Roman" w:cs="Times New Roman"/>
          <w:sz w:val="24"/>
          <w:szCs w:val="24"/>
        </w:rPr>
        <w:t>τ</w:t>
      </w:r>
      <w:r w:rsidRPr="00B618CC">
        <w:rPr>
          <w:rFonts w:ascii="Times New Roman" w:eastAsia="Times New Roman" w:hAnsi="Times New Roman" w:cs="Times New Roman"/>
          <w:sz w:val="24"/>
          <w:szCs w:val="24"/>
          <w:vertAlign w:val="subscript"/>
        </w:rPr>
        <w:t>b</w:t>
      </w:r>
      <w:proofErr w:type="spellEnd"/>
      <w:r w:rsidRPr="00B618CC">
        <w:rPr>
          <w:rFonts w:ascii="Times New Roman" w:eastAsia="Times New Roman" w:hAnsi="Times New Roman" w:cs="Times New Roman"/>
          <w:sz w:val="24"/>
          <w:szCs w:val="24"/>
        </w:rPr>
        <w:t xml:space="preserve"> = 0.871 in prostate cancer and 0.898 in RCC</w:t>
      </w:r>
      <w:r w:rsidRPr="00AC3696">
        <w:rPr>
          <w:rFonts w:ascii="Times New Roman" w:eastAsia="Times New Roman" w:hAnsi="Times New Roman" w:cs="Times New Roman"/>
          <w:sz w:val="24"/>
          <w:szCs w:val="24"/>
        </w:rPr>
        <w:t xml:space="preserve">). </w:t>
      </w:r>
      <w:r w:rsidR="00AC3696" w:rsidRPr="00AC3696">
        <w:rPr>
          <w:rFonts w:ascii="Times New Roman" w:hAnsi="Times New Roman" w:cs="Times New Roman"/>
          <w:color w:val="000000"/>
          <w:sz w:val="24"/>
          <w:szCs w:val="24"/>
        </w:rPr>
        <w:t>Complete internal and expanded-library strict-pass scores, rank shifts, panel-level eligible-target summaries, and full-library concordance statistics are reported in Supplementary Table S18.</w:t>
      </w:r>
    </w:p>
    <w:p w14:paraId="25A9DCFD" w14:textId="77777777" w:rsidR="00C15843" w:rsidRPr="00B618CC" w:rsidRDefault="00000000">
      <w:pPr>
        <w:spacing w:before="240" w:after="24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Supplementary Results S7. Monte Carlo rank-stability analysis</w:t>
      </w:r>
    </w:p>
    <w:p w14:paraId="008FA20B"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Monte Carlo perturbation generated compound-level score and rank distributions for every compound in the internal discovery panels and completed expanded library. Complete </w:t>
      </w:r>
      <w:r w:rsidRPr="00B618CC">
        <w:rPr>
          <w:rFonts w:ascii="Times New Roman" w:eastAsia="Times New Roman" w:hAnsi="Times New Roman" w:cs="Times New Roman"/>
          <w:sz w:val="24"/>
          <w:szCs w:val="24"/>
        </w:rPr>
        <w:lastRenderedPageBreak/>
        <w:t>compound-level probabilities, simulated score and rank summaries, and iteration-level outputs are reported in Supplementary Table S19 and the associated repository files.</w:t>
      </w:r>
    </w:p>
    <w:p w14:paraId="21482217"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In the internal panels, </w:t>
      </w:r>
      <w:proofErr w:type="spellStart"/>
      <w:r w:rsidRPr="00B618CC">
        <w:rPr>
          <w:rFonts w:ascii="Times New Roman" w:eastAsia="Times New Roman" w:hAnsi="Times New Roman" w:cs="Times New Roman"/>
          <w:sz w:val="24"/>
          <w:szCs w:val="24"/>
        </w:rPr>
        <w:t>Muricatacin’s</w:t>
      </w:r>
      <w:proofErr w:type="spellEnd"/>
      <w:r w:rsidRPr="00B618CC">
        <w:rPr>
          <w:rFonts w:ascii="Times New Roman" w:eastAsia="Times New Roman" w:hAnsi="Times New Roman" w:cs="Times New Roman"/>
          <w:sz w:val="24"/>
          <w:szCs w:val="24"/>
        </w:rPr>
        <w:t xml:space="preserve"> median ranks under moderate perturbation were 1 in colorectal cancer, 1 in prostate cancer, and 2 in RCC. The corresponding probabilities of rank 1 were 0.9940, 0.7538, and 0.0074; </w:t>
      </w:r>
      <w:proofErr w:type="gramStart"/>
      <w:r w:rsidRPr="00B618CC">
        <w:rPr>
          <w:rFonts w:ascii="Times New Roman" w:eastAsia="Times New Roman" w:hAnsi="Times New Roman" w:cs="Times New Roman"/>
          <w:sz w:val="24"/>
          <w:szCs w:val="24"/>
        </w:rPr>
        <w:t>top-two</w:t>
      </w:r>
      <w:proofErr w:type="gramEnd"/>
      <w:r w:rsidRPr="00B618CC">
        <w:rPr>
          <w:rFonts w:ascii="Times New Roman" w:eastAsia="Times New Roman" w:hAnsi="Times New Roman" w:cs="Times New Roman"/>
          <w:sz w:val="24"/>
          <w:szCs w:val="24"/>
        </w:rPr>
        <w:t xml:space="preserve"> probabilities were 1.0000, 0.8674, and 0.9997; and </w:t>
      </w:r>
      <w:proofErr w:type="gramStart"/>
      <w:r w:rsidRPr="00B618CC">
        <w:rPr>
          <w:rFonts w:ascii="Times New Roman" w:eastAsia="Times New Roman" w:hAnsi="Times New Roman" w:cs="Times New Roman"/>
          <w:sz w:val="24"/>
          <w:szCs w:val="24"/>
        </w:rPr>
        <w:t>top-three</w:t>
      </w:r>
      <w:proofErr w:type="gramEnd"/>
      <w:r w:rsidRPr="00B618CC">
        <w:rPr>
          <w:rFonts w:ascii="Times New Roman" w:eastAsia="Times New Roman" w:hAnsi="Times New Roman" w:cs="Times New Roman"/>
          <w:sz w:val="24"/>
          <w:szCs w:val="24"/>
        </w:rPr>
        <w:t xml:space="preserve"> probabilities were 1.0000 in all three panels. Under broader internal weight stress, median ranks remained 1, 1, and 2, with </w:t>
      </w:r>
      <w:proofErr w:type="gramStart"/>
      <w:r w:rsidRPr="00B618CC">
        <w:rPr>
          <w:rFonts w:ascii="Times New Roman" w:eastAsia="Times New Roman" w:hAnsi="Times New Roman" w:cs="Times New Roman"/>
          <w:sz w:val="24"/>
          <w:szCs w:val="24"/>
        </w:rPr>
        <w:t>top-three</w:t>
      </w:r>
      <w:proofErr w:type="gramEnd"/>
      <w:r w:rsidRPr="00B618CC">
        <w:rPr>
          <w:rFonts w:ascii="Times New Roman" w:eastAsia="Times New Roman" w:hAnsi="Times New Roman" w:cs="Times New Roman"/>
          <w:sz w:val="24"/>
          <w:szCs w:val="24"/>
        </w:rPr>
        <w:t xml:space="preserve"> probabilities of 1.0000, 0.9986, and 0.9999.</w:t>
      </w:r>
    </w:p>
    <w:p w14:paraId="675098A2"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In the completed expanded library, </w:t>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xml:space="preserve"> had median ranks of 1, 2, and 2 under moderate perturbation, with rank-1 probabilities of 0.96085, 0.28910, and 0.28910 and </w:t>
      </w:r>
      <w:proofErr w:type="gramStart"/>
      <w:r w:rsidRPr="00B618CC">
        <w:rPr>
          <w:rFonts w:ascii="Times New Roman" w:eastAsia="Times New Roman" w:hAnsi="Times New Roman" w:cs="Times New Roman"/>
          <w:sz w:val="24"/>
          <w:szCs w:val="24"/>
        </w:rPr>
        <w:t>top-three</w:t>
      </w:r>
      <w:proofErr w:type="gramEnd"/>
      <w:r w:rsidRPr="00B618CC">
        <w:rPr>
          <w:rFonts w:ascii="Times New Roman" w:eastAsia="Times New Roman" w:hAnsi="Times New Roman" w:cs="Times New Roman"/>
          <w:sz w:val="24"/>
          <w:szCs w:val="24"/>
        </w:rPr>
        <w:t xml:space="preserve"> probabilities of 0.98925, 0.59785, and 0.59785. Under broad perturbation, median ranks remained 1, 2, and 2; rank-1 probabilities were 0.79905, 0.40235, and 0.40235; and </w:t>
      </w:r>
      <w:proofErr w:type="gramStart"/>
      <w:r w:rsidRPr="00B618CC">
        <w:rPr>
          <w:rFonts w:ascii="Times New Roman" w:eastAsia="Times New Roman" w:hAnsi="Times New Roman" w:cs="Times New Roman"/>
          <w:sz w:val="24"/>
          <w:szCs w:val="24"/>
        </w:rPr>
        <w:t>top-three</w:t>
      </w:r>
      <w:proofErr w:type="gramEnd"/>
      <w:r w:rsidRPr="00B618CC">
        <w:rPr>
          <w:rFonts w:ascii="Times New Roman" w:eastAsia="Times New Roman" w:hAnsi="Times New Roman" w:cs="Times New Roman"/>
          <w:sz w:val="24"/>
          <w:szCs w:val="24"/>
        </w:rPr>
        <w:t xml:space="preserve"> probabilities were 0.87510, 0.57090, and 0.57090. The corresponding 95% simulated-rank intervals were 1–30 in colorectal cancer and 1–5 in both prostate cancer and RCC.</w:t>
      </w:r>
    </w:p>
    <w:p w14:paraId="19FC60BF"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Results S8. Complete DeLong pairwise comparisons</w:t>
      </w:r>
    </w:p>
    <w:p w14:paraId="0218521D"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Pairwise ROC-AUC comparisons for the broad </w:t>
      </w:r>
      <w:proofErr w:type="spellStart"/>
      <w:r w:rsidRPr="00B618CC">
        <w:rPr>
          <w:rFonts w:ascii="Times New Roman" w:eastAsia="Times New Roman" w:hAnsi="Times New Roman" w:cs="Times New Roman"/>
          <w:sz w:val="24"/>
          <w:szCs w:val="24"/>
        </w:rPr>
        <w:t>ChEMBL</w:t>
      </w:r>
      <w:proofErr w:type="spellEnd"/>
      <w:r w:rsidRPr="00B618CC">
        <w:rPr>
          <w:rFonts w:ascii="Times New Roman" w:eastAsia="Times New Roman" w:hAnsi="Times New Roman" w:cs="Times New Roman"/>
          <w:sz w:val="24"/>
          <w:szCs w:val="24"/>
        </w:rPr>
        <w:t xml:space="preserve"> active-synthetic-profile benchmark and descriptor-compatible MPO comparator benchmark were evaluated using DeLong analysis. Complete model-pair outputs included ΔAUC, standard error, z-statistic, p-value, and 95% confidence interval. Complete pairwise DeLong outputs are reported in Supplementary Tables S12 and S14.</w:t>
      </w:r>
    </w:p>
    <w:p w14:paraId="7A12C406" w14:textId="77777777" w:rsidR="00C15843" w:rsidRPr="00B618CC" w:rsidRDefault="00000000">
      <w:pPr>
        <w:spacing w:after="200" w:line="480" w:lineRule="auto"/>
        <w:rPr>
          <w:rFonts w:ascii="Times New Roman" w:eastAsia="Times New Roman" w:hAnsi="Times New Roman" w:cs="Times New Roman"/>
          <w:i/>
          <w:iCs/>
          <w:sz w:val="24"/>
          <w:szCs w:val="24"/>
        </w:rPr>
      </w:pPr>
      <w:r w:rsidRPr="00B618CC">
        <w:rPr>
          <w:rFonts w:ascii="Times New Roman" w:eastAsia="Times New Roman" w:hAnsi="Times New Roman" w:cs="Times New Roman"/>
          <w:b/>
          <w:bCs/>
          <w:sz w:val="24"/>
          <w:szCs w:val="24"/>
        </w:rPr>
        <w:t>Supplementary Results S9. Retrospective benchmark descriptor-space PCA</w:t>
      </w:r>
    </w:p>
    <w:p w14:paraId="3CF721CE" w14:textId="7D3AC39C" w:rsidR="00C15843" w:rsidRPr="00B618CC" w:rsidRDefault="00AC3696">
      <w:pPr>
        <w:spacing w:after="200" w:line="480" w:lineRule="auto"/>
        <w:rPr>
          <w:rFonts w:ascii="Times New Roman" w:eastAsia="Times New Roman" w:hAnsi="Times New Roman" w:cs="Times New Roman"/>
          <w:b/>
          <w:bCs/>
          <w:sz w:val="24"/>
          <w:szCs w:val="24"/>
        </w:rPr>
      </w:pPr>
      <w:r w:rsidRPr="00AC3696">
        <w:rPr>
          <w:rFonts w:ascii="Times New Roman" w:hAnsi="Times New Roman" w:cs="Times New Roman"/>
          <w:color w:val="000000"/>
          <w:sz w:val="24"/>
          <w:szCs w:val="24"/>
        </w:rPr>
        <w:lastRenderedPageBreak/>
        <w:t>The first two principal components explained 62.41% of the total variance, with 37.19% explained by PC1 and 25.23% by PC2.</w:t>
      </w:r>
      <w:r w:rsidRPr="00AC3696">
        <w:rPr>
          <w:rFonts w:ascii="Times New Roman" w:hAnsi="Times New Roman" w:cs="Times New Roman"/>
          <w:color w:val="000000"/>
          <w:sz w:val="24"/>
          <w:szCs w:val="24"/>
        </w:rPr>
        <w:t xml:space="preserve"> </w:t>
      </w:r>
      <w:r w:rsidR="00000000" w:rsidRPr="00AC3696">
        <w:rPr>
          <w:rFonts w:ascii="Times New Roman" w:eastAsia="Times New Roman" w:hAnsi="Times New Roman" w:cs="Times New Roman"/>
          <w:sz w:val="24"/>
          <w:szCs w:val="24"/>
        </w:rPr>
        <w:t>PCA loadings</w:t>
      </w:r>
      <w:r w:rsidR="00000000" w:rsidRPr="00B618CC">
        <w:rPr>
          <w:rFonts w:ascii="Times New Roman" w:eastAsia="Times New Roman" w:hAnsi="Times New Roman" w:cs="Times New Roman"/>
          <w:sz w:val="24"/>
          <w:szCs w:val="24"/>
        </w:rPr>
        <w:t>, primary boundary-stress compound coordinates, and explained-variance outputs are reported in Supplementary Table S20.</w:t>
      </w:r>
    </w:p>
    <w:p w14:paraId="6FD89D65"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641B296B"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0110E623"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00596E49"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01E8A863"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55908FFA"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25F04C20"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0EA53674"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7326B6E9"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2F440062"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5ECF6D1E"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5699F69B"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6B9688EC"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413C63FC"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44D489E5" w14:textId="77777777" w:rsidR="00C15843" w:rsidRPr="00B618CC" w:rsidRDefault="00000000">
      <w:pPr>
        <w:pStyle w:val="Heading1"/>
      </w:pPr>
      <w:bookmarkStart w:id="1" w:name="_jfd0syunk5ni" w:colFirst="0" w:colLast="0"/>
      <w:bookmarkEnd w:id="1"/>
      <w:r w:rsidRPr="00B618CC">
        <w:lastRenderedPageBreak/>
        <w:t>TABLES</w:t>
      </w:r>
    </w:p>
    <w:p w14:paraId="28BAFDBE" w14:textId="5215E6A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S1. Internal discovery-panel compound manifest and disease-panel membership.</w:t>
      </w:r>
      <w:r w:rsidRPr="00B618CC">
        <w:rPr>
          <w:rFonts w:ascii="Times New Roman" w:eastAsia="Times New Roman" w:hAnsi="Times New Roman" w:cs="Times New Roman"/>
          <w:b/>
          <w:bCs/>
          <w:sz w:val="24"/>
          <w:szCs w:val="24"/>
        </w:rPr>
        <w:br/>
      </w:r>
      <w:r w:rsidR="00AC3696" w:rsidRPr="00AC3696">
        <w:rPr>
          <w:rFonts w:ascii="Times New Roman" w:hAnsi="Times New Roman" w:cs="Times New Roman"/>
          <w:color w:val="000000"/>
          <w:sz w:val="24"/>
          <w:szCs w:val="24"/>
        </w:rPr>
        <w:t xml:space="preserve">This table reports the compounds included in each internal discovery panel together with normalized compound identifiers. Internal component scores and final ranks are reported separately in Supplementary Table S8A, with binding-node and ligand-efficiency diagnostics reported in Supplementary Tables S9A and S17A. </w:t>
      </w:r>
      <w:r w:rsidRPr="00AC3696">
        <w:rPr>
          <w:rFonts w:ascii="Times New Roman" w:eastAsia="Times New Roman" w:hAnsi="Times New Roman" w:cs="Times New Roman"/>
          <w:sz w:val="24"/>
          <w:szCs w:val="24"/>
        </w:rPr>
        <w:t>Provided as: Table_S1_internal_discovery_manifest.csv.</w:t>
      </w:r>
    </w:p>
    <w:p w14:paraId="28A53CEA"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 xml:space="preserve">Supplementary Table S2. Expanded </w:t>
      </w:r>
      <w:r w:rsidRPr="00B618CC">
        <w:rPr>
          <w:rFonts w:ascii="Times New Roman" w:eastAsia="Times New Roman" w:hAnsi="Times New Roman" w:cs="Times New Roman"/>
          <w:b/>
          <w:bCs/>
          <w:i/>
          <w:iCs/>
          <w:sz w:val="24"/>
          <w:szCs w:val="24"/>
        </w:rPr>
        <w:t>Annona muricata</w:t>
      </w:r>
      <w:r w:rsidRPr="00B618CC">
        <w:rPr>
          <w:rFonts w:ascii="Times New Roman" w:eastAsia="Times New Roman" w:hAnsi="Times New Roman" w:cs="Times New Roman"/>
          <w:b/>
          <w:bCs/>
          <w:sz w:val="24"/>
          <w:szCs w:val="24"/>
        </w:rPr>
        <w:t xml:space="preserve"> natural-product compound manifest.</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 xml:space="preserve">This table reports the expanded </w:t>
      </w:r>
      <w:r w:rsidRPr="00B618CC">
        <w:rPr>
          <w:rFonts w:ascii="Times New Roman" w:eastAsia="Times New Roman" w:hAnsi="Times New Roman" w:cs="Times New Roman"/>
          <w:i/>
          <w:iCs/>
          <w:sz w:val="24"/>
          <w:szCs w:val="24"/>
        </w:rPr>
        <w:t>A. muricata</w:t>
      </w:r>
      <w:r w:rsidRPr="00B618CC">
        <w:rPr>
          <w:rFonts w:ascii="Times New Roman" w:eastAsia="Times New Roman" w:hAnsi="Times New Roman" w:cs="Times New Roman"/>
          <w:sz w:val="24"/>
          <w:szCs w:val="24"/>
        </w:rPr>
        <w:t xml:space="preserve"> natural-product compound list, including compound names, SMILES/source fields, PubChem identifiers when available, inclusion status, and structure-reconciliation notes. Provided as: Table_S2_expanded_annona_compound_manifest.csv.</w:t>
      </w:r>
    </w:p>
    <w:p w14:paraId="661E9D25"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 xml:space="preserve">Supplementary Table S3. Expanded </w:t>
      </w:r>
      <w:r w:rsidRPr="00B618CC">
        <w:rPr>
          <w:rFonts w:ascii="Times New Roman" w:eastAsia="Times New Roman" w:hAnsi="Times New Roman" w:cs="Times New Roman"/>
          <w:b/>
          <w:bCs/>
          <w:i/>
          <w:iCs/>
          <w:sz w:val="24"/>
          <w:szCs w:val="24"/>
        </w:rPr>
        <w:t>Annona muricata</w:t>
      </w:r>
      <w:r w:rsidRPr="00B618CC">
        <w:rPr>
          <w:rFonts w:ascii="Times New Roman" w:eastAsia="Times New Roman" w:hAnsi="Times New Roman" w:cs="Times New Roman"/>
          <w:b/>
          <w:bCs/>
          <w:sz w:val="24"/>
          <w:szCs w:val="24"/>
        </w:rPr>
        <w:t xml:space="preserve"> docking-deployment matrix.</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 xml:space="preserve">This table reports the expanded </w:t>
      </w:r>
      <w:r w:rsidRPr="00B618CC">
        <w:rPr>
          <w:rFonts w:ascii="Times New Roman" w:eastAsia="Times New Roman" w:hAnsi="Times New Roman" w:cs="Times New Roman"/>
          <w:i/>
          <w:iCs/>
          <w:sz w:val="24"/>
          <w:szCs w:val="24"/>
        </w:rPr>
        <w:t>A. muricata</w:t>
      </w:r>
      <w:r w:rsidRPr="00B618CC">
        <w:rPr>
          <w:rFonts w:ascii="Times New Roman" w:eastAsia="Times New Roman" w:hAnsi="Times New Roman" w:cs="Times New Roman"/>
          <w:sz w:val="24"/>
          <w:szCs w:val="24"/>
        </w:rPr>
        <w:t xml:space="preserve"> docking deployment across ligand-target-grid combinations, including receptor and ligand files, grid definitions, docking status, best affinity values, runtime, and error fields where applicable. Provided as: Table_S3_expanded_annona_docking_deployment.csv.</w:t>
      </w:r>
    </w:p>
    <w:p w14:paraId="3F7F80DD" w14:textId="466FED5A"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S4. Retrospective benchmark compound manifest.</w:t>
      </w:r>
      <w:r w:rsidRPr="00B618CC">
        <w:rPr>
          <w:rFonts w:ascii="Times New Roman" w:eastAsia="Times New Roman" w:hAnsi="Times New Roman" w:cs="Times New Roman"/>
          <w:b/>
          <w:bCs/>
          <w:sz w:val="24"/>
          <w:szCs w:val="24"/>
        </w:rPr>
        <w:br/>
      </w:r>
      <w:r w:rsidR="00AC3696" w:rsidRPr="00AC3696">
        <w:rPr>
          <w:rFonts w:ascii="Times New Roman" w:hAnsi="Times New Roman" w:cs="Times New Roman"/>
          <w:color w:val="000000"/>
          <w:sz w:val="24"/>
          <w:szCs w:val="24"/>
        </w:rPr>
        <w:t xml:space="preserve">Table S4A reports the frozen 15-compound primary boundary-stress benchmark, including benchmark-group assignments, curated liability annotations, and inclusion rationale. Table S4B </w:t>
      </w:r>
      <w:r w:rsidR="00AC3696" w:rsidRPr="00AC3696">
        <w:rPr>
          <w:rFonts w:ascii="Times New Roman" w:hAnsi="Times New Roman" w:cs="Times New Roman"/>
          <w:color w:val="000000"/>
          <w:sz w:val="24"/>
          <w:szCs w:val="24"/>
        </w:rPr>
        <w:lastRenderedPageBreak/>
        <w:t>reports the corresponding 15-compound primary structure inventory, including compound class, benchmark role, analysis SMILES, and structure source. Provided as: Table_S4A_retrospective_benchmark_manifest_PRIMARY.csv and Table_S4B_retrospective_primary_structure_inventory.csv.</w:t>
      </w:r>
    </w:p>
    <w:p w14:paraId="197F71C2" w14:textId="417E1255"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S5. Target/PDB master table.</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This table reports the disease-panel targets, PDB structures, docking-site definitions, validation status, native ligand availability, grid-center sensitivity status, and target rationale used in the docking workflow. Provided as: Table_S5_target_pdb_master.csv.</w:t>
      </w:r>
    </w:p>
    <w:p w14:paraId="493BE04A"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S6. Redocking and reference-calibration table.</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This table reports redocking validation outcomes, strict top-pose recovery, generated-mode recovery, RMSD values, reference docking energies, and the reference-calibration status used for target-level binding desirability. Provided as: Table_S6_redocking_reference_calibration.csv.</w:t>
      </w:r>
    </w:p>
    <w:p w14:paraId="1918554C"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S7. Internal target-level docking and grid-center audit.</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This table reports target-level docking summaries for the internal discovery-panel compounds, including best, median, mean, standard deviation, interquartile range, reference-calibrated binding desirability, and ligand-efficiency fields. Provided as: Table_S7_internal_target_level_grid_audit.csv.</w:t>
      </w:r>
    </w:p>
    <w:p w14:paraId="558CF2FD"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Table S8. Final SWAN-MPO scores and ranks.</w:t>
      </w:r>
    </w:p>
    <w:p w14:paraId="1B52BE76"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sz w:val="24"/>
          <w:szCs w:val="24"/>
        </w:rPr>
        <w:t xml:space="preserve">This table family reports the final SWAN-MPO scoring outputs. Table S8A reports internal discovery-panel scores and ranks, including safety, ADME, liability,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binding, Top2Node, Breadth, ligand-efficiency-adjusted scores, and associated rank-shift fields. Table </w:t>
      </w:r>
      <w:r w:rsidRPr="00B618CC">
        <w:rPr>
          <w:rFonts w:ascii="Times New Roman" w:eastAsia="Times New Roman" w:hAnsi="Times New Roman" w:cs="Times New Roman"/>
          <w:sz w:val="24"/>
          <w:szCs w:val="24"/>
        </w:rPr>
        <w:lastRenderedPageBreak/>
        <w:t xml:space="preserve">S8B reports the final panel-level outputs for the completed 59-compound </w:t>
      </w:r>
      <w:r w:rsidRPr="00B618CC">
        <w:rPr>
          <w:rFonts w:ascii="Times New Roman" w:eastAsia="Times New Roman" w:hAnsi="Times New Roman" w:cs="Times New Roman"/>
          <w:i/>
          <w:iCs/>
          <w:sz w:val="24"/>
          <w:szCs w:val="24"/>
        </w:rPr>
        <w:t xml:space="preserve">A. muricata </w:t>
      </w:r>
      <w:r w:rsidRPr="00B618CC">
        <w:rPr>
          <w:rFonts w:ascii="Times New Roman" w:eastAsia="Times New Roman" w:hAnsi="Times New Roman" w:cs="Times New Roman"/>
          <w:sz w:val="24"/>
          <w:szCs w:val="24"/>
        </w:rPr>
        <w:t xml:space="preserve">screen across the colorectal, prostate, and RCC panels, including selected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target,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binding desirability, safety, ADME, liability,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score, binding-only rank, and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rank. Provided as: Table_S8A_internal_final_SWAN_scores.csv and Table_S8B_expanded_library_final_SWAN_scores.csv.</w:t>
      </w:r>
    </w:p>
    <w:p w14:paraId="50617395"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 xml:space="preserve">Supplementary Table S9. </w:t>
      </w:r>
      <w:proofErr w:type="spellStart"/>
      <w:r w:rsidRPr="00B618CC">
        <w:rPr>
          <w:rFonts w:ascii="Times New Roman" w:eastAsia="Times New Roman" w:hAnsi="Times New Roman" w:cs="Times New Roman"/>
          <w:b/>
          <w:bCs/>
          <w:sz w:val="24"/>
          <w:szCs w:val="24"/>
        </w:rPr>
        <w:t>BestNode</w:t>
      </w:r>
      <w:proofErr w:type="spellEnd"/>
      <w:r w:rsidRPr="00B618CC">
        <w:rPr>
          <w:rFonts w:ascii="Times New Roman" w:eastAsia="Times New Roman" w:hAnsi="Times New Roman" w:cs="Times New Roman"/>
          <w:b/>
          <w:bCs/>
          <w:sz w:val="24"/>
          <w:szCs w:val="24"/>
        </w:rPr>
        <w:t>, Top2Node, and Breadth diagnostics.</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 xml:space="preserve">Table S9A reports internal discovery-panel binding diagnostics, and Table S9B reports the corresponding expanded-library diagnostics. Reported fields include selected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target, second-best node, best-to-second ratio, Top2Node binding, Breadth binding, isolated-node annotations, and associated SWAN scores and ranks where applicable. Provided as: Table_S9A_internal_bestnode_top2_breadth_diagnostics.csv and Table_S9B_expanded_bestnode_top2_breadth_diagnostics.csv.</w:t>
      </w:r>
    </w:p>
    <w:p w14:paraId="459BF63E"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S10. QED/simple-MPO Kendall rank-agreement analysis.</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This table reports Kendall rank-agreement comparisons between SWAN-MPO and simpler comparator scoring schemes across internal disease panels. Provided as: Table_S10_kendall_rank_agreement.csv.</w:t>
      </w:r>
    </w:p>
    <w:p w14:paraId="0B427D92" w14:textId="77777777" w:rsidR="00C15843" w:rsidRPr="00B618CC" w:rsidRDefault="00000000">
      <w:pPr>
        <w:spacing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 xml:space="preserve">Supplementary Table S11. Broad </w:t>
      </w:r>
      <w:proofErr w:type="spellStart"/>
      <w:r w:rsidRPr="00B618CC">
        <w:rPr>
          <w:rFonts w:ascii="Times New Roman" w:eastAsia="Times New Roman" w:hAnsi="Times New Roman" w:cs="Times New Roman"/>
          <w:b/>
          <w:bCs/>
          <w:sz w:val="24"/>
          <w:szCs w:val="24"/>
        </w:rPr>
        <w:t>ChEMBL</w:t>
      </w:r>
      <w:proofErr w:type="spellEnd"/>
      <w:r w:rsidRPr="00B618CC">
        <w:rPr>
          <w:rFonts w:ascii="Times New Roman" w:eastAsia="Times New Roman" w:hAnsi="Times New Roman" w:cs="Times New Roman"/>
          <w:b/>
          <w:bCs/>
          <w:sz w:val="24"/>
          <w:szCs w:val="24"/>
        </w:rPr>
        <w:t xml:space="preserve"> active–synthetic-profile benchmark metrics.</w:t>
      </w:r>
    </w:p>
    <w:p w14:paraId="10D803BD" w14:textId="77777777" w:rsidR="00C15843" w:rsidRPr="00B618CC" w:rsidRDefault="00000000">
      <w:pPr>
        <w:spacing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This table reports ROC-AUC, BEDROC α = 20, EF@1%, EF@5%, and cohort counts for SWAN-MPO, binding-only, and ADME-only scoring in the benchmark of 1,097 natural-product-like </w:t>
      </w:r>
      <w:proofErr w:type="spellStart"/>
      <w:r w:rsidRPr="00B618CC">
        <w:rPr>
          <w:rFonts w:ascii="Times New Roman" w:eastAsia="Times New Roman" w:hAnsi="Times New Roman" w:cs="Times New Roman"/>
          <w:sz w:val="24"/>
          <w:szCs w:val="24"/>
        </w:rPr>
        <w:t>ChEMBL</w:t>
      </w:r>
      <w:proofErr w:type="spellEnd"/>
      <w:r w:rsidRPr="00B618CC">
        <w:rPr>
          <w:rFonts w:ascii="Times New Roman" w:eastAsia="Times New Roman" w:hAnsi="Times New Roman" w:cs="Times New Roman"/>
          <w:sz w:val="24"/>
          <w:szCs w:val="24"/>
        </w:rPr>
        <w:t xml:space="preserve"> actives and 3,291 synthetic descriptor profiles. Of the 1,097 actives, 770 had observed </w:t>
      </w:r>
      <w:proofErr w:type="spellStart"/>
      <w:r w:rsidRPr="00B618CC">
        <w:rPr>
          <w:rFonts w:ascii="Times New Roman" w:eastAsia="Times New Roman" w:hAnsi="Times New Roman" w:cs="Times New Roman"/>
          <w:sz w:val="24"/>
          <w:szCs w:val="24"/>
        </w:rPr>
        <w:t>pChEMBL</w:t>
      </w:r>
      <w:proofErr w:type="spellEnd"/>
      <w:r w:rsidRPr="00B618CC">
        <w:rPr>
          <w:rFonts w:ascii="Times New Roman" w:eastAsia="Times New Roman" w:hAnsi="Times New Roman" w:cs="Times New Roman"/>
          <w:sz w:val="24"/>
          <w:szCs w:val="24"/>
        </w:rPr>
        <w:t xml:space="preserve"> values and 327 received a neutral binding desirability of 0.50 because no comparable </w:t>
      </w:r>
      <w:proofErr w:type="spellStart"/>
      <w:r w:rsidRPr="00B618CC">
        <w:rPr>
          <w:rFonts w:ascii="Times New Roman" w:eastAsia="Times New Roman" w:hAnsi="Times New Roman" w:cs="Times New Roman"/>
          <w:sz w:val="24"/>
          <w:szCs w:val="24"/>
        </w:rPr>
        <w:t>pChEMBL</w:t>
      </w:r>
      <w:proofErr w:type="spellEnd"/>
      <w:r w:rsidRPr="00B618CC">
        <w:rPr>
          <w:rFonts w:ascii="Times New Roman" w:eastAsia="Times New Roman" w:hAnsi="Times New Roman" w:cs="Times New Roman"/>
          <w:sz w:val="24"/>
          <w:szCs w:val="24"/>
        </w:rPr>
        <w:t xml:space="preserve"> value was available. Safety and liability </w:t>
      </w:r>
      <w:proofErr w:type="spellStart"/>
      <w:r w:rsidRPr="00B618CC">
        <w:rPr>
          <w:rFonts w:ascii="Times New Roman" w:eastAsia="Times New Roman" w:hAnsi="Times New Roman" w:cs="Times New Roman"/>
          <w:sz w:val="24"/>
          <w:szCs w:val="24"/>
        </w:rPr>
        <w:t>desirabilities</w:t>
      </w:r>
      <w:proofErr w:type="spellEnd"/>
      <w:r w:rsidRPr="00B618CC">
        <w:rPr>
          <w:rFonts w:ascii="Times New Roman" w:eastAsia="Times New Roman" w:hAnsi="Times New Roman" w:cs="Times New Roman"/>
          <w:sz w:val="24"/>
          <w:szCs w:val="24"/>
        </w:rPr>
        <w:t xml:space="preserve"> were held </w:t>
      </w:r>
      <w:r w:rsidRPr="00B618CC">
        <w:rPr>
          <w:rFonts w:ascii="Times New Roman" w:eastAsia="Times New Roman" w:hAnsi="Times New Roman" w:cs="Times New Roman"/>
          <w:sz w:val="24"/>
          <w:szCs w:val="24"/>
        </w:rPr>
        <w:lastRenderedPageBreak/>
        <w:t>constant across classes and therefore contributed no class-specific discriminatory information. Provided as:</w:t>
      </w:r>
      <w:r w:rsidRPr="00B618CC">
        <w:rPr>
          <w:rFonts w:ascii="Times New Roman" w:eastAsia="Times New Roman" w:hAnsi="Times New Roman" w:cs="Times New Roman"/>
          <w:sz w:val="24"/>
          <w:szCs w:val="24"/>
        </w:rPr>
        <w:br/>
        <w:t>Table_S11_broad_ChEMBL_metrics.csv.</w:t>
      </w:r>
    </w:p>
    <w:p w14:paraId="4A1417E4" w14:textId="77777777" w:rsidR="00C15843" w:rsidRPr="00B618CC" w:rsidRDefault="00000000">
      <w:pPr>
        <w:spacing w:before="20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 xml:space="preserve">Supplementary Table S12. Broad </w:t>
      </w:r>
      <w:proofErr w:type="spellStart"/>
      <w:r w:rsidRPr="00B618CC">
        <w:rPr>
          <w:rFonts w:ascii="Times New Roman" w:eastAsia="Times New Roman" w:hAnsi="Times New Roman" w:cs="Times New Roman"/>
          <w:b/>
          <w:bCs/>
          <w:sz w:val="24"/>
          <w:szCs w:val="24"/>
        </w:rPr>
        <w:t>ChEMBL</w:t>
      </w:r>
      <w:proofErr w:type="spellEnd"/>
      <w:r w:rsidRPr="00B618CC">
        <w:rPr>
          <w:rFonts w:ascii="Times New Roman" w:eastAsia="Times New Roman" w:hAnsi="Times New Roman" w:cs="Times New Roman"/>
          <w:b/>
          <w:bCs/>
          <w:sz w:val="24"/>
          <w:szCs w:val="24"/>
        </w:rPr>
        <w:t xml:space="preserve"> active–synthetic-profile DeLong comparisons.</w:t>
      </w:r>
    </w:p>
    <w:p w14:paraId="7FE56270" w14:textId="77777777" w:rsidR="00C15843" w:rsidRPr="00B618CC" w:rsidRDefault="00000000">
      <w:pPr>
        <w:spacing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 xml:space="preserve">This table reports pairwise DeLong comparisons among SWAN-MPO, binding-only, and ADME-only ROC-AUC values in the broad </w:t>
      </w:r>
      <w:proofErr w:type="spellStart"/>
      <w:r w:rsidRPr="00B618CC">
        <w:rPr>
          <w:rFonts w:ascii="Times New Roman" w:eastAsia="Times New Roman" w:hAnsi="Times New Roman" w:cs="Times New Roman"/>
          <w:sz w:val="24"/>
          <w:szCs w:val="24"/>
        </w:rPr>
        <w:t>ChEMBL</w:t>
      </w:r>
      <w:proofErr w:type="spellEnd"/>
      <w:r w:rsidRPr="00B618CC">
        <w:rPr>
          <w:rFonts w:ascii="Times New Roman" w:eastAsia="Times New Roman" w:hAnsi="Times New Roman" w:cs="Times New Roman"/>
          <w:sz w:val="24"/>
          <w:szCs w:val="24"/>
        </w:rPr>
        <w:t xml:space="preserve"> active–synthetic-profile benchmark, including AUC differences, standard errors, z-statistics, p-values, and 95% confidence intervals. Provided as: Table_S12_broad_ChEMBL_DeLong_pairwise_comparisons.csv.</w:t>
      </w:r>
    </w:p>
    <w:p w14:paraId="1DFE5003" w14:textId="5713812A"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 xml:space="preserve">Supplementary Table S13. Target-matched </w:t>
      </w:r>
      <w:proofErr w:type="spellStart"/>
      <w:r w:rsidRPr="00B618CC">
        <w:rPr>
          <w:rFonts w:ascii="Times New Roman" w:eastAsia="Times New Roman" w:hAnsi="Times New Roman" w:cs="Times New Roman"/>
          <w:b/>
          <w:bCs/>
          <w:sz w:val="24"/>
          <w:szCs w:val="24"/>
        </w:rPr>
        <w:t>ChEMBL</w:t>
      </w:r>
      <w:proofErr w:type="spellEnd"/>
      <w:r w:rsidRPr="00B618CC">
        <w:rPr>
          <w:rFonts w:ascii="Times New Roman" w:eastAsia="Times New Roman" w:hAnsi="Times New Roman" w:cs="Times New Roman"/>
          <w:b/>
          <w:bCs/>
          <w:sz w:val="24"/>
          <w:szCs w:val="24"/>
        </w:rPr>
        <w:t xml:space="preserve"> descriptor-proxy benchmark.</w:t>
      </w:r>
      <w:r w:rsidRPr="00B618CC">
        <w:rPr>
          <w:rFonts w:ascii="Times New Roman" w:eastAsia="Times New Roman" w:hAnsi="Times New Roman" w:cs="Times New Roman"/>
          <w:b/>
          <w:bCs/>
          <w:sz w:val="24"/>
          <w:szCs w:val="24"/>
        </w:rPr>
        <w:br/>
      </w:r>
      <w:r w:rsidR="00EF2E35" w:rsidRPr="00EF2E35">
        <w:rPr>
          <w:rFonts w:ascii="Times New Roman" w:hAnsi="Times New Roman" w:cs="Times New Roman"/>
          <w:color w:val="000000"/>
          <w:sz w:val="24"/>
          <w:szCs w:val="24"/>
        </w:rPr>
        <w:t xml:space="preserve">This table family reports the target-matched </w:t>
      </w:r>
      <w:proofErr w:type="spellStart"/>
      <w:r w:rsidR="00EF2E35" w:rsidRPr="00EF2E35">
        <w:rPr>
          <w:rFonts w:ascii="Times New Roman" w:hAnsi="Times New Roman" w:cs="Times New Roman"/>
          <w:color w:val="000000"/>
          <w:sz w:val="24"/>
          <w:szCs w:val="24"/>
        </w:rPr>
        <w:t>ChEMBL</w:t>
      </w:r>
      <w:proofErr w:type="spellEnd"/>
      <w:r w:rsidR="00EF2E35" w:rsidRPr="00EF2E35">
        <w:rPr>
          <w:rFonts w:ascii="Times New Roman" w:hAnsi="Times New Roman" w:cs="Times New Roman"/>
          <w:color w:val="000000"/>
          <w:sz w:val="24"/>
          <w:szCs w:val="24"/>
        </w:rPr>
        <w:t xml:space="preserve"> analysis of the ADME proxy, </w:t>
      </w:r>
      <w:proofErr w:type="spellStart"/>
      <w:r w:rsidR="00EF2E35" w:rsidRPr="00EF2E35">
        <w:rPr>
          <w:rFonts w:ascii="Times New Roman" w:hAnsi="Times New Roman" w:cs="Times New Roman"/>
          <w:color w:val="000000"/>
          <w:sz w:val="24"/>
          <w:szCs w:val="24"/>
        </w:rPr>
        <w:t>RDKit</w:t>
      </w:r>
      <w:proofErr w:type="spellEnd"/>
      <w:r w:rsidR="00EF2E35" w:rsidRPr="00EF2E35">
        <w:rPr>
          <w:rFonts w:ascii="Times New Roman" w:hAnsi="Times New Roman" w:cs="Times New Roman"/>
          <w:color w:val="000000"/>
          <w:sz w:val="24"/>
          <w:szCs w:val="24"/>
        </w:rPr>
        <w:t>-derived liability proxy, and combined ADME-plus-liability proxy for discrimination between active and weak/inactive records. The machine-readable fields</w:t>
      </w:r>
      <w:r w:rsidR="00EF2E35" w:rsidRPr="00EF2E35">
        <w:rPr>
          <w:rStyle w:val="apple-converted-space"/>
          <w:rFonts w:ascii="Times New Roman" w:hAnsi="Times New Roman" w:cs="Times New Roman"/>
          <w:color w:val="000000"/>
          <w:sz w:val="24"/>
          <w:szCs w:val="24"/>
        </w:rPr>
        <w:t> </w:t>
      </w:r>
      <w:proofErr w:type="spellStart"/>
      <w:r w:rsidR="00EF2E35" w:rsidRPr="00EF2E35">
        <w:rPr>
          <w:rStyle w:val="HTMLCode"/>
          <w:rFonts w:ascii="Times New Roman" w:eastAsia="Arial" w:hAnsi="Times New Roman" w:cs="Times New Roman"/>
          <w:color w:val="000000"/>
          <w:sz w:val="24"/>
          <w:szCs w:val="24"/>
        </w:rPr>
        <w:t>d_safety_proxy</w:t>
      </w:r>
      <w:proofErr w:type="spellEnd"/>
      <w:r w:rsidR="00EF2E35" w:rsidRPr="00EF2E35">
        <w:rPr>
          <w:rStyle w:val="apple-converted-space"/>
          <w:rFonts w:ascii="Times New Roman" w:hAnsi="Times New Roman" w:cs="Times New Roman"/>
          <w:color w:val="000000"/>
          <w:sz w:val="24"/>
          <w:szCs w:val="24"/>
        </w:rPr>
        <w:t> </w:t>
      </w:r>
      <w:r w:rsidR="00EF2E35" w:rsidRPr="00EF2E35">
        <w:rPr>
          <w:rFonts w:ascii="Times New Roman" w:hAnsi="Times New Roman" w:cs="Times New Roman"/>
          <w:color w:val="000000"/>
          <w:sz w:val="24"/>
          <w:szCs w:val="24"/>
        </w:rPr>
        <w:t>and</w:t>
      </w:r>
      <w:r w:rsidR="00EF2E35" w:rsidRPr="00EF2E35">
        <w:rPr>
          <w:rStyle w:val="apple-converted-space"/>
          <w:rFonts w:ascii="Times New Roman" w:hAnsi="Times New Roman" w:cs="Times New Roman"/>
          <w:color w:val="000000"/>
          <w:sz w:val="24"/>
          <w:szCs w:val="24"/>
        </w:rPr>
        <w:t> </w:t>
      </w:r>
      <w:proofErr w:type="spellStart"/>
      <w:r w:rsidR="00EF2E35" w:rsidRPr="00EF2E35">
        <w:rPr>
          <w:rStyle w:val="HTMLCode"/>
          <w:rFonts w:ascii="Times New Roman" w:eastAsia="Arial" w:hAnsi="Times New Roman" w:cs="Times New Roman"/>
          <w:color w:val="000000"/>
          <w:sz w:val="24"/>
          <w:szCs w:val="24"/>
        </w:rPr>
        <w:t>d_adme_safety_proxy</w:t>
      </w:r>
      <w:proofErr w:type="spellEnd"/>
      <w:r w:rsidR="00EF2E35" w:rsidRPr="00EF2E35">
        <w:rPr>
          <w:rStyle w:val="apple-converted-space"/>
          <w:rFonts w:ascii="Times New Roman" w:hAnsi="Times New Roman" w:cs="Times New Roman"/>
          <w:color w:val="000000"/>
          <w:sz w:val="24"/>
          <w:szCs w:val="24"/>
        </w:rPr>
        <w:t> </w:t>
      </w:r>
      <w:r w:rsidR="00EF2E35" w:rsidRPr="00EF2E35">
        <w:rPr>
          <w:rFonts w:ascii="Times New Roman" w:hAnsi="Times New Roman" w:cs="Times New Roman"/>
          <w:color w:val="000000"/>
          <w:sz w:val="24"/>
          <w:szCs w:val="24"/>
        </w:rPr>
        <w:t>retain their original implementation names for reproducibility; however,</w:t>
      </w:r>
      <w:r w:rsidR="00EF2E35" w:rsidRPr="00EF2E35">
        <w:rPr>
          <w:rStyle w:val="apple-converted-space"/>
          <w:rFonts w:ascii="Times New Roman" w:hAnsi="Times New Roman" w:cs="Times New Roman"/>
          <w:color w:val="000000"/>
          <w:sz w:val="24"/>
          <w:szCs w:val="24"/>
        </w:rPr>
        <w:t> </w:t>
      </w:r>
      <w:proofErr w:type="spellStart"/>
      <w:r w:rsidR="00EF2E35" w:rsidRPr="00EF2E35">
        <w:rPr>
          <w:rStyle w:val="HTMLCode"/>
          <w:rFonts w:ascii="Times New Roman" w:eastAsia="Arial" w:hAnsi="Times New Roman" w:cs="Times New Roman"/>
          <w:color w:val="000000"/>
          <w:sz w:val="24"/>
          <w:szCs w:val="24"/>
        </w:rPr>
        <w:t>d_safety_proxy</w:t>
      </w:r>
      <w:proofErr w:type="spellEnd"/>
      <w:r w:rsidR="00EF2E35" w:rsidRPr="00EF2E35">
        <w:rPr>
          <w:rStyle w:val="apple-converted-space"/>
          <w:rFonts w:ascii="Times New Roman" w:hAnsi="Times New Roman" w:cs="Times New Roman"/>
          <w:color w:val="000000"/>
          <w:sz w:val="24"/>
          <w:szCs w:val="24"/>
        </w:rPr>
        <w:t> </w:t>
      </w:r>
      <w:r w:rsidR="00EF2E35" w:rsidRPr="00EF2E35">
        <w:rPr>
          <w:rFonts w:ascii="Times New Roman" w:hAnsi="Times New Roman" w:cs="Times New Roman"/>
          <w:color w:val="000000"/>
          <w:sz w:val="24"/>
          <w:szCs w:val="24"/>
        </w:rPr>
        <w:t xml:space="preserve">represents the </w:t>
      </w:r>
      <w:proofErr w:type="spellStart"/>
      <w:r w:rsidR="00EF2E35" w:rsidRPr="00EF2E35">
        <w:rPr>
          <w:rFonts w:ascii="Times New Roman" w:hAnsi="Times New Roman" w:cs="Times New Roman"/>
          <w:color w:val="000000"/>
          <w:sz w:val="24"/>
          <w:szCs w:val="24"/>
        </w:rPr>
        <w:t>RDKit</w:t>
      </w:r>
      <w:proofErr w:type="spellEnd"/>
      <w:r w:rsidR="00EF2E35" w:rsidRPr="00EF2E35">
        <w:rPr>
          <w:rFonts w:ascii="Times New Roman" w:hAnsi="Times New Roman" w:cs="Times New Roman"/>
          <w:color w:val="000000"/>
          <w:sz w:val="24"/>
          <w:szCs w:val="24"/>
        </w:rPr>
        <w:t xml:space="preserve">-derived liability proxy used in this component benchmark rather than a </w:t>
      </w:r>
      <w:proofErr w:type="spellStart"/>
      <w:r w:rsidR="00EF2E35" w:rsidRPr="00EF2E35">
        <w:rPr>
          <w:rFonts w:ascii="Times New Roman" w:hAnsi="Times New Roman" w:cs="Times New Roman"/>
          <w:color w:val="000000"/>
          <w:sz w:val="24"/>
          <w:szCs w:val="24"/>
        </w:rPr>
        <w:t>ProTox</w:t>
      </w:r>
      <w:proofErr w:type="spellEnd"/>
      <w:r w:rsidR="00EF2E35" w:rsidRPr="00EF2E35">
        <w:rPr>
          <w:rFonts w:ascii="Times New Roman" w:hAnsi="Times New Roman" w:cs="Times New Roman"/>
          <w:color w:val="000000"/>
          <w:sz w:val="24"/>
          <w:szCs w:val="24"/>
        </w:rPr>
        <w:t>-based toxicity score. Reported outputs include class counts, ROC-AUC, BEDROC α = 20, EF@1%, EF@5%, target-level performance where applicable, and the underlying descriptor records used for proxy scoring.</w:t>
      </w:r>
      <w:r w:rsidR="00EF2E35" w:rsidRPr="00EF2E35">
        <w:rPr>
          <w:rFonts w:ascii="Times New Roman" w:hAnsi="Times New Roman" w:cs="Times New Roman"/>
          <w:color w:val="000000"/>
          <w:sz w:val="24"/>
          <w:szCs w:val="24"/>
        </w:rPr>
        <w:t xml:space="preserve"> </w:t>
      </w:r>
      <w:r w:rsidRPr="00B618CC">
        <w:rPr>
          <w:rFonts w:ascii="Times New Roman" w:eastAsia="Times New Roman" w:hAnsi="Times New Roman" w:cs="Times New Roman"/>
          <w:sz w:val="24"/>
          <w:szCs w:val="24"/>
        </w:rPr>
        <w:t>Provided as: Table_S13</w:t>
      </w:r>
      <w:r w:rsidR="00836581" w:rsidRPr="00B618CC">
        <w:rPr>
          <w:rFonts w:ascii="Times New Roman" w:eastAsia="Times New Roman" w:hAnsi="Times New Roman" w:cs="Times New Roman"/>
          <w:sz w:val="24"/>
          <w:szCs w:val="24"/>
        </w:rPr>
        <w:t>A</w:t>
      </w:r>
      <w:r w:rsidRPr="00B618CC">
        <w:rPr>
          <w:rFonts w:ascii="Times New Roman" w:eastAsia="Times New Roman" w:hAnsi="Times New Roman" w:cs="Times New Roman"/>
          <w:sz w:val="24"/>
          <w:szCs w:val="24"/>
        </w:rPr>
        <w:t>_target_matched_ChEMBL_metrics_by_target.csv and Table_S13</w:t>
      </w:r>
      <w:r w:rsidR="00836581" w:rsidRPr="00B618CC">
        <w:rPr>
          <w:rFonts w:ascii="Times New Roman" w:eastAsia="Times New Roman" w:hAnsi="Times New Roman" w:cs="Times New Roman"/>
          <w:sz w:val="24"/>
          <w:szCs w:val="24"/>
        </w:rPr>
        <w:t>B</w:t>
      </w:r>
      <w:r w:rsidRPr="00B618CC">
        <w:rPr>
          <w:rFonts w:ascii="Times New Roman" w:eastAsia="Times New Roman" w:hAnsi="Times New Roman" w:cs="Times New Roman"/>
          <w:sz w:val="24"/>
          <w:szCs w:val="24"/>
        </w:rPr>
        <w:t>_target_matched_ChEMBL_raw_descriptor_data.csv.</w:t>
      </w:r>
    </w:p>
    <w:p w14:paraId="4050372A" w14:textId="231F5666"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S14. Descriptor-compatible MPO and drug-likeness comparator benchmark.</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 xml:space="preserve">This table family reports shared-descriptor benchmark results for the descriptor-compatible </w:t>
      </w:r>
      <w:r w:rsidRPr="00B618CC">
        <w:rPr>
          <w:rFonts w:ascii="Times New Roman" w:eastAsia="Times New Roman" w:hAnsi="Times New Roman" w:cs="Times New Roman"/>
          <w:sz w:val="24"/>
          <w:szCs w:val="24"/>
        </w:rPr>
        <w:lastRenderedPageBreak/>
        <w:t xml:space="preserve">SWAN variant, CNS-MPO-inspired oncology proxy, </w:t>
      </w:r>
      <w:r w:rsidR="003528F8">
        <w:rPr>
          <w:rFonts w:ascii="Times New Roman" w:eastAsia="Times New Roman" w:hAnsi="Times New Roman" w:cs="Times New Roman"/>
          <w:sz w:val="24"/>
          <w:szCs w:val="24"/>
        </w:rPr>
        <w:t>LE-QED</w:t>
      </w:r>
      <w:r w:rsidR="00D16073">
        <w:rPr>
          <w:rFonts w:ascii="Times New Roman" w:eastAsia="Times New Roman" w:hAnsi="Times New Roman" w:cs="Times New Roman"/>
          <w:sz w:val="24"/>
          <w:szCs w:val="24"/>
        </w:rPr>
        <w:t xml:space="preserve"> composite</w:t>
      </w:r>
      <w:r w:rsidRPr="00B618CC">
        <w:rPr>
          <w:rFonts w:ascii="Times New Roman" w:eastAsia="Times New Roman" w:hAnsi="Times New Roman" w:cs="Times New Roman"/>
          <w:sz w:val="24"/>
          <w:szCs w:val="24"/>
        </w:rPr>
        <w:t xml:space="preserve"> proxy, QED, and QEPPI-inspired proxy, including ROC-AUC, BEDROC α = 20, EF@1%, EF@5%, pairwise DeLong comparisons, and compound-level scores. The adapted comparator implementations were evaluated in a common descriptor space and do not reproduce either the complete target-calibrated SWAN-MPO workflow or the original published use cases of the comparator frameworks. Provided as: Table_S14A_MPO_comparator_metrics.csv, Table_S14B_MPO_comparator_DeLong.csv, and Table_S14C_MPO_comparator_compound_level_scores.csv.</w:t>
      </w:r>
    </w:p>
    <w:p w14:paraId="60612950"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S15. Curated retrospective benchmark scores.</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 xml:space="preserve">This table reports the corrected panel-specific scores for the 15 primary boundary-stress compounds across the colorectal, prostate, and RCC panels, including benchmark group, selected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target,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binding desirability, safety, ADME, raw and curated liability </w:t>
      </w:r>
      <w:proofErr w:type="spellStart"/>
      <w:r w:rsidRPr="00B618CC">
        <w:rPr>
          <w:rFonts w:ascii="Times New Roman" w:eastAsia="Times New Roman" w:hAnsi="Times New Roman" w:cs="Times New Roman"/>
          <w:sz w:val="24"/>
          <w:szCs w:val="24"/>
        </w:rPr>
        <w:t>desirabilities</w:t>
      </w:r>
      <w:proofErr w:type="spellEnd"/>
      <w:r w:rsidRPr="00B618CC">
        <w:rPr>
          <w:rFonts w:ascii="Times New Roman" w:eastAsia="Times New Roman" w:hAnsi="Times New Roman" w:cs="Times New Roman"/>
          <w:sz w:val="24"/>
          <w:szCs w:val="24"/>
        </w:rPr>
        <w:t>, raw and curated SWAN-</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scores, and corresponding ranks. Provided as: Table_S15_curated_retrospective_scores.csv.</w:t>
      </w:r>
    </w:p>
    <w:p w14:paraId="0A7AC0DA" w14:textId="3E7F6CF5"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 xml:space="preserve">Supplementary Table S16. Curated-liability ablation </w:t>
      </w:r>
      <w:r w:rsidR="00AC3696">
        <w:rPr>
          <w:rFonts w:ascii="Times New Roman" w:eastAsia="Times New Roman" w:hAnsi="Times New Roman" w:cs="Times New Roman"/>
          <w:b/>
          <w:bCs/>
          <w:sz w:val="24"/>
          <w:szCs w:val="24"/>
        </w:rPr>
        <w:t>summary</w:t>
      </w:r>
      <w:r w:rsidRPr="00B618CC">
        <w:rPr>
          <w:rFonts w:ascii="Times New Roman" w:eastAsia="Times New Roman" w:hAnsi="Times New Roman" w:cs="Times New Roman"/>
          <w:b/>
          <w:bCs/>
          <w:sz w:val="24"/>
          <w:szCs w:val="24"/>
        </w:rPr>
        <w:t>.</w:t>
      </w:r>
      <w:r w:rsidRPr="00B618CC">
        <w:rPr>
          <w:rFonts w:ascii="Times New Roman" w:eastAsia="Times New Roman" w:hAnsi="Times New Roman" w:cs="Times New Roman"/>
          <w:b/>
          <w:bCs/>
          <w:sz w:val="24"/>
          <w:szCs w:val="24"/>
        </w:rPr>
        <w:br/>
      </w:r>
      <w:r w:rsidR="00AC3696" w:rsidRPr="00AC3696">
        <w:rPr>
          <w:rFonts w:ascii="Times New Roman" w:hAnsi="Times New Roman" w:cs="Times New Roman"/>
          <w:color w:val="000000"/>
          <w:sz w:val="24"/>
          <w:szCs w:val="24"/>
        </w:rPr>
        <w:t>This table reports one row per curated-liability ablation variant across the frozen 15-compound primary boundary-stress benchmark, including ablation scope, affected compound where applicable, ROC-AUC, BEDROC α = 20, score range, and metric basis. Provided as: Table_S16_curated_liability_ablation_summary.csv.</w:t>
      </w:r>
    </w:p>
    <w:p w14:paraId="2245160E" w14:textId="42229579"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S17. Ligand-efficiency sensitivity analysis.</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 xml:space="preserve">This table family reports internal and expanded-library ligand-efficiency sensitivity analyses. Table S17A reports internal LE-adjusted SWAN-MPO sensitivity scores and ranks, Table S17B </w:t>
      </w:r>
      <w:r w:rsidRPr="00B618CC">
        <w:rPr>
          <w:rFonts w:ascii="Times New Roman" w:eastAsia="Times New Roman" w:hAnsi="Times New Roman" w:cs="Times New Roman"/>
          <w:sz w:val="24"/>
          <w:szCs w:val="24"/>
        </w:rPr>
        <w:lastRenderedPageBreak/>
        <w:t>reports internal target-level ligand-efficiency values, Table S17C reports expanded-library LE-adjusted SWAN-MPO scores and rank shifts, and Table S17D reports expanded-library target-level ligand-efficiency values.</w:t>
      </w:r>
      <w:r w:rsidR="00B618CC" w:rsidRPr="00B618CC">
        <w:rPr>
          <w:rFonts w:ascii="Times New Roman" w:eastAsia="Times New Roman" w:hAnsi="Times New Roman" w:cs="Times New Roman"/>
          <w:sz w:val="24"/>
          <w:szCs w:val="24"/>
        </w:rPr>
        <w:t xml:space="preserve"> </w:t>
      </w:r>
      <w:r w:rsidR="00B618CC" w:rsidRPr="00B618CC">
        <w:rPr>
          <w:rFonts w:ascii="Times New Roman" w:hAnsi="Times New Roman" w:cs="Times New Roman"/>
          <w:color w:val="000000"/>
          <w:sz w:val="24"/>
          <w:szCs w:val="24"/>
        </w:rPr>
        <w:t>Across the expanded library, LE-adjusted rankings remained highly concordant with primary SWAN-</w:t>
      </w:r>
      <w:proofErr w:type="spellStart"/>
      <w:r w:rsidR="00B618CC" w:rsidRPr="00B618CC">
        <w:rPr>
          <w:rFonts w:ascii="Times New Roman" w:hAnsi="Times New Roman" w:cs="Times New Roman"/>
          <w:color w:val="000000"/>
          <w:sz w:val="24"/>
          <w:szCs w:val="24"/>
        </w:rPr>
        <w:t>BestNode</w:t>
      </w:r>
      <w:proofErr w:type="spellEnd"/>
      <w:r w:rsidR="00B618CC" w:rsidRPr="00B618CC">
        <w:rPr>
          <w:rFonts w:ascii="Times New Roman" w:hAnsi="Times New Roman" w:cs="Times New Roman"/>
          <w:color w:val="000000"/>
          <w:sz w:val="24"/>
          <w:szCs w:val="24"/>
        </w:rPr>
        <w:t xml:space="preserve"> rankings (Kendall’s </w:t>
      </w:r>
      <w:proofErr w:type="spellStart"/>
      <w:r w:rsidR="00B618CC" w:rsidRPr="00B618CC">
        <w:rPr>
          <w:rFonts w:ascii="Times New Roman" w:hAnsi="Times New Roman" w:cs="Times New Roman"/>
          <w:color w:val="000000"/>
          <w:sz w:val="24"/>
          <w:szCs w:val="24"/>
        </w:rPr>
        <w:t>τb</w:t>
      </w:r>
      <w:proofErr w:type="spellEnd"/>
      <w:r w:rsidR="00B618CC" w:rsidRPr="00B618CC">
        <w:rPr>
          <w:rFonts w:ascii="Times New Roman" w:hAnsi="Times New Roman" w:cs="Times New Roman"/>
          <w:color w:val="000000"/>
          <w:sz w:val="24"/>
          <w:szCs w:val="24"/>
        </w:rPr>
        <w:t xml:space="preserve"> = 0.804–0.813); </w:t>
      </w:r>
      <w:proofErr w:type="spellStart"/>
      <w:r w:rsidR="00B618CC" w:rsidRPr="00B618CC">
        <w:rPr>
          <w:rFonts w:ascii="Times New Roman" w:hAnsi="Times New Roman" w:cs="Times New Roman"/>
          <w:color w:val="000000"/>
          <w:sz w:val="24"/>
          <w:szCs w:val="24"/>
        </w:rPr>
        <w:t>Muricatacin</w:t>
      </w:r>
      <w:proofErr w:type="spellEnd"/>
      <w:r w:rsidR="00B618CC" w:rsidRPr="00B618CC">
        <w:rPr>
          <w:rFonts w:ascii="Times New Roman" w:hAnsi="Times New Roman" w:cs="Times New Roman"/>
          <w:color w:val="000000"/>
          <w:sz w:val="24"/>
          <w:szCs w:val="24"/>
        </w:rPr>
        <w:t xml:space="preserve"> retained rank 1 in colorectal cancer and shifted from rank 2 to rank 1 in prostate cancer and RCC.</w:t>
      </w:r>
      <w:r w:rsidRPr="00B618CC">
        <w:rPr>
          <w:rFonts w:ascii="Times New Roman" w:eastAsia="Times New Roman" w:hAnsi="Times New Roman" w:cs="Times New Roman"/>
          <w:sz w:val="24"/>
          <w:szCs w:val="24"/>
        </w:rPr>
        <w:t xml:space="preserve"> Provided as: Table_S17A_internal_LE_adjusted_SWAN_sensitivity.csv, Table_S17B_internal_target_level_ligand_efficiency.csv, Table_S17C_expanded_LE_adjusted_SWAN_sensitivity.csv, and Table_S17D_expanded_target_level_ligand_efficiency.csv.</w:t>
      </w:r>
    </w:p>
    <w:p w14:paraId="4F6BED07" w14:textId="60CECB99"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S18. Strict-pass-only sensitivity analysis.</w:t>
      </w:r>
      <w:r w:rsidRPr="00B618CC">
        <w:rPr>
          <w:rFonts w:ascii="Times New Roman" w:eastAsia="Times New Roman" w:hAnsi="Times New Roman" w:cs="Times New Roman"/>
          <w:b/>
          <w:bCs/>
          <w:sz w:val="24"/>
          <w:szCs w:val="24"/>
        </w:rPr>
        <w:br/>
      </w:r>
      <w:r w:rsidR="00AC3696" w:rsidRPr="00AC3696">
        <w:rPr>
          <w:rFonts w:ascii="Times New Roman" w:hAnsi="Times New Roman" w:cs="Times New Roman"/>
          <w:color w:val="000000"/>
          <w:sz w:val="24"/>
          <w:szCs w:val="24"/>
        </w:rPr>
        <w:t xml:space="preserve">This table family reports strict-top-pose sensitivity results. Table S18A reports internal compound-level strict-pass scores and ranks, Table S18B reports expanded-library strict-top-pose compound scores and rank shifts, and Table S18C reports panel-level strict-target composition, </w:t>
      </w:r>
      <w:proofErr w:type="spellStart"/>
      <w:r w:rsidR="00AC3696" w:rsidRPr="00AC3696">
        <w:rPr>
          <w:rFonts w:ascii="Times New Roman" w:hAnsi="Times New Roman" w:cs="Times New Roman"/>
          <w:color w:val="000000"/>
          <w:sz w:val="24"/>
          <w:szCs w:val="24"/>
        </w:rPr>
        <w:t>estimability</w:t>
      </w:r>
      <w:proofErr w:type="spellEnd"/>
      <w:r w:rsidR="00AC3696" w:rsidRPr="00AC3696">
        <w:rPr>
          <w:rFonts w:ascii="Times New Roman" w:hAnsi="Times New Roman" w:cs="Times New Roman"/>
          <w:color w:val="000000"/>
          <w:sz w:val="24"/>
          <w:szCs w:val="24"/>
        </w:rPr>
        <w:t>, and full-library rank concordance. Provided as: Table_S18A_strict_pass_only_internal_scores.csv, Table_S18B_expanded_strict_top_pose_sensitivity_scores.csv, and Table_S18C_expanded_strict_top_pose_sensitivity_summary.csv.</w:t>
      </w:r>
    </w:p>
    <w:p w14:paraId="7A710C7E" w14:textId="21EC6067" w:rsidR="00C15843" w:rsidRPr="00AC3696" w:rsidRDefault="00000000">
      <w:pPr>
        <w:spacing w:before="240" w:after="240" w:line="480" w:lineRule="auto"/>
        <w:rPr>
          <w:rFonts w:ascii="Times New Roman" w:eastAsia="Times New Roman" w:hAnsi="Times New Roman" w:cs="Times New Roman"/>
          <w:sz w:val="24"/>
          <w:szCs w:val="24"/>
        </w:rPr>
      </w:pPr>
      <w:r w:rsidRPr="00AC3696">
        <w:rPr>
          <w:rFonts w:ascii="Times New Roman" w:eastAsia="Times New Roman" w:hAnsi="Times New Roman" w:cs="Times New Roman"/>
          <w:b/>
          <w:bCs/>
          <w:sz w:val="24"/>
          <w:szCs w:val="24"/>
        </w:rPr>
        <w:t>Supplementary Table S19. Monte Carlo rank-stability analysis.</w:t>
      </w:r>
      <w:r w:rsidRPr="00AC3696">
        <w:rPr>
          <w:rFonts w:ascii="Times New Roman" w:eastAsia="Times New Roman" w:hAnsi="Times New Roman" w:cs="Times New Roman"/>
          <w:b/>
          <w:bCs/>
          <w:sz w:val="24"/>
          <w:szCs w:val="24"/>
        </w:rPr>
        <w:br/>
      </w:r>
      <w:r w:rsidR="00AC3696" w:rsidRPr="00AC3696">
        <w:rPr>
          <w:rFonts w:ascii="Times New Roman" w:hAnsi="Times New Roman" w:cs="Times New Roman"/>
          <w:color w:val="000000"/>
          <w:sz w:val="24"/>
          <w:szCs w:val="24"/>
        </w:rPr>
        <w:t xml:space="preserve">This table family reports Monte Carlo domain-weight perturbation outputs. Table S19A reports internal all-compound rank-stability summaries, Table S19B reports expanded-library all-compound rank-stability summaries, Table S19C reports the expanded-library sampled weight vectors, and Table S19D preserves the expanded-library </w:t>
      </w:r>
      <w:proofErr w:type="spellStart"/>
      <w:r w:rsidR="00AC3696" w:rsidRPr="00AC3696">
        <w:rPr>
          <w:rFonts w:ascii="Times New Roman" w:hAnsi="Times New Roman" w:cs="Times New Roman"/>
          <w:color w:val="000000"/>
          <w:sz w:val="24"/>
          <w:szCs w:val="24"/>
        </w:rPr>
        <w:t>Muricatacin</w:t>
      </w:r>
      <w:proofErr w:type="spellEnd"/>
      <w:r w:rsidR="00AC3696" w:rsidRPr="00AC3696">
        <w:rPr>
          <w:rFonts w:ascii="Times New Roman" w:hAnsi="Times New Roman" w:cs="Times New Roman"/>
          <w:color w:val="000000"/>
          <w:sz w:val="24"/>
          <w:szCs w:val="24"/>
        </w:rPr>
        <w:t xml:space="preserve"> iteration-level audit. Under broad expanded-library weight perturbation, </w:t>
      </w:r>
      <w:proofErr w:type="spellStart"/>
      <w:r w:rsidR="00AC3696" w:rsidRPr="00AC3696">
        <w:rPr>
          <w:rFonts w:ascii="Times New Roman" w:hAnsi="Times New Roman" w:cs="Times New Roman"/>
          <w:color w:val="000000"/>
          <w:sz w:val="24"/>
          <w:szCs w:val="24"/>
        </w:rPr>
        <w:t>Muricatacin</w:t>
      </w:r>
      <w:proofErr w:type="spellEnd"/>
      <w:r w:rsidR="00AC3696" w:rsidRPr="00AC3696">
        <w:rPr>
          <w:rFonts w:ascii="Times New Roman" w:hAnsi="Times New Roman" w:cs="Times New Roman"/>
          <w:color w:val="000000"/>
          <w:sz w:val="24"/>
          <w:szCs w:val="24"/>
        </w:rPr>
        <w:t xml:space="preserve"> retained median ranks of 1, 2, and 2 in </w:t>
      </w:r>
      <w:r w:rsidR="00AC3696" w:rsidRPr="00AC3696">
        <w:rPr>
          <w:rFonts w:ascii="Times New Roman" w:hAnsi="Times New Roman" w:cs="Times New Roman"/>
          <w:color w:val="000000"/>
          <w:sz w:val="24"/>
          <w:szCs w:val="24"/>
        </w:rPr>
        <w:lastRenderedPageBreak/>
        <w:t xml:space="preserve">colorectal, prostate, and RCC, respectively; </w:t>
      </w:r>
      <w:proofErr w:type="gramStart"/>
      <w:r w:rsidR="00AC3696" w:rsidRPr="00AC3696">
        <w:rPr>
          <w:rFonts w:ascii="Times New Roman" w:hAnsi="Times New Roman" w:cs="Times New Roman"/>
          <w:color w:val="000000"/>
          <w:sz w:val="24"/>
          <w:szCs w:val="24"/>
        </w:rPr>
        <w:t>top-three</w:t>
      </w:r>
      <w:proofErr w:type="gramEnd"/>
      <w:r w:rsidR="00AC3696" w:rsidRPr="00AC3696">
        <w:rPr>
          <w:rFonts w:ascii="Times New Roman" w:hAnsi="Times New Roman" w:cs="Times New Roman"/>
          <w:color w:val="000000"/>
          <w:sz w:val="24"/>
          <w:szCs w:val="24"/>
        </w:rPr>
        <w:t xml:space="preserve"> probabilities were 0.8751, 0.5709, and 0.5709, indicating greater weight sensitivity in the prostate and RCC rankings. Provided as: Table_S19A_monte_carlo_rank_stability_all_compounds.csv, Table_S19B_expanded_monte_carlo_weight_stability_summary.csv, Table_S19C_expanded_monte_carlo_weight_draws.csv, and Table_S19D_expanded_monte_carlo_muricatacin_iterations.csv.</w:t>
      </w:r>
    </w:p>
    <w:p w14:paraId="5DF92DA4"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Table S20. Retrospective descriptor-space PCA outputs.</w:t>
      </w:r>
    </w:p>
    <w:p w14:paraId="1C97FAC5" w14:textId="77777777" w:rsidR="00AC3696" w:rsidRPr="00AC3696" w:rsidRDefault="00AC3696">
      <w:pPr>
        <w:spacing w:before="240" w:after="240" w:line="480" w:lineRule="auto"/>
        <w:rPr>
          <w:rFonts w:ascii="Times New Roman" w:hAnsi="Times New Roman" w:cs="Times New Roman"/>
          <w:color w:val="000000"/>
          <w:sz w:val="24"/>
          <w:szCs w:val="24"/>
        </w:rPr>
      </w:pPr>
      <w:r w:rsidRPr="00AC3696">
        <w:rPr>
          <w:rFonts w:ascii="Times New Roman" w:hAnsi="Times New Roman" w:cs="Times New Roman"/>
          <w:color w:val="000000"/>
          <w:sz w:val="24"/>
          <w:szCs w:val="24"/>
        </w:rPr>
        <w:t>Table S20A reports PCA coordinates and descriptor values for the frozen 15-compound primary boundary-stress benchmark, Table S20B reports descriptor loadings, and Table S20C reports explained variance. Provided as: Table_S20A_retrospective_PCA_coordinates.csv, Table_S20B_retrospective_PCA_loadings.csv, and Table_S20C_retrospective_PCA_explained_variance.csv.</w:t>
      </w:r>
    </w:p>
    <w:p w14:paraId="58DA7BDE" w14:textId="582B9FA2"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Table S21. Retrospective binding-saturation diagnostics.</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This table family reports the corrected panel-specific retrospective binding-saturation analysis. Table S21A reports target-level reference-calibrated binding and diagnostic-formula audit fields, Table S21B reports panel-specific compound-level primary and binding-sensitivity scores and rank shifts, Table S21C reports panel-level performance and rank-concordance summaries, and Table S21D reports panel-level binding-saturation diagnostics. Provided as: Table_S21A_retrospective_target_level_binding_saturation.csv, Table_S21B_retrospective_compound_level_binding_saturation.csv, Table_S21C_retrospective_binding_saturation_summary.csv, and Table_S21D_retrospective_binding_saturation_diagnostics.csv.</w:t>
      </w:r>
    </w:p>
    <w:p w14:paraId="50CEDF2B"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lastRenderedPageBreak/>
        <w:t>Supplementary Table S22. COCONUT property-only global scan.</w:t>
      </w:r>
      <w:r w:rsidRPr="00B618CC">
        <w:rPr>
          <w:rFonts w:ascii="Times New Roman" w:eastAsia="Times New Roman" w:hAnsi="Times New Roman" w:cs="Times New Roman"/>
          <w:b/>
          <w:bCs/>
          <w:sz w:val="24"/>
          <w:szCs w:val="24"/>
        </w:rPr>
        <w:br/>
      </w:r>
      <w:r w:rsidRPr="00B618CC">
        <w:rPr>
          <w:rFonts w:ascii="Times New Roman" w:eastAsia="Times New Roman" w:hAnsi="Times New Roman" w:cs="Times New Roman"/>
          <w:sz w:val="24"/>
          <w:szCs w:val="24"/>
        </w:rPr>
        <w:t xml:space="preserve">Table S22A reports </w:t>
      </w:r>
      <w:proofErr w:type="spellStart"/>
      <w:r w:rsidRPr="00B618CC">
        <w:rPr>
          <w:rFonts w:ascii="Times New Roman" w:eastAsia="Times New Roman" w:hAnsi="Times New Roman" w:cs="Times New Roman"/>
          <w:sz w:val="24"/>
          <w:szCs w:val="24"/>
        </w:rPr>
        <w:t>Muricatacin’s</w:t>
      </w:r>
      <w:proofErr w:type="spellEnd"/>
      <w:r w:rsidRPr="00B618CC">
        <w:rPr>
          <w:rFonts w:ascii="Times New Roman" w:eastAsia="Times New Roman" w:hAnsi="Times New Roman" w:cs="Times New Roman"/>
          <w:sz w:val="24"/>
          <w:szCs w:val="24"/>
        </w:rPr>
        <w:t xml:space="preserve"> full-precision and manuscript-reported property-only desirability, global rank, percentile, and total scored universe. Table S22B reports the nearest compounds in the COCONUT PCA representation, including PC1/PC2 coordinates and distance from </w:t>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and Table S22C reports the PCA scaler parameters and PC1/PC2 descriptor loadings. Provided as: Table_S22A_COCONUT_muricatacin_global_position.csv, Table_S22B_COCONUT_nearest_neighbors.csv, and Table_S22C_COCONUT_PCA_model.csv.</w:t>
      </w:r>
    </w:p>
    <w:p w14:paraId="2B546790" w14:textId="77777777" w:rsidR="00C15843" w:rsidRPr="00B618CC" w:rsidRDefault="00000000">
      <w:pPr>
        <w:spacing w:before="240" w:after="240"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sz w:val="24"/>
          <w:szCs w:val="24"/>
        </w:rPr>
        <w:t>Supplementary Table S23. Descriptor-transformation, missing-value, and aggregation parameter dictionary.</w:t>
      </w:r>
    </w:p>
    <w:p w14:paraId="6015CB37"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sz w:val="24"/>
          <w:szCs w:val="24"/>
        </w:rPr>
        <w:t>This table reports the transformation direction, preferred and tolerated ranges, categorical mappings, desirability bounds, missing-value rules, and aggregation procedures used for the primary SWAN-MPO domains, binding sensitivities, curated-liability sensitivity, and COCONUT property-only contextualization. Primary and sensitivity-analysis parameters are identified separately.</w:t>
      </w:r>
      <w:r w:rsidRPr="00B618CC">
        <w:rPr>
          <w:rFonts w:ascii="Times New Roman" w:eastAsia="Times New Roman" w:hAnsi="Times New Roman" w:cs="Times New Roman"/>
          <w:sz w:val="24"/>
          <w:szCs w:val="24"/>
        </w:rPr>
        <w:br/>
        <w:t>Provided as: Table_S23_parameter_dictionary.csv.</w:t>
      </w:r>
    </w:p>
    <w:p w14:paraId="3F21D6E5"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103DE7D6"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31F3ABA6"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6C0CCDE7"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42440583"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46945053" w14:textId="77777777" w:rsidR="00C15843" w:rsidRPr="00B618CC" w:rsidRDefault="00C15843">
      <w:pPr>
        <w:spacing w:before="240" w:after="240" w:line="480" w:lineRule="auto"/>
        <w:rPr>
          <w:rFonts w:ascii="Times New Roman" w:eastAsia="Times New Roman" w:hAnsi="Times New Roman" w:cs="Times New Roman"/>
          <w:sz w:val="24"/>
          <w:szCs w:val="24"/>
        </w:rPr>
      </w:pPr>
    </w:p>
    <w:p w14:paraId="42DA62E8" w14:textId="77777777" w:rsidR="00C15843" w:rsidRPr="00B618CC" w:rsidRDefault="00000000">
      <w:pPr>
        <w:pStyle w:val="Heading1"/>
      </w:pPr>
      <w:bookmarkStart w:id="2" w:name="_njiimudi8yuj" w:colFirst="0" w:colLast="0"/>
      <w:bookmarkEnd w:id="2"/>
      <w:r w:rsidRPr="00B618CC">
        <w:t>FIGURES</w:t>
      </w:r>
    </w:p>
    <w:p w14:paraId="4F11478E" w14:textId="77777777" w:rsidR="00C15843" w:rsidRPr="00B618CC" w:rsidRDefault="00000000">
      <w:pPr>
        <w:spacing w:line="480" w:lineRule="auto"/>
        <w:rPr>
          <w:rFonts w:ascii="Times New Roman" w:eastAsia="Times New Roman" w:hAnsi="Times New Roman" w:cs="Times New Roman"/>
          <w:b/>
          <w:bCs/>
          <w:sz w:val="24"/>
          <w:szCs w:val="24"/>
        </w:rPr>
      </w:pPr>
      <w:r w:rsidRPr="00B618CC">
        <w:rPr>
          <w:rFonts w:ascii="Times New Roman" w:eastAsia="Times New Roman" w:hAnsi="Times New Roman" w:cs="Times New Roman"/>
          <w:b/>
          <w:bCs/>
          <w:noProof/>
          <w:sz w:val="24"/>
          <w:szCs w:val="24"/>
        </w:rPr>
        <w:drawing>
          <wp:inline distT="114300" distB="114300" distL="114300" distR="114300" wp14:anchorId="517EC4C9" wp14:editId="07503F72">
            <wp:extent cx="5943600" cy="3365500"/>
            <wp:effectExtent l="12700" t="12700" r="12700" b="127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3365500"/>
                    </a:xfrm>
                    <a:prstGeom prst="rect">
                      <a:avLst/>
                    </a:prstGeom>
                    <a:ln w="12700">
                      <a:solidFill>
                        <a:srgbClr val="000000"/>
                      </a:solidFill>
                      <a:prstDash val="solid"/>
                    </a:ln>
                  </pic:spPr>
                </pic:pic>
              </a:graphicData>
            </a:graphic>
          </wp:inline>
        </w:drawing>
      </w:r>
      <w:r w:rsidRPr="00B618CC">
        <w:rPr>
          <w:rFonts w:ascii="Times New Roman" w:eastAsia="Times New Roman" w:hAnsi="Times New Roman" w:cs="Times New Roman"/>
          <w:b/>
          <w:bCs/>
          <w:sz w:val="24"/>
          <w:szCs w:val="24"/>
        </w:rPr>
        <w:t xml:space="preserve"> </w:t>
      </w:r>
    </w:p>
    <w:p w14:paraId="64F2F44A" w14:textId="0889B40B" w:rsidR="00C15843" w:rsidRPr="00B618CC" w:rsidRDefault="00000000">
      <w:pPr>
        <w:spacing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Figure S1. Grid-center docking sensitivity.</w:t>
      </w:r>
      <w:r w:rsidRPr="00B618CC">
        <w:rPr>
          <w:rFonts w:ascii="Times New Roman" w:eastAsia="Times New Roman" w:hAnsi="Times New Roman" w:cs="Times New Roman"/>
          <w:sz w:val="24"/>
          <w:szCs w:val="24"/>
        </w:rPr>
        <w:br/>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xml:space="preserve"> docking outputs were summarized across grid centers for each target context. Median ΔG values are shown with interquartile ranges, while best and worst grid-center ΔG values indicate the observed grid-center spread. This analysis supports use of the median docking statistic by showing the target-level docking distribution rather than relying on a single favorable grid-center result.</w:t>
      </w:r>
      <w:r w:rsidR="00B618CC" w:rsidRPr="00B618CC">
        <w:rPr>
          <w:rFonts w:ascii="Times New Roman" w:eastAsia="Times New Roman" w:hAnsi="Times New Roman" w:cs="Times New Roman"/>
          <w:sz w:val="24"/>
          <w:szCs w:val="24"/>
        </w:rPr>
        <w:t xml:space="preserve"> </w:t>
      </w:r>
      <w:proofErr w:type="spellStart"/>
      <w:r w:rsidR="00B618CC" w:rsidRPr="00B618CC">
        <w:rPr>
          <w:rFonts w:ascii="Times New Roman" w:hAnsi="Times New Roman" w:cs="Times New Roman"/>
          <w:color w:val="000000"/>
          <w:sz w:val="24"/>
          <w:szCs w:val="24"/>
        </w:rPr>
        <w:t>Muricatacin’s</w:t>
      </w:r>
      <w:proofErr w:type="spellEnd"/>
      <w:r w:rsidR="00B618CC" w:rsidRPr="00B618CC">
        <w:rPr>
          <w:rFonts w:ascii="Times New Roman" w:hAnsi="Times New Roman" w:cs="Times New Roman"/>
          <w:color w:val="000000"/>
          <w:sz w:val="24"/>
          <w:szCs w:val="24"/>
        </w:rPr>
        <w:t xml:space="preserve"> internal binding rank was unchanged when target-level docking was summarized using median rather than best grid-center ΔG, remaining rank 3 in colorectal, rank 8 in prostate, and rank 7 in RCC.</w:t>
      </w:r>
    </w:p>
    <w:p w14:paraId="5792B5B0" w14:textId="77777777" w:rsidR="00C15843" w:rsidRPr="00B618CC" w:rsidRDefault="00000000">
      <w:pPr>
        <w:spacing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noProof/>
          <w:sz w:val="24"/>
          <w:szCs w:val="24"/>
        </w:rPr>
        <w:lastRenderedPageBreak/>
        <w:drawing>
          <wp:inline distT="114300" distB="114300" distL="114300" distR="114300" wp14:anchorId="2C9EA586" wp14:editId="5D40C67E">
            <wp:extent cx="5943600" cy="3327400"/>
            <wp:effectExtent l="12700" t="12700" r="12700" b="1270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943600" cy="3327400"/>
                    </a:xfrm>
                    <a:prstGeom prst="rect">
                      <a:avLst/>
                    </a:prstGeom>
                    <a:ln w="12700">
                      <a:solidFill>
                        <a:srgbClr val="000000"/>
                      </a:solidFill>
                      <a:prstDash val="solid"/>
                    </a:ln>
                  </pic:spPr>
                </pic:pic>
              </a:graphicData>
            </a:graphic>
          </wp:inline>
        </w:drawing>
      </w:r>
    </w:p>
    <w:p w14:paraId="325115FA" w14:textId="77777777" w:rsidR="00C15843" w:rsidRPr="00B618CC" w:rsidRDefault="00000000">
      <w:pPr>
        <w:spacing w:before="240" w:after="240" w:line="480" w:lineRule="auto"/>
        <w:rPr>
          <w:rFonts w:ascii="Times New Roman" w:eastAsia="Times New Roman" w:hAnsi="Times New Roman" w:cs="Times New Roman"/>
          <w:sz w:val="24"/>
          <w:szCs w:val="24"/>
        </w:rPr>
      </w:pPr>
      <w:r w:rsidRPr="00B618CC">
        <w:rPr>
          <w:rFonts w:ascii="Times New Roman" w:eastAsia="Times New Roman" w:hAnsi="Times New Roman" w:cs="Times New Roman"/>
          <w:b/>
          <w:bCs/>
          <w:sz w:val="24"/>
          <w:szCs w:val="24"/>
        </w:rPr>
        <w:t>Supplementary Figure S2. SWAN-MPO sensitivity scores.</w:t>
      </w:r>
      <w:r w:rsidRPr="00B618CC">
        <w:rPr>
          <w:rFonts w:ascii="Times New Roman" w:eastAsia="Times New Roman" w:hAnsi="Times New Roman" w:cs="Times New Roman"/>
          <w:sz w:val="24"/>
          <w:szCs w:val="24"/>
        </w:rPr>
        <w:br/>
      </w:r>
      <w:proofErr w:type="spellStart"/>
      <w:r w:rsidRPr="00B618CC">
        <w:rPr>
          <w:rFonts w:ascii="Times New Roman" w:eastAsia="Times New Roman" w:hAnsi="Times New Roman" w:cs="Times New Roman"/>
          <w:sz w:val="24"/>
          <w:szCs w:val="24"/>
        </w:rPr>
        <w:t>Muricatacin</w:t>
      </w:r>
      <w:proofErr w:type="spellEnd"/>
      <w:r w:rsidRPr="00B618CC">
        <w:rPr>
          <w:rFonts w:ascii="Times New Roman" w:eastAsia="Times New Roman" w:hAnsi="Times New Roman" w:cs="Times New Roman"/>
          <w:sz w:val="24"/>
          <w:szCs w:val="24"/>
        </w:rPr>
        <w:t xml:space="preserve"> SWAN-MPO scores are shown across the internal rerun using </w:t>
      </w:r>
      <w:proofErr w:type="spellStart"/>
      <w:r w:rsidRPr="00B618CC">
        <w:rPr>
          <w:rFonts w:ascii="Times New Roman" w:eastAsia="Times New Roman" w:hAnsi="Times New Roman" w:cs="Times New Roman"/>
          <w:sz w:val="24"/>
          <w:szCs w:val="24"/>
        </w:rPr>
        <w:t>BestNode</w:t>
      </w:r>
      <w:proofErr w:type="spellEnd"/>
      <w:r w:rsidRPr="00B618CC">
        <w:rPr>
          <w:rFonts w:ascii="Times New Roman" w:eastAsia="Times New Roman" w:hAnsi="Times New Roman" w:cs="Times New Roman"/>
          <w:sz w:val="24"/>
          <w:szCs w:val="24"/>
        </w:rPr>
        <w:t xml:space="preserve">, Top2Node, Breadth, and ligand-efficiency-adjusted binding formulations. Rank labels indicate the within-panel rank produced by each formulation. The preserved rank pattern across sensitivity formulations supports the interpretation that </w:t>
      </w:r>
      <w:proofErr w:type="spellStart"/>
      <w:r w:rsidRPr="00B618CC">
        <w:rPr>
          <w:rFonts w:ascii="Times New Roman" w:eastAsia="Times New Roman" w:hAnsi="Times New Roman" w:cs="Times New Roman"/>
          <w:sz w:val="24"/>
          <w:szCs w:val="24"/>
        </w:rPr>
        <w:t>Muricatacin’s</w:t>
      </w:r>
      <w:proofErr w:type="spellEnd"/>
      <w:r w:rsidRPr="00B618CC">
        <w:rPr>
          <w:rFonts w:ascii="Times New Roman" w:eastAsia="Times New Roman" w:hAnsi="Times New Roman" w:cs="Times New Roman"/>
          <w:sz w:val="24"/>
          <w:szCs w:val="24"/>
        </w:rPr>
        <w:t xml:space="preserve"> prioritization was not dependent on one binding-aggregation choice or on unadjusted binding alone.</w:t>
      </w:r>
    </w:p>
    <w:p w14:paraId="6BC4E704" w14:textId="77777777" w:rsidR="00C15843" w:rsidRPr="00B618CC" w:rsidRDefault="00C15843">
      <w:pPr>
        <w:spacing w:line="480" w:lineRule="auto"/>
        <w:rPr>
          <w:rFonts w:ascii="Times New Roman" w:eastAsia="Times New Roman" w:hAnsi="Times New Roman" w:cs="Times New Roman"/>
          <w:sz w:val="24"/>
          <w:szCs w:val="24"/>
        </w:rPr>
      </w:pPr>
    </w:p>
    <w:p w14:paraId="7BDF846D" w14:textId="77777777" w:rsidR="00C15843" w:rsidRPr="00B618CC" w:rsidRDefault="00C15843">
      <w:pPr>
        <w:spacing w:line="480" w:lineRule="auto"/>
        <w:rPr>
          <w:rFonts w:ascii="Times New Roman" w:eastAsia="Times New Roman" w:hAnsi="Times New Roman" w:cs="Times New Roman"/>
          <w:b/>
          <w:bCs/>
          <w:sz w:val="24"/>
          <w:szCs w:val="24"/>
        </w:rPr>
      </w:pPr>
    </w:p>
    <w:sectPr w:rsidR="00C15843" w:rsidRPr="00B618CC">
      <w:headerReference w:type="default" r:id="rId9"/>
      <w:head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737260" w14:textId="77777777" w:rsidR="00E96B57" w:rsidRDefault="00E96B57">
      <w:pPr>
        <w:spacing w:line="240" w:lineRule="auto"/>
      </w:pPr>
      <w:r>
        <w:separator/>
      </w:r>
    </w:p>
  </w:endnote>
  <w:endnote w:type="continuationSeparator" w:id="0">
    <w:p w14:paraId="184F3553" w14:textId="77777777" w:rsidR="00E96B57" w:rsidRDefault="00E96B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E3324D7-C47F-4148-8479-3F978549B0D5}"/>
    <w:embedBold r:id="rId2" w:fontKey="{F57A30A0-3433-F14B-9DEE-C7C9CBE14168}"/>
    <w:embedItalic r:id="rId3" w:fontKey="{F2237DDD-0C6C-AA45-AE5F-D24DA050D239}"/>
  </w:font>
  <w:font w:name="Times New Roman">
    <w:panose1 w:val="02020603050405020304"/>
    <w:charset w:val="00"/>
    <w:family w:val="roman"/>
    <w:pitch w:val="variable"/>
    <w:sig w:usb0="E0002EFF" w:usb1="C000785B" w:usb2="00000009" w:usb3="00000000" w:csb0="000001FF" w:csb1="00000000"/>
    <w:embedRegular r:id="rId4" w:fontKey="{BB60AB7F-C667-9549-B611-5FAB9AA94880}"/>
    <w:embedBold r:id="rId5" w:fontKey="{E7622274-3363-DE47-9BD1-99E3953ED4C6}"/>
    <w:embedItalic r:id="rId6" w:fontKey="{CF45F1D6-26A1-3D40-A00F-E91764E02B71}"/>
    <w:embedBoldItalic r:id="rId7" w:fontKey="{231607C2-D5AD-0C4D-AFBA-B002E835CFE2}"/>
  </w:font>
  <w:font w:name="Courier New">
    <w:panose1 w:val="02070309020205020404"/>
    <w:charset w:val="00"/>
    <w:family w:val="modern"/>
    <w:pitch w:val="fixed"/>
    <w:sig w:usb0="E0002AFF" w:usb1="C0007843" w:usb2="00000009" w:usb3="00000000" w:csb0="000001FF" w:csb1="00000000"/>
    <w:embedRegular r:id="rId8" w:fontKey="{7D42B368-05FD-A74B-82F1-1EB3F462BEEE}"/>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embedRegular r:id="rId9" w:fontKey="{DF359CF2-69E1-F74A-86D7-275DB7746946}"/>
    <w:embedBold r:id="rId10" w:fontKey="{08264C8A-822C-A141-A2AC-E52667903D4F}"/>
    <w:embedItalic r:id="rId11" w:fontKey="{7F8E649A-66B1-9D42-BB26-267ED4DFBF6B}"/>
    <w:embedBoldItalic r:id="rId12" w:fontKey="{0F797557-1378-4E45-BB02-B87AB372DE98}"/>
  </w:font>
  <w:font w:name="Calibri">
    <w:panose1 w:val="020F0502020204030204"/>
    <w:charset w:val="00"/>
    <w:family w:val="swiss"/>
    <w:pitch w:val="variable"/>
    <w:sig w:usb0="E0002AFF" w:usb1="C000247B" w:usb2="00000009" w:usb3="00000000" w:csb0="000001FF" w:csb1="00000000"/>
    <w:embedRegular r:id="rId13" w:fontKey="{0EE3ACE1-480F-E746-A2E1-AC833E149563}"/>
  </w:font>
  <w:font w:name="Cambria">
    <w:panose1 w:val="02040503050406030204"/>
    <w:charset w:val="00"/>
    <w:family w:val="roman"/>
    <w:pitch w:val="variable"/>
    <w:sig w:usb0="E00002FF" w:usb1="400004FF" w:usb2="00000000" w:usb3="00000000" w:csb0="0000019F" w:csb1="00000000"/>
    <w:embedRegular r:id="rId14" w:fontKey="{01811C2A-51D9-B044-86FD-D9CA40DA9AF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789E84" w14:textId="77777777" w:rsidR="00E96B57" w:rsidRDefault="00E96B57">
      <w:pPr>
        <w:spacing w:line="240" w:lineRule="auto"/>
      </w:pPr>
      <w:r>
        <w:separator/>
      </w:r>
    </w:p>
  </w:footnote>
  <w:footnote w:type="continuationSeparator" w:id="0">
    <w:p w14:paraId="47467675" w14:textId="77777777" w:rsidR="00E96B57" w:rsidRDefault="00E96B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059E2F" w14:textId="1AEDB04C" w:rsidR="00C15843"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96625E">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CEC0D" w14:textId="77777777" w:rsidR="00C15843" w:rsidRDefault="00C15843"/>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43"/>
    <w:rsid w:val="00167486"/>
    <w:rsid w:val="0017465F"/>
    <w:rsid w:val="003528F8"/>
    <w:rsid w:val="003E38E6"/>
    <w:rsid w:val="006D5A4A"/>
    <w:rsid w:val="0081761B"/>
    <w:rsid w:val="00836581"/>
    <w:rsid w:val="008A132E"/>
    <w:rsid w:val="00940D03"/>
    <w:rsid w:val="0096625E"/>
    <w:rsid w:val="00AC3696"/>
    <w:rsid w:val="00B618CC"/>
    <w:rsid w:val="00B6284A"/>
    <w:rsid w:val="00C15843"/>
    <w:rsid w:val="00C22966"/>
    <w:rsid w:val="00D16073"/>
    <w:rsid w:val="00D65985"/>
    <w:rsid w:val="00D9297E"/>
    <w:rsid w:val="00E17C22"/>
    <w:rsid w:val="00E205A6"/>
    <w:rsid w:val="00E8177A"/>
    <w:rsid w:val="00E96B57"/>
    <w:rsid w:val="00EF2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1641F9"/>
  <w15:docId w15:val="{C0D9485F-3C2E-4E42-BA94-46B18FAF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line="48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96625E"/>
    <w:rPr>
      <w:color w:val="666666"/>
    </w:rPr>
  </w:style>
  <w:style w:type="character" w:customStyle="1" w:styleId="apple-converted-space">
    <w:name w:val="apple-converted-space"/>
    <w:basedOn w:val="DefaultParagraphFont"/>
    <w:rsid w:val="00EF2E35"/>
  </w:style>
  <w:style w:type="character" w:styleId="HTMLCode">
    <w:name w:val="HTML Code"/>
    <w:basedOn w:val="DefaultParagraphFont"/>
    <w:uiPriority w:val="99"/>
    <w:semiHidden/>
    <w:unhideWhenUsed/>
    <w:rsid w:val="00EF2E35"/>
    <w:rPr>
      <w:rFonts w:ascii="Courier New" w:eastAsia="Times New Roman" w:hAnsi="Courier New" w:cs="Courier New"/>
      <w:sz w:val="20"/>
      <w:szCs w:val="20"/>
    </w:rPr>
  </w:style>
  <w:style w:type="character" w:styleId="Strong">
    <w:name w:val="Strong"/>
    <w:basedOn w:val="DefaultParagraphFont"/>
    <w:uiPriority w:val="22"/>
    <w:qFormat/>
    <w:rsid w:val="00E205A6"/>
    <w:rPr>
      <w:b/>
      <w:bCs/>
    </w:rPr>
  </w:style>
  <w:style w:type="character" w:styleId="Hyperlink">
    <w:name w:val="Hyperlink"/>
    <w:basedOn w:val="DefaultParagraphFont"/>
    <w:uiPriority w:val="99"/>
    <w:unhideWhenUsed/>
    <w:rsid w:val="00E20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9-0000-2050-107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5684</Words>
  <Characters>39111</Characters>
  <Application>Microsoft Office Word</Application>
  <DocSecurity>0</DocSecurity>
  <Lines>620</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Kurinji Senthilkumar</cp:lastModifiedBy>
  <cp:revision>2</cp:revision>
  <cp:lastPrinted>2026-08-06T18:29:00Z</cp:lastPrinted>
  <dcterms:created xsi:type="dcterms:W3CDTF">2026-08-07T02:04:00Z</dcterms:created>
  <dcterms:modified xsi:type="dcterms:W3CDTF">2026-08-07T02:04:00Z</dcterms:modified>
</cp:coreProperties>
</file>