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48755" w14:textId="77777777" w:rsidR="00366F2F" w:rsidRPr="00EA3913" w:rsidRDefault="00366F2F" w:rsidP="00366F2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</w:rPr>
      </w:pPr>
      <w:r w:rsidRPr="00EA3913">
        <w:rPr>
          <w:rFonts w:ascii="Times New Roman" w:eastAsia="Times New Roman" w:hAnsi="Times New Roman" w:cs="Times New Roman"/>
          <w:b/>
          <w:bCs/>
        </w:rPr>
        <w:t xml:space="preserve">Table 2. </w:t>
      </w:r>
      <w:r w:rsidRPr="00EA3913">
        <w:rPr>
          <w:rFonts w:ascii="Times New Roman" w:eastAsia="Times New Roman" w:hAnsi="Times New Roman" w:cs="Times New Roman"/>
        </w:rPr>
        <w:t>Hazard ratios for incident age-related macular degeneration according to exposure definition</w:t>
      </w:r>
    </w:p>
    <w:p w14:paraId="57D88A0A" w14:textId="77777777" w:rsidR="00366F2F" w:rsidRPr="00EA3913" w:rsidRDefault="00366F2F" w:rsidP="00366F2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72"/>
        <w:gridCol w:w="1872"/>
        <w:gridCol w:w="1872"/>
        <w:gridCol w:w="1872"/>
        <w:gridCol w:w="1872"/>
      </w:tblGrid>
      <w:tr w:rsidR="00366F2F" w:rsidRPr="00EA3913" w14:paraId="7A5B2267" w14:textId="77777777" w:rsidTr="00613802"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48A62" w14:textId="77777777" w:rsidR="00366F2F" w:rsidRPr="00EA3913" w:rsidRDefault="00366F2F" w:rsidP="006138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EA39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Exposure Definition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DA8E4" w14:textId="77777777" w:rsidR="00366F2F" w:rsidRPr="00EA3913" w:rsidRDefault="00366F2F" w:rsidP="006138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EA39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Events Included in Model (n)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5241F" w14:textId="77777777" w:rsidR="00366F2F" w:rsidRPr="00EA3913" w:rsidRDefault="00366F2F" w:rsidP="006138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EA39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Hazard Ratio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78551" w14:textId="77777777" w:rsidR="00366F2F" w:rsidRPr="00EA3913" w:rsidRDefault="00366F2F" w:rsidP="006138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EA39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95% Confidence Interval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235EB" w14:textId="77777777" w:rsidR="00366F2F" w:rsidRPr="00EA3913" w:rsidRDefault="00366F2F" w:rsidP="006138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EA39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 Value</w:t>
            </w:r>
          </w:p>
        </w:tc>
      </w:tr>
      <w:tr w:rsidR="00366F2F" w:rsidRPr="00EA3913" w14:paraId="51E10CF9" w14:textId="77777777" w:rsidTr="00613802">
        <w:trPr>
          <w:trHeight w:val="20"/>
        </w:trPr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3C5CD" w14:textId="77777777" w:rsidR="00366F2F" w:rsidRPr="00EA3913" w:rsidRDefault="00366F2F" w:rsidP="006138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3913">
              <w:rPr>
                <w:rFonts w:ascii="Times New Roman" w:eastAsia="Gungsuh" w:hAnsi="Times New Roman" w:cs="Times New Roman"/>
                <w:sz w:val="18"/>
                <w:szCs w:val="18"/>
              </w:rPr>
              <w:t>≥91 days (Primary Analysis)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81107" w14:textId="77777777" w:rsidR="00366F2F" w:rsidRPr="00EA3913" w:rsidRDefault="00366F2F" w:rsidP="006138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3913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2254B" w14:textId="77777777" w:rsidR="00366F2F" w:rsidRPr="00EA3913" w:rsidRDefault="00366F2F" w:rsidP="006138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3913">
              <w:rPr>
                <w:rFonts w:ascii="Times New Roman" w:eastAsia="Times New Roman" w:hAnsi="Times New Roman" w:cs="Times New Roman"/>
                <w:sz w:val="18"/>
                <w:szCs w:val="18"/>
              </w:rPr>
              <w:t>1.50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D695E" w14:textId="77777777" w:rsidR="00366F2F" w:rsidRPr="00EA3913" w:rsidRDefault="00366F2F" w:rsidP="006138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3913">
              <w:rPr>
                <w:rFonts w:ascii="Times New Roman" w:eastAsia="Times New Roman" w:hAnsi="Times New Roman" w:cs="Times New Roman"/>
                <w:sz w:val="18"/>
                <w:szCs w:val="18"/>
              </w:rPr>
              <w:t>0.61–3.67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FFAB0" w14:textId="77777777" w:rsidR="00366F2F" w:rsidRPr="00EA3913" w:rsidRDefault="00366F2F" w:rsidP="006138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3913">
              <w:rPr>
                <w:rFonts w:ascii="Times New Roman" w:eastAsia="Times New Roman" w:hAnsi="Times New Roman" w:cs="Times New Roman"/>
                <w:sz w:val="18"/>
                <w:szCs w:val="18"/>
              </w:rPr>
              <w:t>0.37</w:t>
            </w:r>
          </w:p>
        </w:tc>
      </w:tr>
      <w:tr w:rsidR="00366F2F" w:rsidRPr="00EA3913" w14:paraId="65CCA656" w14:textId="77777777" w:rsidTr="00613802">
        <w:trPr>
          <w:trHeight w:val="20"/>
        </w:trPr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BA0E5" w14:textId="77777777" w:rsidR="00366F2F" w:rsidRPr="00EA3913" w:rsidRDefault="00366F2F" w:rsidP="006138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3913">
              <w:rPr>
                <w:rFonts w:ascii="Times New Roman" w:eastAsia="Gungsuh" w:hAnsi="Times New Roman" w:cs="Times New Roman"/>
                <w:sz w:val="18"/>
                <w:szCs w:val="18"/>
              </w:rPr>
              <w:t>≥60 days</w:t>
            </w:r>
          </w:p>
          <w:p w14:paraId="5618555F" w14:textId="77777777" w:rsidR="00366F2F" w:rsidRPr="00EA3913" w:rsidRDefault="00366F2F" w:rsidP="006138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FF1BA" w14:textId="77777777" w:rsidR="00366F2F" w:rsidRPr="00EA3913" w:rsidRDefault="00366F2F" w:rsidP="006138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3913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97310" w14:textId="77777777" w:rsidR="00366F2F" w:rsidRPr="00EA3913" w:rsidRDefault="00366F2F" w:rsidP="006138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3913">
              <w:rPr>
                <w:rFonts w:ascii="Times New Roman" w:eastAsia="Times New Roman" w:hAnsi="Times New Roman" w:cs="Times New Roman"/>
                <w:sz w:val="18"/>
                <w:szCs w:val="18"/>
              </w:rPr>
              <w:t>3.50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02ECF" w14:textId="77777777" w:rsidR="00366F2F" w:rsidRPr="00EA3913" w:rsidRDefault="00366F2F" w:rsidP="006138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3913">
              <w:rPr>
                <w:rFonts w:ascii="Times New Roman" w:eastAsia="Times New Roman" w:hAnsi="Times New Roman" w:cs="Times New Roman"/>
                <w:sz w:val="18"/>
                <w:szCs w:val="18"/>
              </w:rPr>
              <w:t>0.73–16.8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0C118" w14:textId="77777777" w:rsidR="00366F2F" w:rsidRPr="00EA3913" w:rsidRDefault="00366F2F" w:rsidP="006138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3913">
              <w:rPr>
                <w:rFonts w:ascii="Times New Roman" w:eastAsia="Times New Roman" w:hAnsi="Times New Roman" w:cs="Times New Roman"/>
                <w:sz w:val="18"/>
                <w:szCs w:val="18"/>
              </w:rPr>
              <w:t>0.12</w:t>
            </w:r>
          </w:p>
        </w:tc>
      </w:tr>
      <w:tr w:rsidR="00366F2F" w:rsidRPr="00EA3913" w14:paraId="2BC34521" w14:textId="77777777" w:rsidTr="00613802"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60B4E" w14:textId="77777777" w:rsidR="00366F2F" w:rsidRPr="00EA3913" w:rsidRDefault="00366F2F" w:rsidP="006138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3913">
              <w:rPr>
                <w:rFonts w:ascii="Times New Roman" w:eastAsia="Gungsuh" w:hAnsi="Times New Roman" w:cs="Times New Roman"/>
                <w:sz w:val="18"/>
                <w:szCs w:val="18"/>
              </w:rPr>
              <w:t>≥30 days</w:t>
            </w:r>
          </w:p>
          <w:p w14:paraId="23BC95EA" w14:textId="77777777" w:rsidR="00366F2F" w:rsidRPr="00EA3913" w:rsidRDefault="00366F2F" w:rsidP="006138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FFF1D" w14:textId="77777777" w:rsidR="00366F2F" w:rsidRPr="00EA3913" w:rsidRDefault="00366F2F" w:rsidP="006138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3913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AAB7E" w14:textId="77777777" w:rsidR="00366F2F" w:rsidRPr="00EA3913" w:rsidRDefault="00366F2F" w:rsidP="006138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3913">
              <w:rPr>
                <w:rFonts w:ascii="Times New Roman" w:eastAsia="Times New Roman" w:hAnsi="Times New Roman" w:cs="Times New Roman"/>
                <w:sz w:val="18"/>
                <w:szCs w:val="18"/>
              </w:rPr>
              <w:t>4.00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1BDD8" w14:textId="77777777" w:rsidR="00366F2F" w:rsidRPr="00EA3913" w:rsidRDefault="00366F2F" w:rsidP="006138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3913">
              <w:rPr>
                <w:rFonts w:ascii="Times New Roman" w:eastAsia="Times New Roman" w:hAnsi="Times New Roman" w:cs="Times New Roman"/>
                <w:sz w:val="18"/>
                <w:szCs w:val="18"/>
              </w:rPr>
              <w:t>0.85–18.84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CBC5F" w14:textId="77777777" w:rsidR="00366F2F" w:rsidRPr="00EA3913" w:rsidRDefault="00366F2F" w:rsidP="006138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3913">
              <w:rPr>
                <w:rFonts w:ascii="Times New Roman" w:eastAsia="Times New Roman" w:hAnsi="Times New Roman" w:cs="Times New Roman"/>
                <w:sz w:val="18"/>
                <w:szCs w:val="18"/>
              </w:rPr>
              <w:t>0.080</w:t>
            </w:r>
          </w:p>
        </w:tc>
      </w:tr>
    </w:tbl>
    <w:p w14:paraId="7D3FDACD" w14:textId="77777777" w:rsidR="00366F2F" w:rsidRPr="00EA3913" w:rsidRDefault="00366F2F" w:rsidP="00366F2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EA3913">
        <w:rPr>
          <w:rFonts w:ascii="Times New Roman" w:eastAsia="Times New Roman" w:hAnsi="Times New Roman" w:cs="Times New Roman"/>
          <w:sz w:val="18"/>
          <w:szCs w:val="18"/>
        </w:rPr>
        <w:t>Hazard ratios derived from subclass-stratified Cox proportional hazards models accounting for propensity-score–matched pairs.</w:t>
      </w:r>
    </w:p>
    <w:p w14:paraId="15B9E62F" w14:textId="77777777" w:rsidR="00366F2F" w:rsidRPr="00EA3913" w:rsidRDefault="00366F2F" w:rsidP="00366F2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7C0485B" w14:textId="77777777" w:rsidR="00366F2F" w:rsidRPr="00EA3913" w:rsidRDefault="00366F2F" w:rsidP="00366F2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1765AA8" w14:textId="77777777" w:rsidR="00951C12" w:rsidRDefault="00951C12"/>
    <w:sectPr w:rsidR="00951C1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C12"/>
    <w:rsid w:val="00366F2F"/>
    <w:rsid w:val="003734C2"/>
    <w:rsid w:val="0095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C9264"/>
  <w15:chartTrackingRefBased/>
  <w15:docId w15:val="{C6DFDE45-4853-463E-8946-105CFBEA1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F2F"/>
    <w:rPr>
      <w:rFonts w:ascii="Calibri" w:eastAsia="Calibri" w:hAnsi="Calibri" w:cs="Calibri"/>
      <w:kern w:val="0"/>
      <w:lang w:val="en" w:eastAsia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1C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CA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C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CA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C1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CA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C1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CA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C1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CA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C1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CA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C1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CA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C1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CA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C1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CA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C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C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C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C1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C1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C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C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C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C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1C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51C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C1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CA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51C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1C12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CA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51C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1C12"/>
    <w:pPr>
      <w:ind w:left="720"/>
      <w:contextualSpacing/>
    </w:pPr>
    <w:rPr>
      <w:rFonts w:asciiTheme="minorHAnsi" w:eastAsiaTheme="minorHAnsi" w:hAnsiTheme="minorHAnsi" w:cstheme="minorBidi"/>
      <w:kern w:val="2"/>
      <w:lang w:val="en-CA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51C1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C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CA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C1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1C1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Kwan</dc:creator>
  <cp:keywords/>
  <dc:description/>
  <cp:lastModifiedBy>Angela Kwan</cp:lastModifiedBy>
  <cp:revision>2</cp:revision>
  <dcterms:created xsi:type="dcterms:W3CDTF">2026-06-29T03:48:00Z</dcterms:created>
  <dcterms:modified xsi:type="dcterms:W3CDTF">2026-06-29T03:49:00Z</dcterms:modified>
</cp:coreProperties>
</file>