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354E" w14:textId="77777777" w:rsidR="001269FB" w:rsidRPr="001269FB" w:rsidRDefault="001269FB" w:rsidP="001269FB">
      <w:pPr>
        <w:rPr>
          <w:b/>
          <w:bCs/>
          <w:lang w:val="en-US"/>
        </w:rPr>
      </w:pPr>
      <w:r w:rsidRPr="001269FB">
        <w:rPr>
          <w:b/>
          <w:bCs/>
          <w:lang w:val="en-US"/>
        </w:rPr>
        <w:t>Extended Data Figure 1</w:t>
      </w:r>
    </w:p>
    <w:p w14:paraId="660FD1B1" w14:textId="416F9ABA" w:rsidR="001269FB" w:rsidRPr="001269FB" w:rsidRDefault="001269FB" w:rsidP="001269FB">
      <w:pPr>
        <w:rPr>
          <w:lang w:val="en-US"/>
        </w:rPr>
      </w:pPr>
      <w:r w:rsidRPr="001269FB">
        <w:rPr>
          <w:lang w:val="en-US"/>
        </w:rPr>
        <w:drawing>
          <wp:anchor distT="0" distB="0" distL="114300" distR="114300" simplePos="0" relativeHeight="251659264" behindDoc="1" locked="0" layoutInCell="1" allowOverlap="1" wp14:anchorId="32AD5B5E" wp14:editId="6502AD33">
            <wp:simplePos x="0" y="0"/>
            <wp:positionH relativeFrom="column">
              <wp:posOffset>-21590</wp:posOffset>
            </wp:positionH>
            <wp:positionV relativeFrom="paragraph">
              <wp:posOffset>81915</wp:posOffset>
            </wp:positionV>
            <wp:extent cx="5273040" cy="8511540"/>
            <wp:effectExtent l="0" t="0" r="3810" b="3810"/>
            <wp:wrapNone/>
            <wp:docPr id="5823636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851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C63C6" w14:textId="77777777" w:rsidR="001269FB" w:rsidRPr="001269FB" w:rsidRDefault="001269FB" w:rsidP="001269FB">
      <w:pPr>
        <w:rPr>
          <w:b/>
          <w:bCs/>
          <w:lang w:val="en-US"/>
        </w:rPr>
      </w:pPr>
      <w:bookmarkStart w:id="0" w:name="_sent_427"/>
    </w:p>
    <w:p w14:paraId="12BC48B2" w14:textId="77777777" w:rsidR="001269FB" w:rsidRPr="001269FB" w:rsidRDefault="001269FB" w:rsidP="001269FB">
      <w:pPr>
        <w:rPr>
          <w:b/>
          <w:bCs/>
          <w:lang w:val="en-US"/>
        </w:rPr>
      </w:pPr>
    </w:p>
    <w:p w14:paraId="5C3D9D1E" w14:textId="77777777" w:rsidR="001269FB" w:rsidRPr="001269FB" w:rsidRDefault="001269FB" w:rsidP="001269FB">
      <w:pPr>
        <w:rPr>
          <w:b/>
          <w:bCs/>
          <w:lang w:val="en-US"/>
        </w:rPr>
      </w:pPr>
    </w:p>
    <w:p w14:paraId="42C17A8A" w14:textId="77777777" w:rsidR="001269FB" w:rsidRPr="001269FB" w:rsidRDefault="001269FB" w:rsidP="001269FB">
      <w:pPr>
        <w:rPr>
          <w:b/>
          <w:bCs/>
          <w:lang w:val="en-US"/>
        </w:rPr>
      </w:pPr>
    </w:p>
    <w:p w14:paraId="1386D687" w14:textId="77777777" w:rsidR="001269FB" w:rsidRPr="001269FB" w:rsidRDefault="001269FB" w:rsidP="001269FB">
      <w:pPr>
        <w:rPr>
          <w:b/>
          <w:bCs/>
          <w:lang w:val="en-US"/>
        </w:rPr>
      </w:pPr>
    </w:p>
    <w:p w14:paraId="36E0BD14" w14:textId="77777777" w:rsidR="001269FB" w:rsidRPr="001269FB" w:rsidRDefault="001269FB" w:rsidP="001269FB">
      <w:pPr>
        <w:rPr>
          <w:b/>
          <w:bCs/>
          <w:lang w:val="en-US"/>
        </w:rPr>
      </w:pPr>
    </w:p>
    <w:p w14:paraId="66C27F68" w14:textId="77777777" w:rsidR="001269FB" w:rsidRPr="001269FB" w:rsidRDefault="001269FB" w:rsidP="001269FB">
      <w:pPr>
        <w:rPr>
          <w:b/>
          <w:bCs/>
          <w:lang w:val="en-US"/>
        </w:rPr>
      </w:pPr>
    </w:p>
    <w:p w14:paraId="4E9E9C23" w14:textId="77777777" w:rsidR="001269FB" w:rsidRPr="001269FB" w:rsidRDefault="001269FB" w:rsidP="001269FB">
      <w:pPr>
        <w:rPr>
          <w:b/>
          <w:bCs/>
          <w:lang w:val="en-US"/>
        </w:rPr>
      </w:pPr>
    </w:p>
    <w:p w14:paraId="35D8BF03" w14:textId="77777777" w:rsidR="001269FB" w:rsidRPr="001269FB" w:rsidRDefault="001269FB" w:rsidP="001269FB">
      <w:pPr>
        <w:rPr>
          <w:b/>
          <w:bCs/>
          <w:lang w:val="en-US"/>
        </w:rPr>
      </w:pPr>
    </w:p>
    <w:p w14:paraId="572496D4" w14:textId="77777777" w:rsidR="001269FB" w:rsidRPr="001269FB" w:rsidRDefault="001269FB" w:rsidP="001269FB">
      <w:pPr>
        <w:rPr>
          <w:b/>
          <w:bCs/>
          <w:lang w:val="en-US"/>
        </w:rPr>
      </w:pPr>
    </w:p>
    <w:p w14:paraId="31BB1A75" w14:textId="77777777" w:rsidR="001269FB" w:rsidRPr="001269FB" w:rsidRDefault="001269FB" w:rsidP="001269FB">
      <w:pPr>
        <w:rPr>
          <w:b/>
          <w:bCs/>
          <w:lang w:val="en-US"/>
        </w:rPr>
      </w:pPr>
    </w:p>
    <w:p w14:paraId="71F2D35E" w14:textId="77777777" w:rsidR="001269FB" w:rsidRPr="001269FB" w:rsidRDefault="001269FB" w:rsidP="001269FB">
      <w:pPr>
        <w:rPr>
          <w:b/>
          <w:bCs/>
          <w:lang w:val="en-US"/>
        </w:rPr>
      </w:pPr>
    </w:p>
    <w:p w14:paraId="0BA3A753" w14:textId="77777777" w:rsidR="001269FB" w:rsidRPr="001269FB" w:rsidRDefault="001269FB" w:rsidP="001269FB">
      <w:pPr>
        <w:rPr>
          <w:b/>
          <w:bCs/>
          <w:lang w:val="en-US"/>
        </w:rPr>
      </w:pPr>
    </w:p>
    <w:p w14:paraId="2056DD77" w14:textId="77777777" w:rsidR="001269FB" w:rsidRPr="001269FB" w:rsidRDefault="001269FB" w:rsidP="001269FB">
      <w:pPr>
        <w:rPr>
          <w:b/>
          <w:bCs/>
          <w:lang w:val="en-US"/>
        </w:rPr>
      </w:pPr>
    </w:p>
    <w:p w14:paraId="3F7AEE8E" w14:textId="77777777" w:rsidR="001269FB" w:rsidRPr="001269FB" w:rsidRDefault="001269FB" w:rsidP="001269FB">
      <w:pPr>
        <w:rPr>
          <w:b/>
          <w:bCs/>
          <w:lang w:val="en-US"/>
        </w:rPr>
      </w:pPr>
    </w:p>
    <w:p w14:paraId="6A1E8CA2" w14:textId="77777777" w:rsidR="001269FB" w:rsidRPr="001269FB" w:rsidRDefault="001269FB" w:rsidP="001269FB">
      <w:pPr>
        <w:rPr>
          <w:b/>
          <w:bCs/>
          <w:lang w:val="en-US"/>
        </w:rPr>
      </w:pPr>
    </w:p>
    <w:p w14:paraId="310614E5" w14:textId="77777777" w:rsidR="001269FB" w:rsidRPr="001269FB" w:rsidRDefault="001269FB" w:rsidP="001269FB">
      <w:pPr>
        <w:rPr>
          <w:b/>
          <w:bCs/>
          <w:lang w:val="en-US"/>
        </w:rPr>
      </w:pPr>
    </w:p>
    <w:p w14:paraId="515C5A33" w14:textId="77777777" w:rsidR="001269FB" w:rsidRPr="001269FB" w:rsidRDefault="001269FB" w:rsidP="001269FB">
      <w:pPr>
        <w:rPr>
          <w:b/>
          <w:bCs/>
          <w:lang w:val="en-US"/>
        </w:rPr>
      </w:pPr>
    </w:p>
    <w:p w14:paraId="5EFD3B87" w14:textId="77777777" w:rsidR="001269FB" w:rsidRPr="001269FB" w:rsidRDefault="001269FB" w:rsidP="001269FB">
      <w:pPr>
        <w:rPr>
          <w:b/>
          <w:bCs/>
          <w:lang w:val="en-US"/>
        </w:rPr>
      </w:pPr>
    </w:p>
    <w:p w14:paraId="33E1A48D" w14:textId="77777777" w:rsidR="001269FB" w:rsidRPr="001269FB" w:rsidRDefault="001269FB" w:rsidP="001269FB">
      <w:pPr>
        <w:rPr>
          <w:b/>
          <w:bCs/>
          <w:lang w:val="en-US"/>
        </w:rPr>
      </w:pPr>
    </w:p>
    <w:p w14:paraId="72728E62" w14:textId="77777777" w:rsidR="001269FB" w:rsidRPr="001269FB" w:rsidRDefault="001269FB" w:rsidP="001269FB">
      <w:pPr>
        <w:rPr>
          <w:b/>
          <w:bCs/>
          <w:lang w:val="en-US"/>
        </w:rPr>
      </w:pPr>
    </w:p>
    <w:p w14:paraId="2FCD4BA6" w14:textId="77777777" w:rsidR="001269FB" w:rsidRPr="001269FB" w:rsidRDefault="001269FB" w:rsidP="001269FB">
      <w:pPr>
        <w:rPr>
          <w:b/>
          <w:bCs/>
          <w:lang w:val="en-US"/>
        </w:rPr>
      </w:pPr>
    </w:p>
    <w:p w14:paraId="71DBF77E" w14:textId="77777777" w:rsidR="001269FB" w:rsidRPr="001269FB" w:rsidRDefault="001269FB" w:rsidP="001269FB">
      <w:pPr>
        <w:rPr>
          <w:b/>
          <w:bCs/>
          <w:lang w:val="en-US"/>
        </w:rPr>
      </w:pPr>
    </w:p>
    <w:p w14:paraId="1EB294F6" w14:textId="77777777" w:rsidR="001269FB" w:rsidRPr="001269FB" w:rsidRDefault="001269FB" w:rsidP="001269FB">
      <w:pPr>
        <w:rPr>
          <w:b/>
          <w:bCs/>
          <w:lang w:val="en-US"/>
        </w:rPr>
      </w:pPr>
    </w:p>
    <w:p w14:paraId="44096255" w14:textId="77777777" w:rsidR="001269FB" w:rsidRPr="001269FB" w:rsidRDefault="001269FB" w:rsidP="001269FB">
      <w:pPr>
        <w:rPr>
          <w:b/>
          <w:bCs/>
          <w:lang w:val="en-US"/>
        </w:rPr>
      </w:pPr>
    </w:p>
    <w:p w14:paraId="370E1CDD" w14:textId="77777777" w:rsidR="001269FB" w:rsidRPr="001269FB" w:rsidRDefault="001269FB" w:rsidP="001269FB">
      <w:pPr>
        <w:rPr>
          <w:b/>
          <w:bCs/>
          <w:lang w:val="en-US"/>
        </w:rPr>
      </w:pPr>
    </w:p>
    <w:p w14:paraId="337616CA" w14:textId="77777777" w:rsidR="001269FB" w:rsidRPr="001269FB" w:rsidRDefault="001269FB" w:rsidP="001269FB">
      <w:pPr>
        <w:rPr>
          <w:b/>
          <w:bCs/>
          <w:lang w:val="en-US"/>
        </w:rPr>
      </w:pPr>
    </w:p>
    <w:p w14:paraId="54550851" w14:textId="77777777" w:rsidR="001269FB" w:rsidRPr="001269FB" w:rsidRDefault="001269FB" w:rsidP="001269FB">
      <w:pPr>
        <w:rPr>
          <w:b/>
          <w:bCs/>
          <w:lang w:val="en-US"/>
        </w:rPr>
      </w:pPr>
      <w:r w:rsidRPr="001269FB">
        <w:rPr>
          <w:b/>
          <w:bCs/>
          <w:lang w:val="en-US"/>
        </w:rPr>
        <w:t>Extended Data Fig. 1.</w:t>
      </w:r>
      <w:bookmarkEnd w:id="0"/>
      <w:r w:rsidRPr="001269FB">
        <w:rPr>
          <w:b/>
          <w:bCs/>
          <w:lang w:val="en-US"/>
        </w:rPr>
        <w:t xml:space="preserve"> </w:t>
      </w:r>
      <w:bookmarkStart w:id="1" w:name="_sent_428"/>
      <w:r w:rsidRPr="001269FB">
        <w:rPr>
          <w:b/>
          <w:bCs/>
          <w:lang w:val="en-US"/>
        </w:rPr>
        <w:t xml:space="preserve">Biological and surgery-related information in patients with excessive femoral </w:t>
      </w:r>
      <w:proofErr w:type="gramStart"/>
      <w:r w:rsidRPr="001269FB">
        <w:rPr>
          <w:b/>
          <w:bCs/>
          <w:lang w:val="en-US"/>
        </w:rPr>
        <w:t>callus</w:t>
      </w:r>
      <w:proofErr w:type="gramEnd"/>
      <w:r w:rsidRPr="001269FB">
        <w:rPr>
          <w:b/>
          <w:bCs/>
          <w:lang w:val="en-US"/>
        </w:rPr>
        <w:t>, and TBI promoted the transportation through PAS pathway in mice (related to Figure 1).</w:t>
      </w:r>
      <w:bookmarkEnd w:id="1"/>
    </w:p>
    <w:p w14:paraId="5D2CE976" w14:textId="77777777" w:rsidR="001269FB" w:rsidRPr="001269FB" w:rsidRDefault="001269FB" w:rsidP="001269FB">
      <w:pPr>
        <w:rPr>
          <w:lang w:val="en-US"/>
        </w:rPr>
      </w:pPr>
      <w:bookmarkStart w:id="2" w:name="_sent_429"/>
      <w:r w:rsidRPr="001269FB">
        <w:rPr>
          <w:b/>
          <w:bCs/>
          <w:lang w:val="en-US"/>
        </w:rPr>
        <w:t>(A)</w:t>
      </w:r>
      <w:r w:rsidRPr="001269FB">
        <w:rPr>
          <w:lang w:val="en-US"/>
        </w:rPr>
        <w:t xml:space="preserve"> Sex distribution of patients with femoral fracture alone and femoral fracture combined with TBI (n = 30)</w:t>
      </w:r>
      <w:bookmarkEnd w:id="2"/>
      <w:r w:rsidRPr="001269FB">
        <w:rPr>
          <w:lang w:val="en-US"/>
        </w:rPr>
        <w:t>;</w:t>
      </w:r>
      <w:bookmarkStart w:id="3" w:name="_sent_430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(B)</w:t>
      </w:r>
      <w:r w:rsidRPr="001269FB">
        <w:rPr>
          <w:lang w:val="en-US"/>
        </w:rPr>
        <w:t xml:space="preserve"> Age distribution of patients with femoral fracture alone and femoral fracture combined with TBI.</w:t>
      </w:r>
      <w:bookmarkEnd w:id="3"/>
      <w:r w:rsidRPr="001269FB">
        <w:rPr>
          <w:lang w:val="en-US"/>
        </w:rPr>
        <w:t xml:space="preserve"> </w:t>
      </w:r>
      <w:bookmarkStart w:id="4" w:name="_sent_431"/>
      <w:r w:rsidRPr="001269FB">
        <w:rPr>
          <w:lang w:val="en-US"/>
        </w:rPr>
        <w:t>The data are shown as the mean ± SEM (n = 30)</w:t>
      </w:r>
      <w:bookmarkEnd w:id="4"/>
      <w:r w:rsidRPr="001269FB">
        <w:rPr>
          <w:lang w:val="en-US"/>
        </w:rPr>
        <w:t>;</w:t>
      </w:r>
      <w:bookmarkStart w:id="5" w:name="_sent_432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(C)</w:t>
      </w:r>
      <w:r w:rsidRPr="001269FB">
        <w:rPr>
          <w:lang w:val="en-US"/>
        </w:rPr>
        <w:t xml:space="preserve"> Surgical duration in patients with femoral fracture alone and femoral fracture combined with TBI.</w:t>
      </w:r>
      <w:bookmarkEnd w:id="5"/>
      <w:r w:rsidRPr="001269FB">
        <w:rPr>
          <w:lang w:val="en-US"/>
        </w:rPr>
        <w:t xml:space="preserve"> </w:t>
      </w:r>
      <w:bookmarkStart w:id="6" w:name="_sent_433"/>
      <w:r w:rsidRPr="001269FB">
        <w:rPr>
          <w:lang w:val="en-US"/>
        </w:rPr>
        <w:t>The data are shown as the mean ± SEM (n = 30)</w:t>
      </w:r>
      <w:bookmarkEnd w:id="6"/>
      <w:r w:rsidRPr="001269FB">
        <w:rPr>
          <w:lang w:val="en-US"/>
        </w:rPr>
        <w:t>;</w:t>
      </w:r>
      <w:bookmarkStart w:id="7" w:name="_sent_434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(D)</w:t>
      </w:r>
      <w:r w:rsidRPr="001269FB">
        <w:rPr>
          <w:lang w:val="en-US"/>
        </w:rPr>
        <w:t xml:space="preserve"> Anesthesia duration in patients with femoral fracture alone and femoral fracture combined with TBI.</w:t>
      </w:r>
      <w:bookmarkEnd w:id="7"/>
      <w:r w:rsidRPr="001269FB">
        <w:rPr>
          <w:lang w:val="en-US"/>
        </w:rPr>
        <w:t xml:space="preserve"> </w:t>
      </w:r>
      <w:bookmarkStart w:id="8" w:name="_sent_435"/>
      <w:r w:rsidRPr="001269FB">
        <w:rPr>
          <w:lang w:val="en-US"/>
        </w:rPr>
        <w:t>The data are shown as the mean ± SEM (n = 30)</w:t>
      </w:r>
      <w:bookmarkEnd w:id="8"/>
      <w:r w:rsidRPr="001269FB">
        <w:rPr>
          <w:lang w:val="en-US"/>
        </w:rPr>
        <w:t>;</w:t>
      </w:r>
      <w:bookmarkStart w:id="9" w:name="_sent_436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(E)</w:t>
      </w:r>
      <w:r w:rsidRPr="001269FB">
        <w:rPr>
          <w:lang w:val="en-US"/>
        </w:rPr>
        <w:t xml:space="preserve"> Intraoperative blood loss in patients with femoral fracture alone and femoral fracture combined with TBI.</w:t>
      </w:r>
      <w:bookmarkEnd w:id="9"/>
      <w:r w:rsidRPr="001269FB">
        <w:rPr>
          <w:lang w:val="en-US"/>
        </w:rPr>
        <w:t xml:space="preserve"> </w:t>
      </w:r>
      <w:bookmarkStart w:id="10" w:name="_sent_437"/>
      <w:r w:rsidRPr="001269FB">
        <w:rPr>
          <w:lang w:val="en-US"/>
        </w:rPr>
        <w:t>The data are shown as the mean ± SEM (n = 30)</w:t>
      </w:r>
      <w:bookmarkEnd w:id="10"/>
      <w:r w:rsidRPr="001269FB">
        <w:rPr>
          <w:lang w:val="en-US"/>
        </w:rPr>
        <w:t>;</w:t>
      </w:r>
      <w:bookmarkStart w:id="11" w:name="_sent_438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(F)</w:t>
      </w:r>
      <w:r w:rsidRPr="001269FB">
        <w:rPr>
          <w:lang w:val="en-US"/>
        </w:rPr>
        <w:t xml:space="preserve"> Distribution of FITC-D40 in anterior (0.62 relative to bregma) and posterior (-1.34 relative to bregma) sections of the cerebrum</w:t>
      </w:r>
      <w:bookmarkEnd w:id="11"/>
      <w:r w:rsidRPr="001269FB">
        <w:rPr>
          <w:lang w:val="en-US"/>
        </w:rPr>
        <w:t>;</w:t>
      </w:r>
      <w:bookmarkStart w:id="12" w:name="_sent_439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(G)</w:t>
      </w:r>
      <w:r w:rsidRPr="001269FB">
        <w:rPr>
          <w:lang w:val="en-US"/>
        </w:rPr>
        <w:t xml:space="preserve"> Distribution of FITC-D40 in the cervical (C3), thoracic (T5), and lumbar (L3) spinal cord</w:t>
      </w:r>
      <w:bookmarkEnd w:id="12"/>
      <w:r w:rsidRPr="001269FB">
        <w:rPr>
          <w:lang w:val="en-US"/>
        </w:rPr>
        <w:t>;</w:t>
      </w:r>
      <w:bookmarkStart w:id="13" w:name="_sent_440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(H)</w:t>
      </w:r>
      <w:r w:rsidRPr="001269FB">
        <w:rPr>
          <w:lang w:val="en-US"/>
        </w:rPr>
        <w:t xml:space="preserve"> Normalized relative changes in the FITC-D40 distribution in anterior and posterior sections of the cerebrum.</w:t>
      </w:r>
      <w:bookmarkEnd w:id="13"/>
      <w:r w:rsidRPr="001269FB">
        <w:rPr>
          <w:lang w:val="en-US"/>
        </w:rPr>
        <w:t xml:space="preserve"> </w:t>
      </w:r>
      <w:bookmarkStart w:id="14" w:name="_sent_441"/>
      <w:r w:rsidRPr="001269FB">
        <w:rPr>
          <w:lang w:val="en-US"/>
        </w:rPr>
        <w:t>The data are shown as the mean ± SEM (n = 6)</w:t>
      </w:r>
      <w:bookmarkEnd w:id="14"/>
      <w:r w:rsidRPr="001269FB">
        <w:rPr>
          <w:lang w:val="en-US"/>
        </w:rPr>
        <w:t>;</w:t>
      </w:r>
      <w:bookmarkStart w:id="15" w:name="_sent_442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(I)</w:t>
      </w:r>
      <w:r w:rsidRPr="001269FB">
        <w:rPr>
          <w:lang w:val="en-US"/>
        </w:rPr>
        <w:t xml:space="preserve"> Normalized relative changes in FITC-D40 distribution in the cervical, thoracic, and lumbar spinal cord.</w:t>
      </w:r>
      <w:bookmarkEnd w:id="15"/>
      <w:r w:rsidRPr="001269FB">
        <w:rPr>
          <w:lang w:val="en-US"/>
        </w:rPr>
        <w:t xml:space="preserve"> </w:t>
      </w:r>
      <w:bookmarkStart w:id="16" w:name="_sent_443"/>
      <w:r w:rsidRPr="001269FB">
        <w:rPr>
          <w:lang w:val="en-US"/>
        </w:rPr>
        <w:t>The data are shown as the mean ± SEM (n = 6)</w:t>
      </w:r>
      <w:bookmarkStart w:id="17" w:name="_sent_444"/>
      <w:bookmarkEnd w:id="16"/>
      <w:r w:rsidRPr="001269FB">
        <w:rPr>
          <w:lang w:val="en-US"/>
        </w:rPr>
        <w:t xml:space="preserve">; </w:t>
      </w:r>
      <w:r w:rsidRPr="001269FB">
        <w:rPr>
          <w:b/>
          <w:bCs/>
          <w:lang w:val="en-US"/>
        </w:rPr>
        <w:t>(J)</w:t>
      </w:r>
      <w:r w:rsidRPr="001269FB">
        <w:rPr>
          <w:lang w:val="en-US"/>
        </w:rPr>
        <w:t xml:space="preserve"> Optical images of the mouse brain, spinal cord, and sciatic nerve after CIM injections of blue dye (cadaverine)</w:t>
      </w:r>
      <w:bookmarkEnd w:id="17"/>
      <w:r w:rsidRPr="001269FB">
        <w:rPr>
          <w:lang w:val="en-US"/>
        </w:rPr>
        <w:t>;</w:t>
      </w:r>
      <w:bookmarkStart w:id="18" w:name="_sent_445"/>
      <w:r w:rsidRPr="001269FB">
        <w:rPr>
          <w:lang w:val="en-US"/>
        </w:rPr>
        <w:t xml:space="preserve"> 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0.05, **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0.01 and ***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0.001.</w:t>
      </w:r>
      <w:bookmarkEnd w:id="18"/>
    </w:p>
    <w:p w14:paraId="1F052C23" w14:textId="77777777" w:rsidR="001269FB" w:rsidRPr="001269FB" w:rsidRDefault="001269FB" w:rsidP="001269FB">
      <w:pPr>
        <w:rPr>
          <w:lang w:val="en-US"/>
        </w:rPr>
      </w:pPr>
    </w:p>
    <w:p w14:paraId="247AED25" w14:textId="77777777" w:rsidR="001269FB" w:rsidRPr="001269FB" w:rsidRDefault="001269FB" w:rsidP="001269FB">
      <w:pPr>
        <w:rPr>
          <w:lang w:val="en-US"/>
        </w:rPr>
      </w:pPr>
    </w:p>
    <w:p w14:paraId="1AE86149" w14:textId="77777777" w:rsidR="001269FB" w:rsidRPr="001269FB" w:rsidRDefault="001269FB" w:rsidP="001269FB">
      <w:pPr>
        <w:rPr>
          <w:lang w:val="en-US"/>
        </w:rPr>
      </w:pPr>
    </w:p>
    <w:p w14:paraId="5FE8F3E0" w14:textId="77777777" w:rsidR="001269FB" w:rsidRPr="001269FB" w:rsidRDefault="001269FB" w:rsidP="001269FB">
      <w:pPr>
        <w:rPr>
          <w:lang w:val="en-US"/>
        </w:rPr>
      </w:pPr>
    </w:p>
    <w:p w14:paraId="06E0C7B9" w14:textId="77777777" w:rsidR="001269FB" w:rsidRPr="001269FB" w:rsidRDefault="001269FB" w:rsidP="001269FB">
      <w:pPr>
        <w:rPr>
          <w:lang w:val="en-US"/>
        </w:rPr>
      </w:pPr>
    </w:p>
    <w:p w14:paraId="785AB488" w14:textId="77777777" w:rsidR="001269FB" w:rsidRPr="001269FB" w:rsidRDefault="001269FB" w:rsidP="001269FB">
      <w:pPr>
        <w:rPr>
          <w:lang w:val="en-US"/>
        </w:rPr>
      </w:pPr>
    </w:p>
    <w:p w14:paraId="4ACCCBAD" w14:textId="77777777" w:rsidR="001269FB" w:rsidRPr="001269FB" w:rsidRDefault="001269FB" w:rsidP="001269FB">
      <w:pPr>
        <w:rPr>
          <w:lang w:val="en-US"/>
        </w:rPr>
      </w:pPr>
    </w:p>
    <w:p w14:paraId="2DAE98DF" w14:textId="77777777" w:rsidR="001269FB" w:rsidRPr="001269FB" w:rsidRDefault="001269FB" w:rsidP="001269FB">
      <w:pPr>
        <w:rPr>
          <w:lang w:val="en-US"/>
        </w:rPr>
      </w:pPr>
    </w:p>
    <w:p w14:paraId="1E2B6181" w14:textId="77777777" w:rsidR="001269FB" w:rsidRPr="001269FB" w:rsidRDefault="001269FB" w:rsidP="001269FB">
      <w:pPr>
        <w:rPr>
          <w:lang w:val="en-US"/>
        </w:rPr>
      </w:pPr>
    </w:p>
    <w:p w14:paraId="01485813" w14:textId="77777777" w:rsidR="001269FB" w:rsidRPr="001269FB" w:rsidRDefault="001269FB" w:rsidP="001269FB">
      <w:pPr>
        <w:rPr>
          <w:lang w:val="en-US"/>
        </w:rPr>
      </w:pPr>
    </w:p>
    <w:p w14:paraId="4F678BF2" w14:textId="77777777" w:rsidR="001269FB" w:rsidRPr="001269FB" w:rsidRDefault="001269FB" w:rsidP="001269FB">
      <w:pPr>
        <w:rPr>
          <w:b/>
          <w:bCs/>
          <w:lang w:val="en-US"/>
        </w:rPr>
      </w:pPr>
      <w:r w:rsidRPr="001269FB">
        <w:rPr>
          <w:b/>
          <w:bCs/>
          <w:lang w:val="en-US"/>
        </w:rPr>
        <w:t>Extended Data Figure 2</w:t>
      </w:r>
    </w:p>
    <w:p w14:paraId="5270A1D9" w14:textId="17C67CC8" w:rsidR="001269FB" w:rsidRPr="001269FB" w:rsidRDefault="001269FB" w:rsidP="001269FB">
      <w:pPr>
        <w:rPr>
          <w:lang w:val="en-US"/>
        </w:rPr>
      </w:pPr>
      <w:r w:rsidRPr="001269FB">
        <w:rPr>
          <w:lang w:val="en-US"/>
        </w:rPr>
        <w:lastRenderedPageBreak/>
        <w:drawing>
          <wp:inline distT="0" distB="0" distL="0" distR="0" wp14:anchorId="3F96F1CD" wp14:editId="729BFB40">
            <wp:extent cx="5276850" cy="5391150"/>
            <wp:effectExtent l="0" t="0" r="0" b="0"/>
            <wp:docPr id="15199005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DEC74" w14:textId="77777777" w:rsidR="001269FB" w:rsidRPr="001269FB" w:rsidRDefault="001269FB" w:rsidP="001269FB">
      <w:pPr>
        <w:rPr>
          <w:b/>
          <w:bCs/>
          <w:lang w:val="en-US"/>
        </w:rPr>
      </w:pPr>
      <w:bookmarkStart w:id="19" w:name="_sent_446"/>
    </w:p>
    <w:p w14:paraId="39650A30" w14:textId="77777777" w:rsidR="001269FB" w:rsidRPr="001269FB" w:rsidRDefault="001269FB" w:rsidP="001269FB">
      <w:pPr>
        <w:rPr>
          <w:b/>
          <w:bCs/>
          <w:lang w:val="en-US"/>
        </w:rPr>
      </w:pPr>
      <w:r w:rsidRPr="001269FB">
        <w:rPr>
          <w:b/>
          <w:bCs/>
          <w:lang w:val="en-US"/>
        </w:rPr>
        <w:t>Extended Data Fig. 2.</w:t>
      </w:r>
      <w:bookmarkEnd w:id="19"/>
      <w:r w:rsidRPr="001269FB">
        <w:rPr>
          <w:b/>
          <w:bCs/>
          <w:lang w:val="en-US"/>
        </w:rPr>
        <w:t xml:space="preserve"> </w:t>
      </w:r>
      <w:bookmarkStart w:id="20" w:name="_sent_447"/>
      <w:r w:rsidRPr="001269FB">
        <w:rPr>
          <w:b/>
          <w:bCs/>
          <w:lang w:val="en-US"/>
        </w:rPr>
        <w:t>Comprehensive assessment of amino acid- and phospholipid-class metabolites in the brain and sciatic nerve tissues (related to Figure 2).</w:t>
      </w:r>
      <w:bookmarkEnd w:id="20"/>
    </w:p>
    <w:p w14:paraId="7444AA6D" w14:textId="77777777" w:rsidR="001269FB" w:rsidRPr="001269FB" w:rsidRDefault="001269FB" w:rsidP="001269FB">
      <w:pPr>
        <w:numPr>
          <w:ilvl w:val="0"/>
          <w:numId w:val="1"/>
        </w:numPr>
        <w:rPr>
          <w:lang w:val="en-US"/>
        </w:rPr>
      </w:pPr>
      <w:bookmarkStart w:id="21" w:name="_sent_448"/>
      <w:r w:rsidRPr="001269FB">
        <w:rPr>
          <w:lang w:val="en-US"/>
        </w:rPr>
        <w:t>Classification of metabolites</w:t>
      </w:r>
      <w:bookmarkEnd w:id="21"/>
      <w:r w:rsidRPr="001269FB">
        <w:rPr>
          <w:lang w:val="en-US"/>
        </w:rPr>
        <w:t>;</w:t>
      </w:r>
      <w:bookmarkStart w:id="22" w:name="_sent_449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(B)</w:t>
      </w:r>
      <w:r w:rsidRPr="001269FB">
        <w:rPr>
          <w:lang w:val="en-US"/>
        </w:rPr>
        <w:t xml:space="preserve"> Heatmap showing the levels of amino acid- and phospholipid-class metabolites in the injured-side brain tissue (n = 6)</w:t>
      </w:r>
      <w:bookmarkEnd w:id="22"/>
      <w:r w:rsidRPr="001269FB">
        <w:rPr>
          <w:lang w:val="en-US"/>
        </w:rPr>
        <w:t>;</w:t>
      </w:r>
      <w:bookmarkStart w:id="23" w:name="_sent_450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(C)</w:t>
      </w:r>
      <w:r w:rsidRPr="001269FB">
        <w:rPr>
          <w:lang w:val="en-US"/>
        </w:rPr>
        <w:t xml:space="preserve"> Heatmap showing the levels of amino acid- and phospholipid-class metabolites in sciatic nerve tissue (n = 6).</w:t>
      </w:r>
      <w:bookmarkEnd w:id="23"/>
    </w:p>
    <w:p w14:paraId="094B1362" w14:textId="77777777" w:rsidR="001269FB" w:rsidRPr="001269FB" w:rsidRDefault="001269FB" w:rsidP="001269FB">
      <w:pPr>
        <w:rPr>
          <w:lang w:val="en-US"/>
        </w:rPr>
      </w:pPr>
    </w:p>
    <w:p w14:paraId="20334CC7" w14:textId="77777777" w:rsidR="001269FB" w:rsidRPr="001269FB" w:rsidRDefault="001269FB" w:rsidP="001269FB">
      <w:pPr>
        <w:rPr>
          <w:lang w:val="en-US"/>
        </w:rPr>
      </w:pPr>
    </w:p>
    <w:p w14:paraId="6B152E48" w14:textId="77777777" w:rsidR="001269FB" w:rsidRPr="001269FB" w:rsidRDefault="001269FB" w:rsidP="001269FB">
      <w:pPr>
        <w:rPr>
          <w:lang w:val="en-US"/>
        </w:rPr>
      </w:pPr>
    </w:p>
    <w:p w14:paraId="269D5EA5" w14:textId="77777777" w:rsidR="001269FB" w:rsidRPr="001269FB" w:rsidRDefault="001269FB" w:rsidP="001269FB">
      <w:pPr>
        <w:rPr>
          <w:lang w:val="en-US"/>
        </w:rPr>
      </w:pPr>
      <w:r w:rsidRPr="001269FB">
        <w:rPr>
          <w:b/>
          <w:bCs/>
          <w:lang w:val="en-US"/>
        </w:rPr>
        <w:t>Extended Data Figure 3</w:t>
      </w:r>
    </w:p>
    <w:p w14:paraId="7E44955D" w14:textId="66BDA974" w:rsidR="001269FB" w:rsidRPr="001269FB" w:rsidRDefault="001269FB" w:rsidP="001269FB">
      <w:pPr>
        <w:rPr>
          <w:lang w:val="en-US"/>
        </w:rPr>
      </w:pPr>
      <w:r w:rsidRPr="001269FB">
        <w:rPr>
          <w:lang w:val="en-US"/>
        </w:rPr>
        <w:lastRenderedPageBreak/>
        <w:drawing>
          <wp:inline distT="0" distB="0" distL="0" distR="0" wp14:anchorId="1CC71859" wp14:editId="46A2E79B">
            <wp:extent cx="5267325" cy="5172075"/>
            <wp:effectExtent l="0" t="0" r="9525" b="9525"/>
            <wp:docPr id="20960237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2FE2F" w14:textId="77777777" w:rsidR="001269FB" w:rsidRPr="001269FB" w:rsidRDefault="001269FB" w:rsidP="001269FB">
      <w:pPr>
        <w:rPr>
          <w:b/>
          <w:bCs/>
          <w:lang w:val="en-US"/>
        </w:rPr>
      </w:pPr>
      <w:bookmarkStart w:id="24" w:name="_sent_451"/>
      <w:r w:rsidRPr="001269FB">
        <w:rPr>
          <w:b/>
          <w:bCs/>
          <w:lang w:val="en-US"/>
        </w:rPr>
        <w:t>Extended Data Fig. 3.</w:t>
      </w:r>
      <w:bookmarkEnd w:id="24"/>
      <w:r w:rsidRPr="001269FB">
        <w:rPr>
          <w:b/>
          <w:bCs/>
          <w:lang w:val="en-US"/>
        </w:rPr>
        <w:t xml:space="preserve"> </w:t>
      </w:r>
      <w:bookmarkStart w:id="25" w:name="_sent_452"/>
      <w:r w:rsidRPr="001269FB">
        <w:rPr>
          <w:b/>
          <w:bCs/>
          <w:lang w:val="en-US"/>
        </w:rPr>
        <w:t>Quantification of L-met, SLPC, and PLPC in PAS transportation-related tissues and in the sorted neural cells (related to Figure 3).</w:t>
      </w:r>
      <w:bookmarkEnd w:id="25"/>
    </w:p>
    <w:p w14:paraId="617E0C0B" w14:textId="77777777" w:rsidR="001269FB" w:rsidRPr="001269FB" w:rsidRDefault="001269FB" w:rsidP="001269FB">
      <w:pPr>
        <w:rPr>
          <w:lang w:val="en-US"/>
        </w:rPr>
      </w:pPr>
      <w:bookmarkStart w:id="26" w:name="_sent_453"/>
      <w:r w:rsidRPr="001269FB">
        <w:rPr>
          <w:b/>
          <w:bCs/>
          <w:lang w:val="en-US"/>
        </w:rPr>
        <w:t>(A)</w:t>
      </w:r>
      <w:r w:rsidRPr="001269FB">
        <w:rPr>
          <w:lang w:val="en-US"/>
        </w:rPr>
        <w:t xml:space="preserve"> Standard curve for L-met quantification</w:t>
      </w:r>
      <w:bookmarkEnd w:id="26"/>
      <w:r w:rsidRPr="001269FB">
        <w:rPr>
          <w:lang w:val="en-US"/>
        </w:rPr>
        <w:t>;</w:t>
      </w:r>
      <w:bookmarkStart w:id="27" w:name="_sent_454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(B)</w:t>
      </w:r>
      <w:r w:rsidRPr="001269FB">
        <w:rPr>
          <w:lang w:val="en-US"/>
        </w:rPr>
        <w:t xml:space="preserve"> Absolute levels of L-met in PAS-associated tissues of the mice.</w:t>
      </w:r>
      <w:bookmarkEnd w:id="27"/>
      <w:r w:rsidRPr="001269FB">
        <w:rPr>
          <w:lang w:val="en-US"/>
        </w:rPr>
        <w:t xml:space="preserve"> </w:t>
      </w:r>
      <w:bookmarkStart w:id="28" w:name="_sent_455"/>
      <w:r w:rsidRPr="001269FB">
        <w:rPr>
          <w:lang w:val="en-US"/>
        </w:rPr>
        <w:t xml:space="preserve">The data </w:t>
      </w:r>
      <w:proofErr w:type="gramStart"/>
      <w:r w:rsidRPr="001269FB">
        <w:rPr>
          <w:lang w:val="en-US"/>
        </w:rPr>
        <w:t>are</w:t>
      </w:r>
      <w:proofErr w:type="gramEnd"/>
      <w:r w:rsidRPr="001269FB">
        <w:rPr>
          <w:lang w:val="en-US"/>
        </w:rPr>
        <w:t xml:space="preserve"> shown as the mean ± SEM (n = 6)</w:t>
      </w:r>
      <w:bookmarkEnd w:id="28"/>
      <w:r w:rsidRPr="001269FB">
        <w:rPr>
          <w:lang w:val="en-US"/>
        </w:rPr>
        <w:t>;</w:t>
      </w:r>
      <w:bookmarkStart w:id="29" w:name="_sent_456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(C)</w:t>
      </w:r>
      <w:r w:rsidRPr="001269FB">
        <w:rPr>
          <w:lang w:val="en-US"/>
        </w:rPr>
        <w:t xml:space="preserve"> Standard curve for SLPC quantification</w:t>
      </w:r>
      <w:bookmarkEnd w:id="29"/>
      <w:r w:rsidRPr="001269FB">
        <w:rPr>
          <w:lang w:val="en-US"/>
        </w:rPr>
        <w:t>;</w:t>
      </w:r>
      <w:bookmarkStart w:id="30" w:name="_sent_457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(D)</w:t>
      </w:r>
      <w:r w:rsidRPr="001269FB">
        <w:rPr>
          <w:lang w:val="en-US"/>
        </w:rPr>
        <w:t xml:space="preserve"> Absolute levels of SLPC in PAS-associated tissues of the mice.</w:t>
      </w:r>
      <w:bookmarkEnd w:id="30"/>
      <w:r w:rsidRPr="001269FB">
        <w:rPr>
          <w:lang w:val="en-US"/>
        </w:rPr>
        <w:t xml:space="preserve"> </w:t>
      </w:r>
      <w:bookmarkStart w:id="31" w:name="_sent_458"/>
      <w:r w:rsidRPr="001269FB">
        <w:rPr>
          <w:lang w:val="en-US"/>
        </w:rPr>
        <w:t>The data are shown as the mean ± SEM (n = 6)</w:t>
      </w:r>
      <w:bookmarkEnd w:id="31"/>
      <w:r w:rsidRPr="001269FB">
        <w:rPr>
          <w:lang w:val="en-US"/>
        </w:rPr>
        <w:t>;</w:t>
      </w:r>
      <w:bookmarkStart w:id="32" w:name="_sent_459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(E)</w:t>
      </w:r>
      <w:r w:rsidRPr="001269FB">
        <w:rPr>
          <w:lang w:val="en-US"/>
        </w:rPr>
        <w:t xml:space="preserve"> Standard curve for PLPC quantification</w:t>
      </w:r>
      <w:bookmarkEnd w:id="32"/>
      <w:r w:rsidRPr="001269FB">
        <w:rPr>
          <w:lang w:val="en-US"/>
        </w:rPr>
        <w:t>;</w:t>
      </w:r>
      <w:bookmarkStart w:id="33" w:name="_sent_460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(F)</w:t>
      </w:r>
      <w:r w:rsidRPr="001269FB">
        <w:rPr>
          <w:lang w:val="en-US"/>
        </w:rPr>
        <w:t xml:space="preserve"> Absolute PLPC levels in PAS-associated tissues of the mice.</w:t>
      </w:r>
      <w:bookmarkEnd w:id="33"/>
      <w:r w:rsidRPr="001269FB">
        <w:rPr>
          <w:lang w:val="en-US"/>
        </w:rPr>
        <w:t xml:space="preserve"> </w:t>
      </w:r>
      <w:bookmarkStart w:id="34" w:name="_sent_461"/>
      <w:r w:rsidRPr="001269FB">
        <w:rPr>
          <w:lang w:val="en-US"/>
        </w:rPr>
        <w:t>The data are shown as the mean ± SEM (n = 6)</w:t>
      </w:r>
      <w:bookmarkEnd w:id="34"/>
      <w:r w:rsidRPr="001269FB">
        <w:rPr>
          <w:lang w:val="en-US"/>
        </w:rPr>
        <w:t>;</w:t>
      </w:r>
      <w:bookmarkStart w:id="35" w:name="_sent_462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(G)</w:t>
      </w:r>
      <w:r w:rsidRPr="001269FB">
        <w:rPr>
          <w:lang w:val="en-US"/>
        </w:rPr>
        <w:t xml:space="preserve"> Complete flow cytometry gating strategy for sorting brain neurons from Thy1-YFP transgenic mice</w:t>
      </w:r>
      <w:bookmarkEnd w:id="35"/>
      <w:r w:rsidRPr="001269FB">
        <w:rPr>
          <w:lang w:val="en-US"/>
        </w:rPr>
        <w:t>;</w:t>
      </w:r>
      <w:bookmarkStart w:id="36" w:name="_sent_463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(H)</w:t>
      </w:r>
      <w:r w:rsidRPr="001269FB">
        <w:rPr>
          <w:lang w:val="en-US"/>
        </w:rPr>
        <w:t xml:space="preserve"> Complete flow cytometry gating strategy for sorting brain astrocytes from Aldh1l1-EGFP transgenic mice</w:t>
      </w:r>
      <w:bookmarkEnd w:id="36"/>
      <w:r w:rsidRPr="001269FB">
        <w:rPr>
          <w:lang w:val="en-US"/>
        </w:rPr>
        <w:t>;</w:t>
      </w:r>
      <w:bookmarkStart w:id="37" w:name="_sent_464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(I)</w:t>
      </w:r>
      <w:r w:rsidRPr="001269FB">
        <w:rPr>
          <w:lang w:val="en-US"/>
        </w:rPr>
        <w:t xml:space="preserve"> Absolute levels of L-met, SLPC, and PLPC in sorted cerebral neurons of the mice.</w:t>
      </w:r>
      <w:bookmarkEnd w:id="37"/>
      <w:r w:rsidRPr="001269FB">
        <w:rPr>
          <w:lang w:val="en-US"/>
        </w:rPr>
        <w:t xml:space="preserve"> </w:t>
      </w:r>
      <w:bookmarkStart w:id="38" w:name="_sent_465"/>
      <w:r w:rsidRPr="001269FB">
        <w:rPr>
          <w:lang w:val="en-US"/>
        </w:rPr>
        <w:t>The data are shown as the mean ± SEM (n = 6)</w:t>
      </w:r>
      <w:bookmarkEnd w:id="38"/>
      <w:r w:rsidRPr="001269FB">
        <w:rPr>
          <w:lang w:val="en-US"/>
        </w:rPr>
        <w:t>;</w:t>
      </w:r>
      <w:bookmarkStart w:id="39" w:name="_sent_466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(J)</w:t>
      </w:r>
      <w:r w:rsidRPr="001269FB">
        <w:rPr>
          <w:lang w:val="en-US"/>
        </w:rPr>
        <w:t xml:space="preserve"> Absolute levels of L-met, SLPC, and PLPC in sorted cerebral astrocytes of the mice.</w:t>
      </w:r>
      <w:bookmarkEnd w:id="39"/>
      <w:r w:rsidRPr="001269FB">
        <w:rPr>
          <w:lang w:val="en-US"/>
        </w:rPr>
        <w:t xml:space="preserve"> </w:t>
      </w:r>
      <w:bookmarkStart w:id="40" w:name="_sent_467"/>
      <w:r w:rsidRPr="001269FB">
        <w:rPr>
          <w:lang w:val="en-US"/>
        </w:rPr>
        <w:t>The data are shown as the mean ± SEM (n = 6)</w:t>
      </w:r>
      <w:bookmarkEnd w:id="40"/>
      <w:r w:rsidRPr="001269FB">
        <w:rPr>
          <w:lang w:val="en-US"/>
        </w:rPr>
        <w:t>;</w:t>
      </w:r>
      <w:bookmarkStart w:id="41" w:name="_sent_468"/>
      <w:r w:rsidRPr="001269FB">
        <w:rPr>
          <w:lang w:val="en-US"/>
        </w:rPr>
        <w:t xml:space="preserve"> 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0.05, **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0.01 and ***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0.001.</w:t>
      </w:r>
      <w:bookmarkEnd w:id="41"/>
    </w:p>
    <w:p w14:paraId="3BA0D9F6" w14:textId="77777777" w:rsidR="001269FB" w:rsidRPr="001269FB" w:rsidRDefault="001269FB" w:rsidP="001269FB">
      <w:pPr>
        <w:rPr>
          <w:lang w:val="en-US"/>
        </w:rPr>
      </w:pPr>
    </w:p>
    <w:p w14:paraId="24D695A6" w14:textId="77777777" w:rsidR="001269FB" w:rsidRPr="001269FB" w:rsidRDefault="001269FB" w:rsidP="001269FB">
      <w:pPr>
        <w:rPr>
          <w:lang w:val="en-US"/>
        </w:rPr>
      </w:pPr>
      <w:r w:rsidRPr="001269FB">
        <w:rPr>
          <w:b/>
          <w:bCs/>
          <w:lang w:val="en-US"/>
        </w:rPr>
        <w:lastRenderedPageBreak/>
        <w:t>Extended Data Figure 4</w:t>
      </w:r>
    </w:p>
    <w:p w14:paraId="5737CEA1" w14:textId="2BFA28AB" w:rsidR="001269FB" w:rsidRPr="001269FB" w:rsidRDefault="001269FB" w:rsidP="001269FB">
      <w:pPr>
        <w:rPr>
          <w:lang w:val="en-US"/>
        </w:rPr>
      </w:pPr>
      <w:r w:rsidRPr="001269FB">
        <w:rPr>
          <w:lang w:val="en-US"/>
        </w:rPr>
        <w:drawing>
          <wp:inline distT="0" distB="0" distL="0" distR="0" wp14:anchorId="1CFDBDC4" wp14:editId="73C423EB">
            <wp:extent cx="5267325" cy="3105150"/>
            <wp:effectExtent l="0" t="0" r="9525" b="0"/>
            <wp:docPr id="10111810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EE1B7" w14:textId="77777777" w:rsidR="001269FB" w:rsidRPr="001269FB" w:rsidRDefault="001269FB" w:rsidP="001269FB">
      <w:pPr>
        <w:rPr>
          <w:b/>
          <w:bCs/>
          <w:lang w:val="en-US"/>
        </w:rPr>
      </w:pPr>
      <w:bookmarkStart w:id="42" w:name="_sent_469"/>
      <w:r w:rsidRPr="001269FB">
        <w:rPr>
          <w:b/>
          <w:bCs/>
          <w:lang w:val="en-US"/>
        </w:rPr>
        <w:t>Extended Data Fig. 4.</w:t>
      </w:r>
      <w:bookmarkEnd w:id="42"/>
      <w:r w:rsidRPr="001269FB">
        <w:rPr>
          <w:b/>
          <w:bCs/>
          <w:lang w:val="en-US"/>
        </w:rPr>
        <w:t xml:space="preserve"> </w:t>
      </w:r>
      <w:bookmarkStart w:id="43" w:name="_sent_470"/>
      <w:r w:rsidRPr="001269FB">
        <w:rPr>
          <w:b/>
          <w:bCs/>
          <w:lang w:val="en-US"/>
        </w:rPr>
        <w:t>Osteoclast proliferation and osteoblast apoptosis (related to Figure 4).</w:t>
      </w:r>
      <w:bookmarkEnd w:id="43"/>
    </w:p>
    <w:p w14:paraId="5725DA2F" w14:textId="77777777" w:rsidR="001269FB" w:rsidRPr="001269FB" w:rsidRDefault="001269FB" w:rsidP="001269FB">
      <w:pPr>
        <w:numPr>
          <w:ilvl w:val="0"/>
          <w:numId w:val="2"/>
        </w:numPr>
        <w:rPr>
          <w:lang w:val="en-US"/>
        </w:rPr>
      </w:pPr>
      <w:bookmarkStart w:id="44" w:name="_sent_471"/>
      <w:r w:rsidRPr="001269FB">
        <w:rPr>
          <w:lang w:val="en-US"/>
        </w:rPr>
        <w:t>Representative IF images showing primary cultured osteoblasts labeled with the osteoblast marker RUNX2 (green). Nuclei stained with DAPI (blue).</w:t>
      </w:r>
      <w:bookmarkEnd w:id="44"/>
      <w:r w:rsidRPr="001269FB">
        <w:rPr>
          <w:lang w:val="en-US"/>
        </w:rPr>
        <w:t xml:space="preserve"> </w:t>
      </w:r>
      <w:bookmarkStart w:id="45" w:name="_sent_472"/>
      <w:r w:rsidRPr="001269FB">
        <w:rPr>
          <w:lang w:val="en-US"/>
        </w:rPr>
        <w:t xml:space="preserve">Scale bar, 25 </w:t>
      </w:r>
      <w:proofErr w:type="spellStart"/>
      <w:r w:rsidRPr="001269FB">
        <w:rPr>
          <w:lang w:val="en-US"/>
        </w:rPr>
        <w:t>μm</w:t>
      </w:r>
      <w:bookmarkEnd w:id="45"/>
      <w:proofErr w:type="spellEnd"/>
      <w:r w:rsidRPr="001269FB">
        <w:rPr>
          <w:lang w:val="en-US"/>
        </w:rPr>
        <w:t>;</w:t>
      </w:r>
      <w:bookmarkStart w:id="46" w:name="_sent_473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(B)</w:t>
      </w:r>
      <w:r w:rsidRPr="001269FB">
        <w:rPr>
          <w:lang w:val="en-US"/>
        </w:rPr>
        <w:t xml:space="preserve"> Representative IF images showing primary cultured chondrocytes labeled with the chondrocyte marker Sox9 (green). Nuclei stained with DAPI (blue).</w:t>
      </w:r>
      <w:bookmarkEnd w:id="46"/>
      <w:r w:rsidRPr="001269FB">
        <w:rPr>
          <w:lang w:val="en-US"/>
        </w:rPr>
        <w:t xml:space="preserve"> </w:t>
      </w:r>
      <w:bookmarkStart w:id="47" w:name="_sent_474"/>
      <w:r w:rsidRPr="001269FB">
        <w:rPr>
          <w:lang w:val="en-US"/>
        </w:rPr>
        <w:t xml:space="preserve">Scale bar, 25 </w:t>
      </w:r>
      <w:proofErr w:type="spellStart"/>
      <w:r w:rsidRPr="001269FB">
        <w:rPr>
          <w:lang w:val="en-US"/>
        </w:rPr>
        <w:t>μm</w:t>
      </w:r>
      <w:bookmarkEnd w:id="47"/>
      <w:proofErr w:type="spellEnd"/>
      <w:r w:rsidRPr="001269FB">
        <w:rPr>
          <w:lang w:val="en-US"/>
        </w:rPr>
        <w:t>;</w:t>
      </w:r>
      <w:bookmarkStart w:id="48" w:name="_sent_475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(C)</w:t>
      </w:r>
      <w:r w:rsidRPr="001269FB">
        <w:rPr>
          <w:lang w:val="en-US"/>
        </w:rPr>
        <w:t xml:space="preserve"> Representative IF images showing primary cultured osteoclasts labeled with the osteoclast marker CTSK (green). Nuclei stained with DAPI (blue).</w:t>
      </w:r>
      <w:bookmarkEnd w:id="48"/>
      <w:r w:rsidRPr="001269FB">
        <w:rPr>
          <w:lang w:val="en-US"/>
        </w:rPr>
        <w:t xml:space="preserve"> </w:t>
      </w:r>
      <w:bookmarkStart w:id="49" w:name="_sent_476"/>
      <w:r w:rsidRPr="001269FB">
        <w:rPr>
          <w:lang w:val="en-US"/>
        </w:rPr>
        <w:t xml:space="preserve">Scale bar, 25 </w:t>
      </w:r>
      <w:proofErr w:type="spellStart"/>
      <w:r w:rsidRPr="001269FB">
        <w:rPr>
          <w:lang w:val="en-US"/>
        </w:rPr>
        <w:t>μm</w:t>
      </w:r>
      <w:bookmarkEnd w:id="49"/>
      <w:proofErr w:type="spellEnd"/>
      <w:r w:rsidRPr="001269FB">
        <w:rPr>
          <w:lang w:val="en-US"/>
        </w:rPr>
        <w:t>;</w:t>
      </w:r>
      <w:bookmarkStart w:id="50" w:name="_sent_477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(D)</w:t>
      </w:r>
      <w:r w:rsidRPr="001269FB">
        <w:rPr>
          <w:lang w:val="en-US"/>
        </w:rPr>
        <w:t xml:space="preserve"> Representative images of EdU-555 staining in osteoclasts.</w:t>
      </w:r>
      <w:bookmarkEnd w:id="50"/>
      <w:r w:rsidRPr="001269FB">
        <w:rPr>
          <w:lang w:val="en-US"/>
        </w:rPr>
        <w:t xml:space="preserve"> </w:t>
      </w:r>
      <w:bookmarkStart w:id="51" w:name="_sent_478"/>
      <w:r w:rsidRPr="001269FB">
        <w:rPr>
          <w:lang w:val="en-US"/>
        </w:rPr>
        <w:t xml:space="preserve">Scale bar, 100 </w:t>
      </w:r>
      <w:proofErr w:type="spellStart"/>
      <w:r w:rsidRPr="001269FB">
        <w:rPr>
          <w:lang w:val="en-US"/>
        </w:rPr>
        <w:t>μm</w:t>
      </w:r>
      <w:bookmarkEnd w:id="51"/>
      <w:proofErr w:type="spellEnd"/>
      <w:r w:rsidRPr="001269FB">
        <w:rPr>
          <w:lang w:val="en-US"/>
        </w:rPr>
        <w:t>;</w:t>
      </w:r>
      <w:bookmarkStart w:id="52" w:name="_sent_479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(E)</w:t>
      </w:r>
      <w:r w:rsidRPr="001269FB">
        <w:rPr>
          <w:lang w:val="en-US"/>
        </w:rPr>
        <w:t xml:space="preserve"> Osteoclast viability assessed by MTS assays (n = 12)</w:t>
      </w:r>
      <w:bookmarkEnd w:id="52"/>
      <w:r w:rsidRPr="001269FB">
        <w:rPr>
          <w:lang w:val="en-US"/>
        </w:rPr>
        <w:t>;</w:t>
      </w:r>
      <w:bookmarkStart w:id="53" w:name="_sent_480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(F)</w:t>
      </w:r>
      <w:r w:rsidRPr="001269FB">
        <w:rPr>
          <w:lang w:val="en-US"/>
        </w:rPr>
        <w:t xml:space="preserve"> Representative images of Annexin V-FITC/PI staining showing the effects of L-met, SLPC, and PLPC on osteoblast apoptosis with control vehicle or H₂O₂ pretreatment</w:t>
      </w:r>
      <w:bookmarkEnd w:id="53"/>
      <w:r w:rsidRPr="001269FB">
        <w:rPr>
          <w:lang w:val="en-US"/>
        </w:rPr>
        <w:t>;</w:t>
      </w:r>
      <w:bookmarkStart w:id="54" w:name="_sent_481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(G)</w:t>
      </w:r>
      <w:r w:rsidRPr="001269FB">
        <w:rPr>
          <w:lang w:val="en-US"/>
        </w:rPr>
        <w:t xml:space="preserve"> Effects of L-met, SLPC, and PLPC on osteoblast apoptosis rates (%) with control vehicle or H₂O₂ pretreatment.</w:t>
      </w:r>
      <w:bookmarkEnd w:id="54"/>
      <w:r w:rsidRPr="001269FB">
        <w:rPr>
          <w:lang w:val="en-US"/>
        </w:rPr>
        <w:t xml:space="preserve"> </w:t>
      </w:r>
      <w:bookmarkStart w:id="55" w:name="_sent_482"/>
      <w:r w:rsidRPr="001269FB">
        <w:rPr>
          <w:lang w:val="en-US"/>
        </w:rPr>
        <w:t>The data are shown as the mean ± SEM (n = 12)</w:t>
      </w:r>
      <w:bookmarkEnd w:id="55"/>
      <w:r w:rsidRPr="001269FB">
        <w:rPr>
          <w:lang w:val="en-US"/>
        </w:rPr>
        <w:t>;</w:t>
      </w:r>
      <w:bookmarkStart w:id="56" w:name="_sent_483"/>
      <w:r w:rsidRPr="001269FB">
        <w:rPr>
          <w:lang w:val="en-US"/>
        </w:rPr>
        <w:t xml:space="preserve"> 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0.05, **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0.01 and ***</w:t>
      </w:r>
      <w:r w:rsidRPr="001269FB">
        <w:rPr>
          <w:i/>
          <w:iCs/>
          <w:lang w:val="en-US"/>
        </w:rPr>
        <w:t>p</w:t>
      </w:r>
      <w:r w:rsidRPr="001269FB">
        <w:rPr>
          <w:lang w:val="en-US"/>
        </w:rPr>
        <w:t xml:space="preserve"> &lt; 0.001.</w:t>
      </w:r>
      <w:bookmarkEnd w:id="56"/>
    </w:p>
    <w:p w14:paraId="62301976" w14:textId="77777777" w:rsidR="001269FB" w:rsidRPr="001269FB" w:rsidRDefault="001269FB" w:rsidP="001269FB">
      <w:pPr>
        <w:rPr>
          <w:lang w:val="en-US"/>
        </w:rPr>
      </w:pPr>
    </w:p>
    <w:p w14:paraId="6A4D9C48" w14:textId="77777777" w:rsidR="001269FB" w:rsidRPr="001269FB" w:rsidRDefault="001269FB" w:rsidP="001269FB">
      <w:pPr>
        <w:rPr>
          <w:b/>
          <w:bCs/>
          <w:lang w:val="en-US"/>
        </w:rPr>
      </w:pPr>
      <w:r w:rsidRPr="001269FB">
        <w:rPr>
          <w:b/>
          <w:bCs/>
          <w:lang w:val="en-US"/>
        </w:rPr>
        <w:t>Extended Data Figure 5</w:t>
      </w:r>
    </w:p>
    <w:p w14:paraId="3E715CE2" w14:textId="77777777" w:rsidR="001269FB" w:rsidRPr="001269FB" w:rsidRDefault="001269FB" w:rsidP="001269FB">
      <w:pPr>
        <w:rPr>
          <w:b/>
          <w:bCs/>
          <w:lang w:val="en-US"/>
        </w:rPr>
      </w:pPr>
    </w:p>
    <w:p w14:paraId="1E052511" w14:textId="0DC87953" w:rsidR="001269FB" w:rsidRPr="001269FB" w:rsidRDefault="001269FB" w:rsidP="001269FB">
      <w:pPr>
        <w:rPr>
          <w:lang w:val="en-US"/>
        </w:rPr>
      </w:pPr>
      <w:r w:rsidRPr="001269FB">
        <w:rPr>
          <w:lang w:val="en-US"/>
        </w:rPr>
        <w:lastRenderedPageBreak/>
        <w:drawing>
          <wp:inline distT="0" distB="0" distL="0" distR="0" wp14:anchorId="4D65BADB" wp14:editId="40721609">
            <wp:extent cx="4152900" cy="2114550"/>
            <wp:effectExtent l="0" t="0" r="0" b="0"/>
            <wp:docPr id="7483409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BC448" w14:textId="77777777" w:rsidR="001269FB" w:rsidRPr="001269FB" w:rsidRDefault="001269FB" w:rsidP="001269FB">
      <w:pPr>
        <w:rPr>
          <w:b/>
          <w:bCs/>
          <w:lang w:val="en-US"/>
        </w:rPr>
      </w:pPr>
      <w:bookmarkStart w:id="57" w:name="_sent_484"/>
    </w:p>
    <w:p w14:paraId="2F55E675" w14:textId="77777777" w:rsidR="001269FB" w:rsidRPr="001269FB" w:rsidRDefault="001269FB" w:rsidP="001269FB">
      <w:pPr>
        <w:rPr>
          <w:b/>
          <w:bCs/>
          <w:lang w:val="en-US"/>
        </w:rPr>
      </w:pPr>
      <w:r w:rsidRPr="001269FB">
        <w:rPr>
          <w:b/>
          <w:bCs/>
          <w:lang w:val="en-US"/>
        </w:rPr>
        <w:t>Extended Data Fig. 5.</w:t>
      </w:r>
      <w:bookmarkStart w:id="58" w:name="_sent_485"/>
      <w:bookmarkEnd w:id="57"/>
      <w:r w:rsidRPr="001269FB">
        <w:rPr>
          <w:b/>
          <w:bCs/>
          <w:lang w:val="en-US"/>
        </w:rPr>
        <w:t xml:space="preserve"> Skeletal cells in non-</w:t>
      </w:r>
      <w:proofErr w:type="spellStart"/>
      <w:r w:rsidRPr="001269FB">
        <w:rPr>
          <w:b/>
          <w:bCs/>
          <w:lang w:val="en-US"/>
        </w:rPr>
        <w:t>jured</w:t>
      </w:r>
      <w:proofErr w:type="spellEnd"/>
      <w:r w:rsidRPr="001269FB">
        <w:rPr>
          <w:b/>
          <w:bCs/>
          <w:lang w:val="en-US"/>
        </w:rPr>
        <w:t xml:space="preserve"> bone tissue (related to Figure 5).</w:t>
      </w:r>
      <w:bookmarkEnd w:id="58"/>
    </w:p>
    <w:p w14:paraId="0D76EA5A" w14:textId="77777777" w:rsidR="001269FB" w:rsidRPr="001269FB" w:rsidRDefault="001269FB" w:rsidP="001269FB">
      <w:pPr>
        <w:rPr>
          <w:lang w:val="en-US"/>
        </w:rPr>
      </w:pPr>
      <w:bookmarkStart w:id="59" w:name="_sent_486"/>
      <w:r w:rsidRPr="001269FB">
        <w:rPr>
          <w:b/>
          <w:bCs/>
          <w:lang w:val="en-US"/>
        </w:rPr>
        <w:t>(A)</w:t>
      </w:r>
      <w:r w:rsidRPr="001269FB">
        <w:rPr>
          <w:lang w:val="en-US"/>
        </w:rPr>
        <w:t xml:space="preserve"> Representative IF images showing the osteoblast marker RUNX2 (green), the chondrocyte marker Sox9 (red), Ki-67 (cyan), and DAPI-stained nuclei (blue) in the normal cortical bone of mice.</w:t>
      </w:r>
      <w:bookmarkEnd w:id="59"/>
      <w:r w:rsidRPr="001269FB">
        <w:rPr>
          <w:lang w:val="en-US"/>
        </w:rPr>
        <w:t xml:space="preserve"> </w:t>
      </w:r>
      <w:bookmarkStart w:id="60" w:name="_sent_487"/>
      <w:r w:rsidRPr="001269FB">
        <w:rPr>
          <w:lang w:val="en-US"/>
        </w:rPr>
        <w:t xml:space="preserve">Scale bar, 25 </w:t>
      </w:r>
      <w:proofErr w:type="spellStart"/>
      <w:r w:rsidRPr="001269FB">
        <w:rPr>
          <w:lang w:val="en-US"/>
        </w:rPr>
        <w:t>μm</w:t>
      </w:r>
      <w:bookmarkEnd w:id="60"/>
      <w:proofErr w:type="spellEnd"/>
      <w:r w:rsidRPr="001269FB">
        <w:rPr>
          <w:lang w:val="en-US"/>
        </w:rPr>
        <w:t>;</w:t>
      </w:r>
      <w:bookmarkStart w:id="61" w:name="_sent_488"/>
      <w:r w:rsidRPr="001269FB">
        <w:rPr>
          <w:lang w:val="en-US"/>
        </w:rPr>
        <w:t xml:space="preserve"> </w:t>
      </w:r>
      <w:r w:rsidRPr="001269FB">
        <w:rPr>
          <w:b/>
          <w:bCs/>
          <w:lang w:val="en-US"/>
        </w:rPr>
        <w:t>(B)</w:t>
      </w:r>
      <w:r w:rsidRPr="001269FB">
        <w:rPr>
          <w:lang w:val="en-US"/>
        </w:rPr>
        <w:t xml:space="preserve"> Representative IF images showing the osteoclast marker cathepsin K (CTSK; green), TUNEL (red), and DAPI-stained nuclei (blue) in the normal cortical bone of mice.</w:t>
      </w:r>
      <w:bookmarkEnd w:id="61"/>
      <w:r w:rsidRPr="001269FB">
        <w:rPr>
          <w:lang w:val="en-US"/>
        </w:rPr>
        <w:t xml:space="preserve"> </w:t>
      </w:r>
      <w:bookmarkStart w:id="62" w:name="_sent_595"/>
      <w:bookmarkStart w:id="63" w:name="_sent_584"/>
      <w:bookmarkStart w:id="64" w:name="_sent_591"/>
      <w:bookmarkStart w:id="65" w:name="_sent_544"/>
      <w:bookmarkStart w:id="66" w:name="_sent_596"/>
      <w:bookmarkStart w:id="67" w:name="_sent_583"/>
      <w:bookmarkStart w:id="68" w:name="_sent_586"/>
      <w:bookmarkStart w:id="69" w:name="_sent_549"/>
      <w:bookmarkStart w:id="70" w:name="_sent_655"/>
      <w:bookmarkStart w:id="71" w:name="_sent_552"/>
      <w:bookmarkStart w:id="72" w:name="_sent_587"/>
      <w:bookmarkStart w:id="73" w:name="_sent_569"/>
      <w:bookmarkStart w:id="74" w:name="_sent_546"/>
      <w:bookmarkStart w:id="75" w:name="_sent_559"/>
      <w:bookmarkStart w:id="76" w:name="_sent_555"/>
      <w:bookmarkStart w:id="77" w:name="_sent_579"/>
      <w:bookmarkStart w:id="78" w:name="_sent_560"/>
      <w:bookmarkStart w:id="79" w:name="_sent_603"/>
      <w:bookmarkStart w:id="80" w:name="_sent_508"/>
      <w:bookmarkStart w:id="81" w:name="_sent_602"/>
      <w:bookmarkStart w:id="82" w:name="_sent_644"/>
      <w:bookmarkStart w:id="83" w:name="_sent_550"/>
      <w:bookmarkStart w:id="84" w:name="_sent_572"/>
      <w:bookmarkStart w:id="85" w:name="_sent_624"/>
      <w:bookmarkStart w:id="86" w:name="_sent_568"/>
      <w:bookmarkStart w:id="87" w:name="_sent_558"/>
      <w:bookmarkStart w:id="88" w:name="_sent_533"/>
      <w:bookmarkStart w:id="89" w:name="_sent_547"/>
      <w:bookmarkStart w:id="90" w:name="_sent_613"/>
      <w:bookmarkStart w:id="91" w:name="_sent_565"/>
      <w:bookmarkStart w:id="92" w:name="_sent_574"/>
      <w:bookmarkStart w:id="93" w:name="_sent_506"/>
      <w:bookmarkStart w:id="94" w:name="_sent_563"/>
      <w:bookmarkStart w:id="95" w:name="_sent_653"/>
      <w:bookmarkStart w:id="96" w:name="_sent_628"/>
      <w:bookmarkStart w:id="97" w:name="_sent_562"/>
      <w:bookmarkStart w:id="98" w:name="_sent_551"/>
      <w:bookmarkStart w:id="99" w:name="_sent_606"/>
      <w:bookmarkStart w:id="100" w:name="_sent_582"/>
      <w:bookmarkStart w:id="101" w:name="_sent_553"/>
      <w:bookmarkStart w:id="102" w:name="_sent_573"/>
      <w:bookmarkStart w:id="103" w:name="_sent_548"/>
      <w:bookmarkStart w:id="104" w:name="_sent_567"/>
      <w:bookmarkStart w:id="105" w:name="_sent_540"/>
      <w:bookmarkStart w:id="106" w:name="_sent_594"/>
      <w:bookmarkStart w:id="107" w:name="_sent_617"/>
      <w:bookmarkStart w:id="108" w:name="_sent_545"/>
      <w:bookmarkStart w:id="109" w:name="_sent_623"/>
      <w:bookmarkStart w:id="110" w:name="_sent_554"/>
      <w:bookmarkStart w:id="111" w:name="_sent_525"/>
      <w:bookmarkStart w:id="112" w:name="_sent_542"/>
      <w:bookmarkStart w:id="113" w:name="_sent_557"/>
      <w:bookmarkStart w:id="114" w:name="_sent_590"/>
      <w:bookmarkStart w:id="115" w:name="_sent_610"/>
      <w:bookmarkStart w:id="116" w:name="_sent_580"/>
      <w:bookmarkStart w:id="117" w:name="_sent_503"/>
      <w:bookmarkStart w:id="118" w:name="_sent_604"/>
      <w:bookmarkStart w:id="119" w:name="_sent_607"/>
      <w:bookmarkStart w:id="120" w:name="_sent_489"/>
      <w:bookmarkStart w:id="121" w:name="_sent_531"/>
      <w:bookmarkStart w:id="122" w:name="_sent_601"/>
      <w:bookmarkStart w:id="123" w:name="_sent_524"/>
      <w:bookmarkStart w:id="124" w:name="_sent_633"/>
      <w:bookmarkStart w:id="125" w:name="_sent_600"/>
      <w:bookmarkStart w:id="126" w:name="_sent_497"/>
      <w:bookmarkStart w:id="127" w:name="_sent_598"/>
      <w:bookmarkStart w:id="128" w:name="_sent_621"/>
      <w:bookmarkStart w:id="129" w:name="_sent_589"/>
      <w:bookmarkStart w:id="130" w:name="_sent_577"/>
      <w:bookmarkStart w:id="131" w:name="_sent_605"/>
      <w:bookmarkStart w:id="132" w:name="_sent_492"/>
      <w:bookmarkStart w:id="133" w:name="_sent_523"/>
      <w:bookmarkStart w:id="134" w:name="_sent_496"/>
      <w:bookmarkStart w:id="135" w:name="_sent_630"/>
      <w:bookmarkStart w:id="136" w:name="_sent_541"/>
      <w:bookmarkStart w:id="137" w:name="_sent_599"/>
      <w:bookmarkStart w:id="138" w:name="_sent_635"/>
      <w:bookmarkStart w:id="139" w:name="_sent_578"/>
      <w:bookmarkStart w:id="140" w:name="_sent_581"/>
      <w:bookmarkStart w:id="141" w:name="_sent_632"/>
      <w:bookmarkStart w:id="142" w:name="_sent_634"/>
      <w:bookmarkStart w:id="143" w:name="_sent_616"/>
      <w:bookmarkStart w:id="144" w:name="_sent_499"/>
      <w:bookmarkStart w:id="145" w:name="_sent_618"/>
      <w:bookmarkStart w:id="146" w:name="_sent_626"/>
      <w:bookmarkStart w:id="147" w:name="_sent_500"/>
      <w:bookmarkStart w:id="148" w:name="_sent_647"/>
      <w:bookmarkStart w:id="149" w:name="_sent_585"/>
      <w:bookmarkStart w:id="150" w:name="_sent_570"/>
      <w:bookmarkStart w:id="151" w:name="_sent_522"/>
      <w:bookmarkStart w:id="152" w:name="_sent_614"/>
      <w:bookmarkStart w:id="153" w:name="_sent_639"/>
      <w:bookmarkStart w:id="154" w:name="_sent_588"/>
      <w:bookmarkStart w:id="155" w:name="_sent_521"/>
      <w:bookmarkStart w:id="156" w:name="_sent_619"/>
      <w:bookmarkStart w:id="157" w:name="_sent_615"/>
      <w:bookmarkStart w:id="158" w:name="_sent_507"/>
      <w:bookmarkStart w:id="159" w:name="_sent_648"/>
      <w:bookmarkStart w:id="160" w:name="_sent_620"/>
      <w:bookmarkStart w:id="161" w:name="_sent_532"/>
      <w:bookmarkStart w:id="162" w:name="_sent_529"/>
      <w:bookmarkStart w:id="163" w:name="_sent_498"/>
      <w:bookmarkStart w:id="164" w:name="_sent_637"/>
      <w:bookmarkStart w:id="165" w:name="_sent_510"/>
      <w:bookmarkStart w:id="166" w:name="_sent_515"/>
      <w:bookmarkStart w:id="167" w:name="_sent_536"/>
      <w:bookmarkStart w:id="168" w:name="_sent_491"/>
      <w:bookmarkStart w:id="169" w:name="_sent_627"/>
      <w:bookmarkStart w:id="170" w:name="_sent_611"/>
      <w:bookmarkStart w:id="171" w:name="_sent_592"/>
      <w:bookmarkStart w:id="172" w:name="_sent_564"/>
      <w:bookmarkStart w:id="173" w:name="_sent_556"/>
      <w:bookmarkStart w:id="174" w:name="_sent_625"/>
      <w:bookmarkStart w:id="175" w:name="_sent_575"/>
      <w:bookmarkStart w:id="176" w:name="_sent_493"/>
      <w:bookmarkStart w:id="177" w:name="_sent_490"/>
      <w:bookmarkStart w:id="178" w:name="_sent_636"/>
      <w:bookmarkStart w:id="179" w:name="_sent_504"/>
      <w:bookmarkStart w:id="180" w:name="_sent_516"/>
      <w:bookmarkStart w:id="181" w:name="_sent_571"/>
      <w:bookmarkStart w:id="182" w:name="_sent_593"/>
      <w:bookmarkStart w:id="183" w:name="_sent_512"/>
      <w:bookmarkStart w:id="184" w:name="_sent_537"/>
      <w:bookmarkStart w:id="185" w:name="_sent_652"/>
      <w:bookmarkStart w:id="186" w:name="_sent_631"/>
      <w:bookmarkStart w:id="187" w:name="_sent_543"/>
      <w:bookmarkStart w:id="188" w:name="_sent_520"/>
      <w:bookmarkStart w:id="189" w:name="_sent_534"/>
      <w:bookmarkStart w:id="190" w:name="_sent_528"/>
      <w:bookmarkStart w:id="191" w:name="_sent_622"/>
      <w:bookmarkStart w:id="192" w:name="_sent_597"/>
      <w:bookmarkStart w:id="193" w:name="_sent_642"/>
      <w:bookmarkStart w:id="194" w:name="_sent_654"/>
      <w:bookmarkStart w:id="195" w:name="_sent_527"/>
      <w:bookmarkStart w:id="196" w:name="_sent_530"/>
      <w:bookmarkStart w:id="197" w:name="_sent_650"/>
      <w:bookmarkStart w:id="198" w:name="_sent_638"/>
      <w:bookmarkStart w:id="199" w:name="_sent_517"/>
      <w:bookmarkStart w:id="200" w:name="_sent_505"/>
      <w:bookmarkStart w:id="201" w:name="_sent_641"/>
      <w:bookmarkStart w:id="202" w:name="_sent_495"/>
      <w:bookmarkStart w:id="203" w:name="_sent_566"/>
      <w:bookmarkStart w:id="204" w:name="_sent_538"/>
      <w:bookmarkStart w:id="205" w:name="_sent_612"/>
      <w:bookmarkStart w:id="206" w:name="_sent_494"/>
      <w:bookmarkStart w:id="207" w:name="_sent_640"/>
      <w:bookmarkStart w:id="208" w:name="_sent_656"/>
      <w:bookmarkStart w:id="209" w:name="_sent_576"/>
      <w:bookmarkStart w:id="210" w:name="_sent_649"/>
      <w:bookmarkStart w:id="211" w:name="_sent_519"/>
      <w:bookmarkStart w:id="212" w:name="_sent_511"/>
      <w:bookmarkStart w:id="213" w:name="_sent_608"/>
      <w:bookmarkStart w:id="214" w:name="_sent_651"/>
      <w:bookmarkStart w:id="215" w:name="_sent_645"/>
      <w:bookmarkStart w:id="216" w:name="_sent_501"/>
      <w:bookmarkStart w:id="217" w:name="_sent_502"/>
      <w:bookmarkStart w:id="218" w:name="_sent_609"/>
      <w:bookmarkStart w:id="219" w:name="_sent_518"/>
      <w:bookmarkStart w:id="220" w:name="_sent_561"/>
      <w:bookmarkStart w:id="221" w:name="_sent_539"/>
      <w:bookmarkStart w:id="222" w:name="_sent_526"/>
      <w:bookmarkStart w:id="223" w:name="_sent_646"/>
      <w:bookmarkStart w:id="224" w:name="_sent_643"/>
      <w:bookmarkStart w:id="225" w:name="_sent_509"/>
      <w:bookmarkStart w:id="226" w:name="_sent_513"/>
      <w:bookmarkStart w:id="227" w:name="_sent_514"/>
      <w:bookmarkStart w:id="228" w:name="_sent_629"/>
      <w:bookmarkStart w:id="229" w:name="_sent_535"/>
      <w:r w:rsidRPr="001269FB">
        <w:rPr>
          <w:lang w:val="en-US"/>
        </w:rPr>
        <w:t xml:space="preserve">Scale bar, 25 </w:t>
      </w:r>
      <w:proofErr w:type="spellStart"/>
      <w:r w:rsidRPr="001269FB">
        <w:rPr>
          <w:lang w:val="en-US"/>
        </w:rPr>
        <w:t>μm</w:t>
      </w:r>
      <w:proofErr w:type="spellEnd"/>
      <w:r w:rsidRPr="001269FB">
        <w:rPr>
          <w:lang w:val="en-US"/>
        </w:rPr>
        <w:t>.</w:t>
      </w:r>
    </w:p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p w14:paraId="1875E1FA" w14:textId="26093BFD" w:rsidR="00767E38" w:rsidRDefault="001269FB" w:rsidP="001269FB">
      <w:r w:rsidRPr="001269FB">
        <w:rPr>
          <w:lang w:val="en-US"/>
        </w:rPr>
        <w:br w:type="page"/>
      </w:r>
    </w:p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B6403F"/>
    <w:multiLevelType w:val="singleLevel"/>
    <w:tmpl w:val="82B6403F"/>
    <w:lvl w:ilvl="0">
      <w:start w:val="1"/>
      <w:numFmt w:val="upperLetter"/>
      <w:suff w:val="space"/>
      <w:lvlText w:val="(%1)"/>
      <w:lvlJc w:val="left"/>
      <w:pPr>
        <w:ind w:left="0" w:firstLine="0"/>
      </w:pPr>
      <w:rPr>
        <w:b/>
        <w:bCs/>
      </w:rPr>
    </w:lvl>
  </w:abstractNum>
  <w:abstractNum w:abstractNumId="1" w15:restartNumberingAfterBreak="0">
    <w:nsid w:val="235FF159"/>
    <w:multiLevelType w:val="singleLevel"/>
    <w:tmpl w:val="235FF159"/>
    <w:lvl w:ilvl="0">
      <w:start w:val="1"/>
      <w:numFmt w:val="upperLetter"/>
      <w:suff w:val="space"/>
      <w:lvlText w:val="(%1)"/>
      <w:lvlJc w:val="left"/>
      <w:pPr>
        <w:ind w:left="0" w:firstLine="0"/>
      </w:pPr>
      <w:rPr>
        <w:b/>
        <w:bCs/>
      </w:rPr>
    </w:lvl>
  </w:abstractNum>
  <w:num w:numId="1" w16cid:durableId="2000692123">
    <w:abstractNumId w:val="1"/>
    <w:lvlOverride w:ilvl="0">
      <w:startOverride w:val="1"/>
    </w:lvlOverride>
  </w:num>
  <w:num w:numId="2" w16cid:durableId="8555385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FB"/>
    <w:rsid w:val="001269FB"/>
    <w:rsid w:val="004B5DE3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BD3F"/>
  <w15:chartTrackingRefBased/>
  <w15:docId w15:val="{E0FBF5AC-C677-4D86-865A-9BD917BC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9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9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9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9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9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2026-08-11T14:31:00Z</dcterms:created>
  <dcterms:modified xsi:type="dcterms:W3CDTF">2026-08-11T14:31:00Z</dcterms:modified>
</cp:coreProperties>
</file>