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B2132" w14:textId="77777777" w:rsidR="00700B0F" w:rsidRDefault="00700B0F" w:rsidP="00700B0F">
      <w:pPr>
        <w:spacing w:after="0" w:line="360" w:lineRule="auto"/>
        <w:rPr>
          <w:rFonts w:ascii="Times New Roman" w:hAnsi="Times New Roman" w:cs="Times New Roman"/>
          <w:b/>
          <w:bCs/>
        </w:rPr>
      </w:pPr>
      <w:r w:rsidRPr="00700B0F">
        <w:rPr>
          <w:rFonts w:ascii="Times New Roman" w:hAnsi="Times New Roman" w:cs="Times New Roman"/>
          <w:b/>
          <w:bCs/>
        </w:rPr>
        <w:t>ABSTRACT SCREENING CRITERIA</w:t>
      </w:r>
    </w:p>
    <w:tbl>
      <w:tblPr>
        <w:tblStyle w:val="PlainTable2"/>
        <w:tblW w:w="0" w:type="auto"/>
        <w:tblLook w:val="04A0" w:firstRow="1" w:lastRow="0" w:firstColumn="1" w:lastColumn="0" w:noHBand="0" w:noVBand="1"/>
      </w:tblPr>
      <w:tblGrid>
        <w:gridCol w:w="1496"/>
        <w:gridCol w:w="3946"/>
        <w:gridCol w:w="3918"/>
      </w:tblGrid>
      <w:tr w:rsidR="000F2AA7" w:rsidRPr="003B62ED" w14:paraId="77C421B0" w14:textId="77777777" w:rsidTr="003B62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5A3C94" w14:textId="77777777" w:rsidR="003B62ED" w:rsidRPr="003B62ED" w:rsidRDefault="003B62ED" w:rsidP="003B62ED">
            <w:pPr>
              <w:spacing w:after="160" w:line="278" w:lineRule="auto"/>
              <w:rPr>
                <w:rFonts w:ascii="Times New Roman" w:hAnsi="Times New Roman" w:cs="Times New Roman"/>
              </w:rPr>
            </w:pPr>
            <w:r w:rsidRPr="003B62ED">
              <w:rPr>
                <w:rFonts w:ascii="Times New Roman" w:hAnsi="Times New Roman" w:cs="Times New Roman"/>
              </w:rPr>
              <w:t>Criteria</w:t>
            </w:r>
          </w:p>
        </w:tc>
        <w:tc>
          <w:tcPr>
            <w:tcW w:w="0" w:type="auto"/>
            <w:hideMark/>
          </w:tcPr>
          <w:p w14:paraId="68D2E1EA" w14:textId="77777777" w:rsidR="003B62ED" w:rsidRPr="003B62ED" w:rsidRDefault="003B62ED" w:rsidP="003B62ED">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B62ED">
              <w:rPr>
                <w:rFonts w:ascii="Times New Roman" w:hAnsi="Times New Roman" w:cs="Times New Roman"/>
              </w:rPr>
              <w:t>Include</w:t>
            </w:r>
          </w:p>
        </w:tc>
        <w:tc>
          <w:tcPr>
            <w:tcW w:w="0" w:type="auto"/>
            <w:hideMark/>
          </w:tcPr>
          <w:p w14:paraId="7D31BA47" w14:textId="77777777" w:rsidR="003B62ED" w:rsidRPr="003B62ED" w:rsidRDefault="003B62ED" w:rsidP="003B62ED">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B62ED">
              <w:rPr>
                <w:rFonts w:ascii="Times New Roman" w:hAnsi="Times New Roman" w:cs="Times New Roman"/>
              </w:rPr>
              <w:t>Exclude</w:t>
            </w:r>
          </w:p>
        </w:tc>
      </w:tr>
      <w:tr w:rsidR="000F2AA7" w:rsidRPr="003B62ED" w14:paraId="6AA069C6" w14:textId="77777777" w:rsidTr="003B62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4D4C5B" w14:textId="77777777" w:rsidR="003B62ED" w:rsidRPr="003B62ED" w:rsidRDefault="003B62ED" w:rsidP="003B62ED">
            <w:pPr>
              <w:spacing w:after="160" w:line="278" w:lineRule="auto"/>
              <w:rPr>
                <w:rFonts w:ascii="Times New Roman" w:hAnsi="Times New Roman" w:cs="Times New Roman"/>
              </w:rPr>
            </w:pPr>
            <w:r w:rsidRPr="003B62ED">
              <w:rPr>
                <w:rFonts w:ascii="Times New Roman" w:hAnsi="Times New Roman" w:cs="Times New Roman"/>
              </w:rPr>
              <w:t>Population</w:t>
            </w:r>
          </w:p>
        </w:tc>
        <w:tc>
          <w:tcPr>
            <w:tcW w:w="0" w:type="auto"/>
            <w:hideMark/>
          </w:tcPr>
          <w:p w14:paraId="495201A1" w14:textId="77777777" w:rsidR="004B7C8A" w:rsidRPr="004B7C8A" w:rsidRDefault="004B7C8A" w:rsidP="004B7C8A">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B7C8A">
              <w:rPr>
                <w:rFonts w:ascii="Times New Roman" w:hAnsi="Times New Roman" w:cs="Times New Roman"/>
              </w:rPr>
              <w:t>Adult patients (≥18 years) using or potentially using biosimilars or biological products</w:t>
            </w:r>
          </w:p>
          <w:p w14:paraId="6A156BA1" w14:textId="77777777" w:rsidR="004B7C8A" w:rsidRPr="004B7C8A" w:rsidRDefault="004B7C8A" w:rsidP="004B7C8A">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B7C8A">
              <w:rPr>
                <w:rFonts w:ascii="Times New Roman" w:hAnsi="Times New Roman" w:cs="Times New Roman"/>
              </w:rPr>
              <w:t>Patients with chronic diseases or clinical conditions requiring biological therapy</w:t>
            </w:r>
          </w:p>
          <w:p w14:paraId="42771CCB" w14:textId="47292EED" w:rsidR="003B62ED" w:rsidRPr="004B7C8A" w:rsidRDefault="004B7C8A" w:rsidP="004B7C8A">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B7C8A">
              <w:rPr>
                <w:rFonts w:ascii="Times New Roman" w:hAnsi="Times New Roman" w:cs="Times New Roman"/>
              </w:rPr>
              <w:t>Human subjects (including caregivers or parents acting as decision-makers when patient-reported data are not available, provided that the preference elicitation reflects the patient perspective)</w:t>
            </w:r>
          </w:p>
        </w:tc>
        <w:tc>
          <w:tcPr>
            <w:tcW w:w="0" w:type="auto"/>
            <w:hideMark/>
          </w:tcPr>
          <w:p w14:paraId="6F4B1968" w14:textId="77777777" w:rsidR="003273CD" w:rsidRPr="003273CD" w:rsidRDefault="003273CD" w:rsidP="003273CD">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273CD">
              <w:rPr>
                <w:rFonts w:ascii="Times New Roman" w:hAnsi="Times New Roman" w:cs="Times New Roman"/>
              </w:rPr>
              <w:t>Studies involving only healthcare professionals, policymakers, or the general public without patient participation</w:t>
            </w:r>
          </w:p>
          <w:p w14:paraId="2F1A9F25" w14:textId="77777777" w:rsidR="003273CD" w:rsidRPr="003273CD" w:rsidRDefault="003273CD" w:rsidP="003273CD">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273CD">
              <w:rPr>
                <w:rFonts w:ascii="Times New Roman" w:hAnsi="Times New Roman" w:cs="Times New Roman"/>
              </w:rPr>
              <w:t>Studies involving children or adolescents (&lt;18 years)</w:t>
            </w:r>
          </w:p>
          <w:p w14:paraId="6E987A80" w14:textId="4BF483EB" w:rsidR="003B62ED" w:rsidRPr="003273CD" w:rsidRDefault="003273CD" w:rsidP="003273CD">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273CD">
              <w:rPr>
                <w:rFonts w:ascii="Times New Roman" w:hAnsi="Times New Roman" w:cs="Times New Roman"/>
              </w:rPr>
              <w:t>Non-human studies (animals or simulations)</w:t>
            </w:r>
          </w:p>
        </w:tc>
      </w:tr>
      <w:tr w:rsidR="000F2AA7" w:rsidRPr="003B62ED" w14:paraId="28B0AEF1" w14:textId="77777777" w:rsidTr="003B62ED">
        <w:tc>
          <w:tcPr>
            <w:cnfStyle w:val="001000000000" w:firstRow="0" w:lastRow="0" w:firstColumn="1" w:lastColumn="0" w:oddVBand="0" w:evenVBand="0" w:oddHBand="0" w:evenHBand="0" w:firstRowFirstColumn="0" w:firstRowLastColumn="0" w:lastRowFirstColumn="0" w:lastRowLastColumn="0"/>
            <w:tcW w:w="0" w:type="auto"/>
            <w:hideMark/>
          </w:tcPr>
          <w:p w14:paraId="2706B2B7" w14:textId="22D7AD63" w:rsidR="003B62ED" w:rsidRPr="003B62ED" w:rsidRDefault="003B62ED" w:rsidP="003B62ED">
            <w:pPr>
              <w:spacing w:after="160" w:line="278" w:lineRule="auto"/>
              <w:rPr>
                <w:rFonts w:ascii="Times New Roman" w:hAnsi="Times New Roman" w:cs="Times New Roman"/>
              </w:rPr>
            </w:pPr>
            <w:r w:rsidRPr="003B62ED">
              <w:rPr>
                <w:rFonts w:ascii="Times New Roman" w:hAnsi="Times New Roman" w:cs="Times New Roman"/>
              </w:rPr>
              <w:t xml:space="preserve">Intervention </w:t>
            </w:r>
          </w:p>
        </w:tc>
        <w:tc>
          <w:tcPr>
            <w:tcW w:w="0" w:type="auto"/>
            <w:hideMark/>
          </w:tcPr>
          <w:p w14:paraId="5BB056FA" w14:textId="77777777" w:rsidR="00A40E90" w:rsidRPr="00A40E90" w:rsidRDefault="00A40E90" w:rsidP="00A40E90">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40E90">
              <w:rPr>
                <w:rFonts w:ascii="Times New Roman" w:hAnsi="Times New Roman" w:cs="Times New Roman"/>
              </w:rPr>
              <w:t>Studies will be included if the treatment alternatives presented in the discrete choice experiment scenarios explicitly involve at least one biosimilar medicine, either compared with its originator biologic or with other biosimilar options.</w:t>
            </w:r>
          </w:p>
          <w:p w14:paraId="4702CB88" w14:textId="76230BB9" w:rsidR="003B62ED" w:rsidRPr="00A40E90" w:rsidRDefault="00A40E90" w:rsidP="00A40E90">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40E90">
              <w:rPr>
                <w:rFonts w:ascii="Times New Roman" w:hAnsi="Times New Roman" w:cs="Times New Roman"/>
              </w:rPr>
              <w:t>Eligible studies must ask patients or patient representatives to choose between treatment profiles that differ in attributes such as effectiveness, safety, route and frequency of administration, monitoring requirements, and treatment cost.</w:t>
            </w:r>
          </w:p>
        </w:tc>
        <w:tc>
          <w:tcPr>
            <w:tcW w:w="0" w:type="auto"/>
            <w:hideMark/>
          </w:tcPr>
          <w:p w14:paraId="2EABC565" w14:textId="77777777" w:rsidR="00A40E90" w:rsidRPr="00A40E90" w:rsidRDefault="00A40E90" w:rsidP="00A40E90">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40E90">
              <w:rPr>
                <w:rFonts w:ascii="Times New Roman" w:hAnsi="Times New Roman" w:cs="Times New Roman"/>
              </w:rPr>
              <w:t>Preference studies not using DCE-based methods</w:t>
            </w:r>
          </w:p>
          <w:p w14:paraId="0EC08B83" w14:textId="77777777" w:rsidR="00A40E90" w:rsidRPr="00A40E90" w:rsidRDefault="00A40E90" w:rsidP="00A40E90">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40E90">
              <w:rPr>
                <w:rFonts w:ascii="Times New Roman" w:hAnsi="Times New Roman" w:cs="Times New Roman"/>
              </w:rPr>
              <w:t>Simple surveys or other methods (e.g., rating scales, ranking, best–worst scaling) without a DCE design</w:t>
            </w:r>
          </w:p>
          <w:p w14:paraId="5146EAF6" w14:textId="45227B4B" w:rsidR="003B62ED" w:rsidRPr="00A40E90" w:rsidRDefault="00A40E90" w:rsidP="00A40E90">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40E90">
              <w:rPr>
                <w:rFonts w:ascii="Times New Roman" w:hAnsi="Times New Roman" w:cs="Times New Roman"/>
              </w:rPr>
              <w:t>Clinical trials or observational studies without DCE-based preference measurement</w:t>
            </w:r>
          </w:p>
        </w:tc>
      </w:tr>
      <w:tr w:rsidR="00791316" w:rsidRPr="003B62ED" w14:paraId="6CAB0553" w14:textId="77777777" w:rsidTr="003B62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766F34" w14:textId="4393A126" w:rsidR="00791316" w:rsidRPr="003B62ED" w:rsidRDefault="00791316" w:rsidP="003B62ED">
            <w:pPr>
              <w:rPr>
                <w:rFonts w:ascii="Times New Roman" w:hAnsi="Times New Roman" w:cs="Times New Roman"/>
              </w:rPr>
            </w:pPr>
            <w:r>
              <w:rPr>
                <w:rFonts w:ascii="Times New Roman" w:hAnsi="Times New Roman" w:cs="Times New Roman"/>
              </w:rPr>
              <w:t>Comparator</w:t>
            </w:r>
          </w:p>
        </w:tc>
        <w:tc>
          <w:tcPr>
            <w:tcW w:w="0" w:type="auto"/>
          </w:tcPr>
          <w:p w14:paraId="4215218D" w14:textId="77777777" w:rsidR="00750FD2" w:rsidRPr="00750FD2" w:rsidRDefault="00750FD2" w:rsidP="00750FD2">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50FD2">
              <w:rPr>
                <w:rFonts w:ascii="Times New Roman" w:hAnsi="Times New Roman" w:cs="Times New Roman"/>
              </w:rPr>
              <w:t>Include originator biologic products and/or alternative treatment profiles (biosimilar or originator) that are presented alongside biosimilar options within discrete choice experiment choice tasks.</w:t>
            </w:r>
          </w:p>
          <w:p w14:paraId="2894E36D" w14:textId="680E3594" w:rsidR="00791316" w:rsidRPr="00750FD2" w:rsidRDefault="00750FD2" w:rsidP="00750FD2">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50FD2">
              <w:rPr>
                <w:rFonts w:ascii="Times New Roman" w:hAnsi="Times New Roman" w:cs="Times New Roman"/>
              </w:rPr>
              <w:t xml:space="preserve">These alternatives must differ in one or more treatment attributes, including effectiveness, safety, route and </w:t>
            </w:r>
            <w:r w:rsidRPr="00750FD2">
              <w:rPr>
                <w:rFonts w:ascii="Times New Roman" w:hAnsi="Times New Roman" w:cs="Times New Roman"/>
              </w:rPr>
              <w:lastRenderedPageBreak/>
              <w:t>frequency of administration, monitoring requirements, and treatment cost.</w:t>
            </w:r>
          </w:p>
        </w:tc>
        <w:tc>
          <w:tcPr>
            <w:tcW w:w="0" w:type="auto"/>
          </w:tcPr>
          <w:p w14:paraId="4334017B" w14:textId="77777777" w:rsidR="001C2CE8" w:rsidRPr="001C2CE8" w:rsidRDefault="001C2CE8" w:rsidP="001C2CE8">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C2CE8">
              <w:rPr>
                <w:rFonts w:ascii="Times New Roman" w:hAnsi="Times New Roman" w:cs="Times New Roman"/>
              </w:rPr>
              <w:lastRenderedPageBreak/>
              <w:t>Studies that do not present any biosimilar option within the discrete choice experiment choice tasks.</w:t>
            </w:r>
          </w:p>
          <w:p w14:paraId="3D29A29A" w14:textId="77777777" w:rsidR="001C2CE8" w:rsidRPr="001C2CE8" w:rsidRDefault="001C2CE8" w:rsidP="001C2CE8">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C2CE8">
              <w:rPr>
                <w:rFonts w:ascii="Times New Roman" w:hAnsi="Times New Roman" w:cs="Times New Roman"/>
              </w:rPr>
              <w:t>Studies that only compare clinical outcomes of biosimilars and originator biologics without presenting alternative treatment profiles in a choice format.</w:t>
            </w:r>
          </w:p>
          <w:p w14:paraId="014FBC66" w14:textId="77777777" w:rsidR="001C2CE8" w:rsidRPr="001C2CE8" w:rsidRDefault="001C2CE8" w:rsidP="001C2CE8">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C2CE8">
              <w:rPr>
                <w:rFonts w:ascii="Times New Roman" w:hAnsi="Times New Roman" w:cs="Times New Roman"/>
              </w:rPr>
              <w:lastRenderedPageBreak/>
              <w:t>Studies that use rating scales, ranking questions, or simple preference questions (e.g., “yes/no” to biosimilar use) instead of discrete choice experiment tasks with competing treatment profiles.</w:t>
            </w:r>
          </w:p>
          <w:p w14:paraId="72E595A6" w14:textId="5395F5F7" w:rsidR="00791316" w:rsidRPr="001C2CE8" w:rsidRDefault="001C2CE8" w:rsidP="001C2CE8">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C2CE8">
              <w:rPr>
                <w:rFonts w:ascii="Times New Roman" w:hAnsi="Times New Roman" w:cs="Times New Roman"/>
              </w:rPr>
              <w:t>Studies in which all treatment alternatives are identical in terms of effectiveness, safety, route and frequency of administration, monitoring requirements, and treatment cost (i.e., there is no variation in attributes across alternatives).</w:t>
            </w:r>
          </w:p>
        </w:tc>
      </w:tr>
      <w:tr w:rsidR="000F2AA7" w:rsidRPr="003B62ED" w14:paraId="202C947E" w14:textId="77777777" w:rsidTr="003B62ED">
        <w:tc>
          <w:tcPr>
            <w:cnfStyle w:val="001000000000" w:firstRow="0" w:lastRow="0" w:firstColumn="1" w:lastColumn="0" w:oddVBand="0" w:evenVBand="0" w:oddHBand="0" w:evenHBand="0" w:firstRowFirstColumn="0" w:firstRowLastColumn="0" w:lastRowFirstColumn="0" w:lastRowLastColumn="0"/>
            <w:tcW w:w="0" w:type="auto"/>
            <w:hideMark/>
          </w:tcPr>
          <w:p w14:paraId="1D3429A5" w14:textId="77777777" w:rsidR="003B62ED" w:rsidRPr="003B62ED" w:rsidRDefault="003B62ED" w:rsidP="003B62ED">
            <w:pPr>
              <w:spacing w:after="160" w:line="278" w:lineRule="auto"/>
              <w:rPr>
                <w:rFonts w:ascii="Times New Roman" w:hAnsi="Times New Roman" w:cs="Times New Roman"/>
              </w:rPr>
            </w:pPr>
            <w:r w:rsidRPr="003B62ED">
              <w:rPr>
                <w:rFonts w:ascii="Times New Roman" w:hAnsi="Times New Roman" w:cs="Times New Roman"/>
              </w:rPr>
              <w:lastRenderedPageBreak/>
              <w:t>Outcomes</w:t>
            </w:r>
          </w:p>
        </w:tc>
        <w:tc>
          <w:tcPr>
            <w:tcW w:w="0" w:type="auto"/>
            <w:hideMark/>
          </w:tcPr>
          <w:p w14:paraId="7D06CCB0" w14:textId="77777777" w:rsidR="000F2AA7" w:rsidRDefault="003B62ED" w:rsidP="000F2AA7">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2AA7">
              <w:rPr>
                <w:rFonts w:ascii="Times New Roman" w:hAnsi="Times New Roman" w:cs="Times New Roman"/>
              </w:rPr>
              <w:t>Patient preference outcomes reported as utility values or model coefficients</w:t>
            </w:r>
          </w:p>
          <w:p w14:paraId="5A12E2D2" w14:textId="77777777" w:rsidR="000F2AA7" w:rsidRDefault="003B62ED" w:rsidP="000F2AA7">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2AA7">
              <w:rPr>
                <w:rFonts w:ascii="Times New Roman" w:hAnsi="Times New Roman" w:cs="Times New Roman"/>
              </w:rPr>
              <w:t xml:space="preserve">Relative importance of treatment attributes </w:t>
            </w:r>
          </w:p>
          <w:p w14:paraId="752E6D77" w14:textId="5FA8640B" w:rsidR="003B62ED" w:rsidRPr="000F2AA7" w:rsidRDefault="003B62ED" w:rsidP="000F2AA7">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2AA7">
              <w:rPr>
                <w:rFonts w:ascii="Times New Roman" w:hAnsi="Times New Roman" w:cs="Times New Roman"/>
              </w:rPr>
              <w:t>Willingness-to-pay (WTP) for changes in treatment attributes</w:t>
            </w:r>
          </w:p>
        </w:tc>
        <w:tc>
          <w:tcPr>
            <w:tcW w:w="0" w:type="auto"/>
            <w:hideMark/>
          </w:tcPr>
          <w:p w14:paraId="1A159D6D" w14:textId="77777777" w:rsidR="000F2AA7" w:rsidRDefault="003B62ED" w:rsidP="000F2AA7">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2AA7">
              <w:rPr>
                <w:rFonts w:ascii="Times New Roman" w:hAnsi="Times New Roman" w:cs="Times New Roman"/>
              </w:rPr>
              <w:t>Studies reporting only clinical outcomes (e.g., effectiveness or safety) without preference analysis</w:t>
            </w:r>
          </w:p>
          <w:p w14:paraId="112A55DC" w14:textId="69A28001" w:rsidR="003B62ED" w:rsidRPr="000F2AA7" w:rsidRDefault="003B62ED" w:rsidP="000F2AA7">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2AA7">
              <w:rPr>
                <w:rFonts w:ascii="Times New Roman" w:hAnsi="Times New Roman" w:cs="Times New Roman"/>
              </w:rPr>
              <w:t>Studies focusing only on quality of life or patient satisfaction without DCE-based preference assessment</w:t>
            </w:r>
          </w:p>
        </w:tc>
      </w:tr>
    </w:tbl>
    <w:p w14:paraId="64C6F52C" w14:textId="77777777" w:rsidR="00616DD0" w:rsidRDefault="00616DD0"/>
    <w:p w14:paraId="068D7E2F" w14:textId="77777777" w:rsidR="001A782A" w:rsidRDefault="001A782A"/>
    <w:sectPr w:rsidR="001A78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5347F"/>
    <w:multiLevelType w:val="hybridMultilevel"/>
    <w:tmpl w:val="3C088E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80B63"/>
    <w:multiLevelType w:val="hybridMultilevel"/>
    <w:tmpl w:val="F9F23C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B589E"/>
    <w:multiLevelType w:val="hybridMultilevel"/>
    <w:tmpl w:val="D9AC5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21350C"/>
    <w:multiLevelType w:val="hybridMultilevel"/>
    <w:tmpl w:val="887ED0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C13685"/>
    <w:multiLevelType w:val="hybridMultilevel"/>
    <w:tmpl w:val="753AA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290912"/>
    <w:multiLevelType w:val="hybridMultilevel"/>
    <w:tmpl w:val="3CFC1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014892"/>
    <w:multiLevelType w:val="hybridMultilevel"/>
    <w:tmpl w:val="9C1674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A3310E"/>
    <w:multiLevelType w:val="hybridMultilevel"/>
    <w:tmpl w:val="5C8E0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EC0F78"/>
    <w:multiLevelType w:val="hybridMultilevel"/>
    <w:tmpl w:val="59B62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EE31F2"/>
    <w:multiLevelType w:val="hybridMultilevel"/>
    <w:tmpl w:val="7DF45E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886CAC"/>
    <w:multiLevelType w:val="hybridMultilevel"/>
    <w:tmpl w:val="9E2EF4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5F4E53"/>
    <w:multiLevelType w:val="hybridMultilevel"/>
    <w:tmpl w:val="F5E05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5313743">
    <w:abstractNumId w:val="5"/>
  </w:num>
  <w:num w:numId="2" w16cid:durableId="1399865488">
    <w:abstractNumId w:val="1"/>
  </w:num>
  <w:num w:numId="3" w16cid:durableId="1897860662">
    <w:abstractNumId w:val="8"/>
  </w:num>
  <w:num w:numId="4" w16cid:durableId="1541287995">
    <w:abstractNumId w:val="0"/>
  </w:num>
  <w:num w:numId="5" w16cid:durableId="1341617518">
    <w:abstractNumId w:val="7"/>
  </w:num>
  <w:num w:numId="6" w16cid:durableId="1019509914">
    <w:abstractNumId w:val="10"/>
  </w:num>
  <w:num w:numId="7" w16cid:durableId="1811744552">
    <w:abstractNumId w:val="4"/>
  </w:num>
  <w:num w:numId="8" w16cid:durableId="1269506497">
    <w:abstractNumId w:val="2"/>
  </w:num>
  <w:num w:numId="9" w16cid:durableId="1635021064">
    <w:abstractNumId w:val="11"/>
  </w:num>
  <w:num w:numId="10" w16cid:durableId="882861931">
    <w:abstractNumId w:val="6"/>
  </w:num>
  <w:num w:numId="11" w16cid:durableId="1028094537">
    <w:abstractNumId w:val="3"/>
  </w:num>
  <w:num w:numId="12" w16cid:durableId="19532465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B0F"/>
    <w:rsid w:val="000C2159"/>
    <w:rsid w:val="000F2AA7"/>
    <w:rsid w:val="001354BF"/>
    <w:rsid w:val="001A782A"/>
    <w:rsid w:val="001C2CE8"/>
    <w:rsid w:val="002A17BC"/>
    <w:rsid w:val="002F27C6"/>
    <w:rsid w:val="003273CD"/>
    <w:rsid w:val="00327864"/>
    <w:rsid w:val="003A3511"/>
    <w:rsid w:val="003B62ED"/>
    <w:rsid w:val="00433639"/>
    <w:rsid w:val="0047746B"/>
    <w:rsid w:val="004B7C8A"/>
    <w:rsid w:val="00592F78"/>
    <w:rsid w:val="005C2864"/>
    <w:rsid w:val="005E4493"/>
    <w:rsid w:val="005F11A7"/>
    <w:rsid w:val="00606432"/>
    <w:rsid w:val="00616DD0"/>
    <w:rsid w:val="006B3409"/>
    <w:rsid w:val="006C2C62"/>
    <w:rsid w:val="00700B0F"/>
    <w:rsid w:val="00702B6E"/>
    <w:rsid w:val="00750FD2"/>
    <w:rsid w:val="00791316"/>
    <w:rsid w:val="0079364B"/>
    <w:rsid w:val="007D0612"/>
    <w:rsid w:val="007E7BAF"/>
    <w:rsid w:val="00815C39"/>
    <w:rsid w:val="009275F9"/>
    <w:rsid w:val="00932B40"/>
    <w:rsid w:val="009E3301"/>
    <w:rsid w:val="00A40E90"/>
    <w:rsid w:val="00A44C92"/>
    <w:rsid w:val="00A6055E"/>
    <w:rsid w:val="00A977DD"/>
    <w:rsid w:val="00AE1BD0"/>
    <w:rsid w:val="00B366B1"/>
    <w:rsid w:val="00BE0813"/>
    <w:rsid w:val="00BF2AE7"/>
    <w:rsid w:val="00C208A5"/>
    <w:rsid w:val="00C34454"/>
    <w:rsid w:val="00C71E66"/>
    <w:rsid w:val="00C8247D"/>
    <w:rsid w:val="00CC4DD2"/>
    <w:rsid w:val="00D24FEB"/>
    <w:rsid w:val="00E77626"/>
    <w:rsid w:val="00EF39B7"/>
    <w:rsid w:val="00EF6E15"/>
    <w:rsid w:val="00F70A1E"/>
    <w:rsid w:val="00FD4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AFCB0"/>
  <w15:chartTrackingRefBased/>
  <w15:docId w15:val="{71EE51AA-0026-4582-B867-BF24E24EC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0B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0B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0B0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0B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0B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0B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0B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0B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0B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B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00B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00B0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00B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00B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00B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0B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0B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0B0F"/>
    <w:rPr>
      <w:rFonts w:eastAsiaTheme="majorEastAsia" w:cstheme="majorBidi"/>
      <w:color w:val="272727" w:themeColor="text1" w:themeTint="D8"/>
    </w:rPr>
  </w:style>
  <w:style w:type="paragraph" w:styleId="Title">
    <w:name w:val="Title"/>
    <w:basedOn w:val="Normal"/>
    <w:next w:val="Normal"/>
    <w:link w:val="TitleChar"/>
    <w:uiPriority w:val="10"/>
    <w:qFormat/>
    <w:rsid w:val="00700B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0B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0B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0B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0B0F"/>
    <w:pPr>
      <w:spacing w:before="160"/>
      <w:jc w:val="center"/>
    </w:pPr>
    <w:rPr>
      <w:i/>
      <w:iCs/>
      <w:color w:val="404040" w:themeColor="text1" w:themeTint="BF"/>
    </w:rPr>
  </w:style>
  <w:style w:type="character" w:customStyle="1" w:styleId="QuoteChar">
    <w:name w:val="Quote Char"/>
    <w:basedOn w:val="DefaultParagraphFont"/>
    <w:link w:val="Quote"/>
    <w:uiPriority w:val="29"/>
    <w:rsid w:val="00700B0F"/>
    <w:rPr>
      <w:i/>
      <w:iCs/>
      <w:color w:val="404040" w:themeColor="text1" w:themeTint="BF"/>
    </w:rPr>
  </w:style>
  <w:style w:type="paragraph" w:styleId="ListParagraph">
    <w:name w:val="List Paragraph"/>
    <w:basedOn w:val="Normal"/>
    <w:uiPriority w:val="34"/>
    <w:qFormat/>
    <w:rsid w:val="00700B0F"/>
    <w:pPr>
      <w:ind w:left="720"/>
      <w:contextualSpacing/>
    </w:pPr>
  </w:style>
  <w:style w:type="character" w:styleId="IntenseEmphasis">
    <w:name w:val="Intense Emphasis"/>
    <w:basedOn w:val="DefaultParagraphFont"/>
    <w:uiPriority w:val="21"/>
    <w:qFormat/>
    <w:rsid w:val="00700B0F"/>
    <w:rPr>
      <w:i/>
      <w:iCs/>
      <w:color w:val="2F5496" w:themeColor="accent1" w:themeShade="BF"/>
    </w:rPr>
  </w:style>
  <w:style w:type="paragraph" w:styleId="IntenseQuote">
    <w:name w:val="Intense Quote"/>
    <w:basedOn w:val="Normal"/>
    <w:next w:val="Normal"/>
    <w:link w:val="IntenseQuoteChar"/>
    <w:uiPriority w:val="30"/>
    <w:qFormat/>
    <w:rsid w:val="00700B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0B0F"/>
    <w:rPr>
      <w:i/>
      <w:iCs/>
      <w:color w:val="2F5496" w:themeColor="accent1" w:themeShade="BF"/>
    </w:rPr>
  </w:style>
  <w:style w:type="character" w:styleId="IntenseReference">
    <w:name w:val="Intense Reference"/>
    <w:basedOn w:val="DefaultParagraphFont"/>
    <w:uiPriority w:val="32"/>
    <w:qFormat/>
    <w:rsid w:val="00700B0F"/>
    <w:rPr>
      <w:b/>
      <w:bCs/>
      <w:smallCaps/>
      <w:color w:val="2F5496" w:themeColor="accent1" w:themeShade="BF"/>
      <w:spacing w:val="5"/>
    </w:rPr>
  </w:style>
  <w:style w:type="table" w:styleId="TableGrid">
    <w:name w:val="Table Grid"/>
    <w:basedOn w:val="TableNormal"/>
    <w:uiPriority w:val="39"/>
    <w:rsid w:val="00700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700B0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1A782A"/>
    <w:pPr>
      <w:spacing w:after="0" w:line="240" w:lineRule="auto"/>
    </w:pPr>
    <w:rPr>
      <w:lang w:val="en-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427</Words>
  <Characters>2436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Mediana</dc:creator>
  <cp:keywords/>
  <dc:description/>
  <cp:lastModifiedBy>Tania Mediana</cp:lastModifiedBy>
  <cp:revision>2</cp:revision>
  <cp:lastPrinted>2026-01-05T07:10:00Z</cp:lastPrinted>
  <dcterms:created xsi:type="dcterms:W3CDTF">2026-08-05T01:59:00Z</dcterms:created>
  <dcterms:modified xsi:type="dcterms:W3CDTF">2026-08-05T01:59:00Z</dcterms:modified>
</cp:coreProperties>
</file>