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0EDCC" w14:textId="77777777" w:rsidR="00BC7756" w:rsidRDefault="00BC7756" w:rsidP="00BC7756">
      <w:pPr>
        <w:spacing w:after="0" w:line="480" w:lineRule="auto"/>
        <w:jc w:val="both"/>
        <w:rPr>
          <w:rFonts w:ascii="Arial" w:hAnsi="Arial" w:cs="Arial"/>
          <w:b/>
          <w:bCs/>
          <w:sz w:val="28"/>
          <w:szCs w:val="28"/>
          <w:lang w:val="id-ID"/>
        </w:rPr>
      </w:pPr>
      <w:r>
        <w:rPr>
          <w:rFonts w:ascii="Arial" w:hAnsi="Arial" w:cs="Arial"/>
          <w:b/>
          <w:bCs/>
          <w:sz w:val="28"/>
          <w:szCs w:val="28"/>
          <w:lang w:val="id-ID"/>
        </w:rPr>
        <w:t>Supplementary</w:t>
      </w:r>
    </w:p>
    <w:p w14:paraId="782F5A50" w14:textId="77777777" w:rsidR="00BC7756" w:rsidRPr="00801402" w:rsidRDefault="00BC7756" w:rsidP="00BC7756">
      <w:pPr>
        <w:pStyle w:val="Caption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801402">
        <w:rPr>
          <w:rFonts w:ascii="Arial" w:hAnsi="Arial" w:cs="Arial"/>
          <w:i w:val="0"/>
          <w:iCs w:val="0"/>
          <w:color w:val="auto"/>
          <w:sz w:val="22"/>
          <w:szCs w:val="22"/>
        </w:rPr>
        <w:t>Table S</w:t>
      </w:r>
      <w:r w:rsidRPr="00801402"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begin"/>
      </w:r>
      <w:r w:rsidRPr="00801402">
        <w:rPr>
          <w:rFonts w:ascii="Arial" w:hAnsi="Arial" w:cs="Arial"/>
          <w:i w:val="0"/>
          <w:iCs w:val="0"/>
          <w:color w:val="auto"/>
          <w:sz w:val="22"/>
          <w:szCs w:val="22"/>
        </w:rPr>
        <w:instrText xml:space="preserve"> SEQ Table_S \* ARABIC </w:instrText>
      </w:r>
      <w:r w:rsidRPr="00801402"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="Arial" w:hAnsi="Arial" w:cs="Arial"/>
          <w:i w:val="0"/>
          <w:iCs w:val="0"/>
          <w:noProof/>
          <w:color w:val="auto"/>
          <w:sz w:val="22"/>
          <w:szCs w:val="22"/>
        </w:rPr>
        <w:t>1</w:t>
      </w:r>
      <w:r w:rsidRPr="00801402"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end"/>
      </w:r>
      <w:r w:rsidRPr="0080140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Descriptive Statistics of Geoheritage and Geoethics Indicators</w:t>
      </w:r>
    </w:p>
    <w:tbl>
      <w:tblPr>
        <w:tblStyle w:val="PlainTable4"/>
        <w:tblW w:w="0" w:type="auto"/>
        <w:jc w:val="center"/>
        <w:tblLook w:val="04A0" w:firstRow="1" w:lastRow="0" w:firstColumn="1" w:lastColumn="0" w:noHBand="0" w:noVBand="1"/>
      </w:tblPr>
      <w:tblGrid>
        <w:gridCol w:w="3835"/>
        <w:gridCol w:w="1266"/>
      </w:tblGrid>
      <w:tr w:rsidR="00BC7756" w:rsidRPr="00ED710C" w14:paraId="72A648D7" w14:textId="77777777" w:rsidTr="00B113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A89989" w14:textId="77777777" w:rsidR="00BC7756" w:rsidRPr="00ED710C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Indicator</w:t>
            </w:r>
          </w:p>
        </w:tc>
        <w:tc>
          <w:tcPr>
            <w:tcW w:w="0" w:type="auto"/>
            <w:vAlign w:val="center"/>
            <w:hideMark/>
          </w:tcPr>
          <w:p w14:paraId="1E16FAF5" w14:textId="77777777" w:rsidR="00BC7756" w:rsidRPr="00ED710C" w:rsidRDefault="00BC7756" w:rsidP="00B113F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Red ± SD</w:t>
            </w:r>
          </w:p>
        </w:tc>
      </w:tr>
      <w:tr w:rsidR="00BC7756" w:rsidRPr="00ED710C" w14:paraId="30401368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455704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 Geological Uniqueness</w:t>
            </w:r>
          </w:p>
        </w:tc>
        <w:tc>
          <w:tcPr>
            <w:tcW w:w="0" w:type="auto"/>
            <w:vAlign w:val="center"/>
            <w:hideMark/>
          </w:tcPr>
          <w:p w14:paraId="2F28187C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3.85 ± 1.01</w:t>
            </w:r>
          </w:p>
        </w:tc>
      </w:tr>
      <w:tr w:rsidR="00BC7756" w:rsidRPr="00ED710C" w14:paraId="3D66E151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3545C3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Q2 Distinctive Geological Features</w:t>
            </w:r>
          </w:p>
        </w:tc>
        <w:tc>
          <w:tcPr>
            <w:tcW w:w="0" w:type="auto"/>
            <w:vAlign w:val="center"/>
            <w:hideMark/>
          </w:tcPr>
          <w:p w14:paraId="07C22089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3.62 ± 1.10</w:t>
            </w:r>
          </w:p>
        </w:tc>
      </w:tr>
      <w:tr w:rsidR="00BC7756" w:rsidRPr="00ED710C" w14:paraId="188B1C42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DEA716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 Scientific and Tourism Utilization</w:t>
            </w:r>
          </w:p>
        </w:tc>
        <w:tc>
          <w:tcPr>
            <w:tcW w:w="0" w:type="auto"/>
            <w:vAlign w:val="center"/>
            <w:hideMark/>
          </w:tcPr>
          <w:p w14:paraId="2EBCB57C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2.38 ± 1.20</w:t>
            </w:r>
          </w:p>
        </w:tc>
      </w:tr>
      <w:tr w:rsidR="00BC7756" w:rsidRPr="00ED710C" w14:paraId="4A4D6DE9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C7CB06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Q4 Educational Potential</w:t>
            </w:r>
          </w:p>
        </w:tc>
        <w:tc>
          <w:tcPr>
            <w:tcW w:w="0" w:type="auto"/>
            <w:vAlign w:val="center"/>
            <w:hideMark/>
          </w:tcPr>
          <w:p w14:paraId="2AC45DC1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3.77 ± 1.07</w:t>
            </w:r>
          </w:p>
        </w:tc>
      </w:tr>
      <w:tr w:rsidR="00BC7756" w:rsidRPr="00ED710C" w14:paraId="76057CF1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7E5159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Q5 Interpretation Quality</w:t>
            </w:r>
          </w:p>
        </w:tc>
        <w:tc>
          <w:tcPr>
            <w:tcW w:w="0" w:type="auto"/>
            <w:vAlign w:val="center"/>
            <w:hideMark/>
          </w:tcPr>
          <w:p w14:paraId="640384AB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2.15 ± 1.01</w:t>
            </w:r>
          </w:p>
        </w:tc>
      </w:tr>
      <w:tr w:rsidR="00BC7756" w:rsidRPr="00ED710C" w14:paraId="1F96F9B4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972E2C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Q6 Educational Media Availability</w:t>
            </w:r>
          </w:p>
        </w:tc>
        <w:tc>
          <w:tcPr>
            <w:tcW w:w="0" w:type="auto"/>
            <w:vAlign w:val="center"/>
            <w:hideMark/>
          </w:tcPr>
          <w:p w14:paraId="01D33B4F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3.19 ± 0.90</w:t>
            </w:r>
          </w:p>
        </w:tc>
      </w:tr>
      <w:tr w:rsidR="00BC7756" w:rsidRPr="00ED710C" w14:paraId="7D6AEB44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F6241D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Q7 Educational Constraints</w:t>
            </w:r>
          </w:p>
        </w:tc>
        <w:tc>
          <w:tcPr>
            <w:tcW w:w="0" w:type="auto"/>
            <w:vAlign w:val="center"/>
            <w:hideMark/>
          </w:tcPr>
          <w:p w14:paraId="66D46671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2.12 ± 0.86</w:t>
            </w:r>
          </w:p>
        </w:tc>
      </w:tr>
      <w:tr w:rsidR="00BC7756" w:rsidRPr="00ED710C" w14:paraId="102C84F3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D09754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Q8 Landscape Beauty</w:t>
            </w:r>
          </w:p>
        </w:tc>
        <w:tc>
          <w:tcPr>
            <w:tcW w:w="0" w:type="auto"/>
            <w:vAlign w:val="center"/>
            <w:hideMark/>
          </w:tcPr>
          <w:p w14:paraId="224A1C4D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4.42 ± 0.70</w:t>
            </w:r>
          </w:p>
        </w:tc>
      </w:tr>
      <w:tr w:rsidR="00BC7756" w:rsidRPr="00ED710C" w14:paraId="619D1D43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6F522FD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Q9 Environmental Comfort</w:t>
            </w:r>
          </w:p>
        </w:tc>
        <w:tc>
          <w:tcPr>
            <w:tcW w:w="0" w:type="auto"/>
            <w:vAlign w:val="center"/>
            <w:hideMark/>
          </w:tcPr>
          <w:p w14:paraId="554C0D0A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2.50 ± 0.99</w:t>
            </w:r>
          </w:p>
        </w:tc>
      </w:tr>
      <w:tr w:rsidR="00BC7756" w:rsidRPr="00ED710C" w14:paraId="35553D2A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786B01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Q10 Visual Quality Management</w:t>
            </w:r>
          </w:p>
        </w:tc>
        <w:tc>
          <w:tcPr>
            <w:tcW w:w="0" w:type="auto"/>
            <w:vAlign w:val="center"/>
            <w:hideMark/>
          </w:tcPr>
          <w:p w14:paraId="1DADF323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2.12 ± 0.52</w:t>
            </w:r>
          </w:p>
        </w:tc>
      </w:tr>
      <w:tr w:rsidR="00BC7756" w:rsidRPr="00ED710C" w14:paraId="13B53C4F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18379F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Q11 Emotional Attachment</w:t>
            </w:r>
          </w:p>
        </w:tc>
        <w:tc>
          <w:tcPr>
            <w:tcW w:w="0" w:type="auto"/>
            <w:vAlign w:val="center"/>
            <w:hideMark/>
          </w:tcPr>
          <w:p w14:paraId="161A8D8E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4.46 ± 0.90</w:t>
            </w:r>
          </w:p>
        </w:tc>
      </w:tr>
      <w:tr w:rsidR="00BC7756" w:rsidRPr="00ED710C" w14:paraId="5D5E3637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AD74D43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Q12 Memorable Experience</w:t>
            </w:r>
          </w:p>
        </w:tc>
        <w:tc>
          <w:tcPr>
            <w:tcW w:w="0" w:type="auto"/>
            <w:vAlign w:val="center"/>
            <w:hideMark/>
          </w:tcPr>
          <w:p w14:paraId="20BBBD69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4.12 ± 1.03</w:t>
            </w:r>
          </w:p>
        </w:tc>
      </w:tr>
      <w:tr w:rsidR="00BC7756" w:rsidRPr="00ED710C" w14:paraId="020CAECE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52CA5B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Q13 Storytelling Significance</w:t>
            </w:r>
          </w:p>
        </w:tc>
        <w:tc>
          <w:tcPr>
            <w:tcW w:w="0" w:type="auto"/>
            <w:vAlign w:val="center"/>
            <w:hideMark/>
          </w:tcPr>
          <w:p w14:paraId="3D29A787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3.35 ± 1.47</w:t>
            </w:r>
          </w:p>
        </w:tc>
      </w:tr>
      <w:tr w:rsidR="00BC7756" w:rsidRPr="00ED710C" w14:paraId="64153038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9AC743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Q14 Conservation Efforts</w:t>
            </w:r>
          </w:p>
        </w:tc>
        <w:tc>
          <w:tcPr>
            <w:tcW w:w="0" w:type="auto"/>
            <w:vAlign w:val="center"/>
            <w:hideMark/>
          </w:tcPr>
          <w:p w14:paraId="3BDB388C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2.58 ± 0.86</w:t>
            </w:r>
          </w:p>
        </w:tc>
      </w:tr>
      <w:tr w:rsidR="00BC7756" w:rsidRPr="00ED710C" w14:paraId="2C0EACA1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E7BAA0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Q15 Protection Policies</w:t>
            </w:r>
          </w:p>
        </w:tc>
        <w:tc>
          <w:tcPr>
            <w:tcW w:w="0" w:type="auto"/>
            <w:vAlign w:val="center"/>
            <w:hideMark/>
          </w:tcPr>
          <w:p w14:paraId="23EF3D48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1.58 ± 0.76</w:t>
            </w:r>
          </w:p>
        </w:tc>
      </w:tr>
      <w:tr w:rsidR="00BC7756" w:rsidRPr="00ED710C" w14:paraId="1C041CFD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A015C2D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Q16 Conservation Challenges</w:t>
            </w:r>
          </w:p>
        </w:tc>
        <w:tc>
          <w:tcPr>
            <w:tcW w:w="0" w:type="auto"/>
            <w:vAlign w:val="center"/>
            <w:hideMark/>
          </w:tcPr>
          <w:p w14:paraId="313A1353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2.00 ± 0.69</w:t>
            </w:r>
          </w:p>
        </w:tc>
      </w:tr>
      <w:tr w:rsidR="00BC7756" w:rsidRPr="00ED710C" w14:paraId="014AFA6D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D8D479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Q17 Community Participation</w:t>
            </w:r>
          </w:p>
        </w:tc>
        <w:tc>
          <w:tcPr>
            <w:tcW w:w="0" w:type="auto"/>
            <w:vAlign w:val="center"/>
            <w:hideMark/>
          </w:tcPr>
          <w:p w14:paraId="6D5C197E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2.54 ± 0.86</w:t>
            </w:r>
          </w:p>
        </w:tc>
      </w:tr>
      <w:tr w:rsidR="00BC7756" w:rsidRPr="00ED710C" w14:paraId="3BA23D34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75E09E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Q18 Tourism Involvement</w:t>
            </w:r>
          </w:p>
        </w:tc>
        <w:tc>
          <w:tcPr>
            <w:tcW w:w="0" w:type="auto"/>
            <w:vAlign w:val="center"/>
            <w:hideMark/>
          </w:tcPr>
          <w:p w14:paraId="2936F002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2.77 ± 0.99</w:t>
            </w:r>
          </w:p>
        </w:tc>
      </w:tr>
      <w:tr w:rsidR="00BC7756" w:rsidRPr="00ED710C" w14:paraId="5D13B7DC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12C620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Q19 Capacity Development</w:t>
            </w:r>
          </w:p>
        </w:tc>
        <w:tc>
          <w:tcPr>
            <w:tcW w:w="0" w:type="auto"/>
            <w:vAlign w:val="center"/>
            <w:hideMark/>
          </w:tcPr>
          <w:p w14:paraId="1D478DB2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2.27 ± 0.67</w:t>
            </w:r>
          </w:p>
        </w:tc>
      </w:tr>
      <w:tr w:rsidR="00BC7756" w:rsidRPr="00ED710C" w14:paraId="2817CC70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8156BA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Q20 Cultural Authenticity</w:t>
            </w:r>
          </w:p>
        </w:tc>
        <w:tc>
          <w:tcPr>
            <w:tcW w:w="0" w:type="auto"/>
            <w:vAlign w:val="center"/>
            <w:hideMark/>
          </w:tcPr>
          <w:p w14:paraId="74E8F54F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3.12 ± 1.28</w:t>
            </w:r>
          </w:p>
        </w:tc>
      </w:tr>
      <w:tr w:rsidR="00BC7756" w:rsidRPr="00ED710C" w14:paraId="6AA6CFDE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0ABE87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Q21 Culture–Geoheritage Relationship</w:t>
            </w:r>
          </w:p>
        </w:tc>
        <w:tc>
          <w:tcPr>
            <w:tcW w:w="0" w:type="auto"/>
            <w:vAlign w:val="center"/>
            <w:hideMark/>
          </w:tcPr>
          <w:p w14:paraId="1B3C12B8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3.42 ± 1.47</w:t>
            </w:r>
          </w:p>
        </w:tc>
      </w:tr>
      <w:tr w:rsidR="00BC7756" w:rsidRPr="00ED710C" w14:paraId="35FB7BFC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816C3D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Q22 Authentic Local Experience</w:t>
            </w:r>
          </w:p>
        </w:tc>
        <w:tc>
          <w:tcPr>
            <w:tcW w:w="0" w:type="auto"/>
            <w:vAlign w:val="center"/>
            <w:hideMark/>
          </w:tcPr>
          <w:p w14:paraId="2C222BEA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3.23 ± 1.45</w:t>
            </w:r>
          </w:p>
        </w:tc>
      </w:tr>
      <w:tr w:rsidR="00BC7756" w:rsidRPr="00ED710C" w14:paraId="4F7D7F53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BD0536F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Q23 Tourist–Community Interaction</w:t>
            </w:r>
          </w:p>
        </w:tc>
        <w:tc>
          <w:tcPr>
            <w:tcW w:w="0" w:type="auto"/>
            <w:vAlign w:val="center"/>
            <w:hideMark/>
          </w:tcPr>
          <w:p w14:paraId="521D777B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2.92 ± 0.93</w:t>
            </w:r>
          </w:p>
        </w:tc>
      </w:tr>
      <w:tr w:rsidR="00BC7756" w:rsidRPr="00ED710C" w14:paraId="6921F1DC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8A8499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lastRenderedPageBreak/>
              <w:t>Q24 Interaction Intensity</w:t>
            </w:r>
          </w:p>
        </w:tc>
        <w:tc>
          <w:tcPr>
            <w:tcW w:w="0" w:type="auto"/>
            <w:vAlign w:val="center"/>
            <w:hideMark/>
          </w:tcPr>
          <w:p w14:paraId="090D9536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2.96 ± 1.11</w:t>
            </w:r>
          </w:p>
        </w:tc>
      </w:tr>
      <w:tr w:rsidR="00BC7756" w:rsidRPr="00ED710C" w14:paraId="1A05B7AF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487C6E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Q25 Drivers of Participation</w:t>
            </w:r>
          </w:p>
        </w:tc>
        <w:tc>
          <w:tcPr>
            <w:tcW w:w="0" w:type="auto"/>
            <w:vAlign w:val="center"/>
            <w:hideMark/>
          </w:tcPr>
          <w:p w14:paraId="35DA7D4D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2.35 ± 0.75</w:t>
            </w:r>
          </w:p>
        </w:tc>
      </w:tr>
      <w:tr w:rsidR="00BC7756" w:rsidRPr="00ED710C" w14:paraId="4DAC627B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647DB4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Q26 Economic Benefits</w:t>
            </w:r>
          </w:p>
        </w:tc>
        <w:tc>
          <w:tcPr>
            <w:tcW w:w="0" w:type="auto"/>
            <w:vAlign w:val="center"/>
            <w:hideMark/>
          </w:tcPr>
          <w:p w14:paraId="72374704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2.88 ± 1.03</w:t>
            </w:r>
          </w:p>
        </w:tc>
      </w:tr>
      <w:tr w:rsidR="00BC7756" w:rsidRPr="00ED710C" w14:paraId="5C8E30C8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4AF69A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Q27 Benefit Distribution</w:t>
            </w:r>
          </w:p>
        </w:tc>
        <w:tc>
          <w:tcPr>
            <w:tcW w:w="0" w:type="auto"/>
            <w:vAlign w:val="center"/>
            <w:hideMark/>
          </w:tcPr>
          <w:p w14:paraId="7BE35DB0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2.04 ± 0.92</w:t>
            </w:r>
          </w:p>
        </w:tc>
      </w:tr>
      <w:tr w:rsidR="00BC7756" w:rsidRPr="00ED710C" w14:paraId="0C7287E1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F24EA2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Q28 Support for Local Products</w:t>
            </w:r>
          </w:p>
        </w:tc>
        <w:tc>
          <w:tcPr>
            <w:tcW w:w="0" w:type="auto"/>
            <w:vAlign w:val="center"/>
            <w:hideMark/>
          </w:tcPr>
          <w:p w14:paraId="4BBF7EDB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2.73 ± 1.15</w:t>
            </w:r>
          </w:p>
        </w:tc>
      </w:tr>
      <w:tr w:rsidR="00BC7756" w:rsidRPr="00ED710C" w14:paraId="19811F6D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D380EE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Q29 Environmental Responsibility</w:t>
            </w:r>
          </w:p>
        </w:tc>
        <w:tc>
          <w:tcPr>
            <w:tcW w:w="0" w:type="auto"/>
            <w:vAlign w:val="center"/>
            <w:hideMark/>
          </w:tcPr>
          <w:p w14:paraId="6D05FB28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2.69 ± 0.88</w:t>
            </w:r>
          </w:p>
        </w:tc>
      </w:tr>
      <w:tr w:rsidR="00BC7756" w:rsidRPr="00ED710C" w14:paraId="4D72298B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9F4FAC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Q30 Participation in Decision-Making</w:t>
            </w:r>
          </w:p>
        </w:tc>
        <w:tc>
          <w:tcPr>
            <w:tcW w:w="0" w:type="auto"/>
            <w:vAlign w:val="center"/>
            <w:hideMark/>
          </w:tcPr>
          <w:p w14:paraId="3FC0405E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2.12 ± 1.18</w:t>
            </w:r>
          </w:p>
        </w:tc>
      </w:tr>
      <w:tr w:rsidR="00BC7756" w:rsidRPr="00ED710C" w14:paraId="5CC9E21A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B099B5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Q31 Governance Transparency</w:t>
            </w:r>
          </w:p>
        </w:tc>
        <w:tc>
          <w:tcPr>
            <w:tcW w:w="0" w:type="auto"/>
            <w:vAlign w:val="center"/>
            <w:hideMark/>
          </w:tcPr>
          <w:p w14:paraId="250570EC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2.08 ± 1.09</w:t>
            </w:r>
          </w:p>
        </w:tc>
      </w:tr>
      <w:tr w:rsidR="00BC7756" w:rsidRPr="00ED710C" w14:paraId="346FBAAC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F3ED84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Q32 Revisit Intention</w:t>
            </w:r>
          </w:p>
        </w:tc>
        <w:tc>
          <w:tcPr>
            <w:tcW w:w="0" w:type="auto"/>
            <w:vAlign w:val="center"/>
            <w:hideMark/>
          </w:tcPr>
          <w:p w14:paraId="73EBB445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3.31 ± 0.93</w:t>
            </w:r>
          </w:p>
        </w:tc>
      </w:tr>
      <w:tr w:rsidR="00BC7756" w:rsidRPr="00ED710C" w14:paraId="106CB438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D5918D9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Q33 Revisit Drivers</w:t>
            </w:r>
          </w:p>
        </w:tc>
        <w:tc>
          <w:tcPr>
            <w:tcW w:w="0" w:type="auto"/>
            <w:vAlign w:val="center"/>
            <w:hideMark/>
          </w:tcPr>
          <w:p w14:paraId="1E1B17CC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3.23 ± 0.91</w:t>
            </w:r>
          </w:p>
        </w:tc>
      </w:tr>
      <w:tr w:rsidR="00BC7756" w:rsidRPr="00ED710C" w14:paraId="497DA3A8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4A8A48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Q34 Recommendation Intention</w:t>
            </w:r>
          </w:p>
        </w:tc>
        <w:tc>
          <w:tcPr>
            <w:tcW w:w="0" w:type="auto"/>
            <w:vAlign w:val="center"/>
            <w:hideMark/>
          </w:tcPr>
          <w:p w14:paraId="07A7C001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3.73 ± 0.96</w:t>
            </w:r>
          </w:p>
        </w:tc>
      </w:tr>
      <w:tr w:rsidR="00BC7756" w:rsidRPr="00ED710C" w14:paraId="76133F5C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FC2DD5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Q35 Visitor Loyalty Drivers</w:t>
            </w:r>
          </w:p>
        </w:tc>
        <w:tc>
          <w:tcPr>
            <w:tcW w:w="0" w:type="auto"/>
            <w:vAlign w:val="center"/>
            <w:hideMark/>
          </w:tcPr>
          <w:p w14:paraId="2C77415C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3.50 ± 1.17</w:t>
            </w:r>
          </w:p>
        </w:tc>
      </w:tr>
      <w:tr w:rsidR="00BC7756" w:rsidRPr="00ED710C" w14:paraId="226CD238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729D90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Q36 Geoheritage–CBT Integration</w:t>
            </w:r>
          </w:p>
        </w:tc>
        <w:tc>
          <w:tcPr>
            <w:tcW w:w="0" w:type="auto"/>
            <w:vAlign w:val="center"/>
            <w:hideMark/>
          </w:tcPr>
          <w:p w14:paraId="571381F1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2.58 ± 1.21</w:t>
            </w:r>
          </w:p>
        </w:tc>
      </w:tr>
      <w:tr w:rsidR="00BC7756" w:rsidRPr="00ED710C" w14:paraId="67026BAC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C975C0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Q37 Geoeducation Potential</w:t>
            </w:r>
          </w:p>
        </w:tc>
        <w:tc>
          <w:tcPr>
            <w:tcW w:w="0" w:type="auto"/>
            <w:vAlign w:val="center"/>
            <w:hideMark/>
          </w:tcPr>
          <w:p w14:paraId="22B72490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3.73 ± 1.25</w:t>
            </w:r>
          </w:p>
        </w:tc>
      </w:tr>
      <w:tr w:rsidR="00BC7756" w:rsidRPr="00ED710C" w14:paraId="0B9F4189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E98AA3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Q38 Stakeholder Collaboration</w:t>
            </w:r>
          </w:p>
        </w:tc>
        <w:tc>
          <w:tcPr>
            <w:tcW w:w="0" w:type="auto"/>
            <w:vAlign w:val="center"/>
            <w:hideMark/>
          </w:tcPr>
          <w:p w14:paraId="3478714C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2.65 ± 1.09</w:t>
            </w:r>
          </w:p>
        </w:tc>
      </w:tr>
      <w:tr w:rsidR="00BC7756" w:rsidRPr="00ED710C" w14:paraId="3AC33FDE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A1DED6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Q39 Institutional Support</w:t>
            </w:r>
          </w:p>
        </w:tc>
        <w:tc>
          <w:tcPr>
            <w:tcW w:w="0" w:type="auto"/>
            <w:vAlign w:val="center"/>
            <w:hideMark/>
          </w:tcPr>
          <w:p w14:paraId="17EEAF2E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2.58 ± 0.95</w:t>
            </w:r>
          </w:p>
        </w:tc>
      </w:tr>
      <w:tr w:rsidR="00BC7756" w:rsidRPr="00ED710C" w14:paraId="5C910B93" w14:textId="77777777" w:rsidTr="00B113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75FE6A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Q40 Sustainable Tourism Challenges</w:t>
            </w:r>
          </w:p>
        </w:tc>
        <w:tc>
          <w:tcPr>
            <w:tcW w:w="0" w:type="auto"/>
            <w:vAlign w:val="center"/>
            <w:hideMark/>
          </w:tcPr>
          <w:p w14:paraId="1CAE0F63" w14:textId="77777777" w:rsidR="00BC7756" w:rsidRPr="00ED710C" w:rsidRDefault="00BC7756" w:rsidP="00B113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1.77 ± 0.71</w:t>
            </w:r>
          </w:p>
        </w:tc>
      </w:tr>
      <w:tr w:rsidR="00BC7756" w:rsidRPr="00ED710C" w14:paraId="6194BAC4" w14:textId="77777777" w:rsidTr="00B11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75F299" w14:textId="77777777" w:rsidR="00BC7756" w:rsidRPr="00A219BB" w:rsidRDefault="00BC7756" w:rsidP="00B113F1">
            <w:pPr>
              <w:spacing w:line="480" w:lineRule="auto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A219BB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Q41 Management Recommendations</w:t>
            </w:r>
          </w:p>
        </w:tc>
        <w:tc>
          <w:tcPr>
            <w:tcW w:w="0" w:type="auto"/>
            <w:vAlign w:val="center"/>
            <w:hideMark/>
          </w:tcPr>
          <w:p w14:paraId="1EE8BC83" w14:textId="77777777" w:rsidR="00BC7756" w:rsidRPr="00ED710C" w:rsidRDefault="00BC7756" w:rsidP="00B113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 w:rsidRPr="00ED710C">
              <w:rPr>
                <w:rFonts w:ascii="Arial" w:hAnsi="Arial" w:cs="Arial"/>
                <w:sz w:val="21"/>
                <w:szCs w:val="21"/>
              </w:rPr>
              <w:t>3.50 ± 0.91</w:t>
            </w:r>
          </w:p>
        </w:tc>
      </w:tr>
    </w:tbl>
    <w:p w14:paraId="21CDCE7E" w14:textId="77777777" w:rsidR="00BC7756" w:rsidRPr="00ED710C" w:rsidRDefault="00BC7756" w:rsidP="00BC7756">
      <w:pPr>
        <w:spacing w:after="0" w:line="480" w:lineRule="auto"/>
        <w:jc w:val="both"/>
        <w:rPr>
          <w:rFonts w:ascii="Arial" w:hAnsi="Arial" w:cs="Arial"/>
          <w:b/>
          <w:bCs/>
          <w:sz w:val="28"/>
          <w:szCs w:val="28"/>
          <w:lang w:val="id-ID"/>
        </w:rPr>
      </w:pPr>
    </w:p>
    <w:p w14:paraId="7F240FA6" w14:textId="77777777" w:rsidR="00DE6AE2" w:rsidRDefault="00DE6AE2"/>
    <w:sectPr w:rsidR="00DE6AE2" w:rsidSect="00BC775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71C7" w14:textId="77777777" w:rsidR="00BC7756" w:rsidRDefault="00BC77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44370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6C2423" w14:textId="77777777" w:rsidR="00BC7756" w:rsidRDefault="00BC77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B34BF2" w14:textId="77777777" w:rsidR="00BC7756" w:rsidRDefault="00BC77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1F0A5" w14:textId="77777777" w:rsidR="00BC7756" w:rsidRDefault="00BC775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770B7" w14:textId="77777777" w:rsidR="00BC7756" w:rsidRDefault="00BC77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A3438" w14:textId="77777777" w:rsidR="00BC7756" w:rsidRDefault="00BC77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E6E4B" w14:textId="77777777" w:rsidR="00BC7756" w:rsidRDefault="00BC77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56"/>
    <w:rsid w:val="00195413"/>
    <w:rsid w:val="003A03A7"/>
    <w:rsid w:val="003D0186"/>
    <w:rsid w:val="007278E4"/>
    <w:rsid w:val="008308C3"/>
    <w:rsid w:val="00A3738C"/>
    <w:rsid w:val="00B91ABC"/>
    <w:rsid w:val="00BC6C35"/>
    <w:rsid w:val="00BC7756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4E4DF"/>
  <w15:chartTrackingRefBased/>
  <w15:docId w15:val="{3A5431E3-FA3A-4695-9121-272D3A3B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756"/>
  </w:style>
  <w:style w:type="paragraph" w:styleId="Heading1">
    <w:name w:val="heading 1"/>
    <w:basedOn w:val="Normal"/>
    <w:next w:val="Normal"/>
    <w:link w:val="Heading1Char"/>
    <w:uiPriority w:val="9"/>
    <w:qFormat/>
    <w:rsid w:val="00BC7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7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7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7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7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7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7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7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7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7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7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7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7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7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7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7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756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C775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PlainTable4">
    <w:name w:val="Plain Table 4"/>
    <w:basedOn w:val="TableNormal"/>
    <w:uiPriority w:val="44"/>
    <w:rsid w:val="00BC77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BC7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756"/>
  </w:style>
  <w:style w:type="paragraph" w:styleId="Footer">
    <w:name w:val="footer"/>
    <w:basedOn w:val="Normal"/>
    <w:link w:val="FooterChar"/>
    <w:uiPriority w:val="99"/>
    <w:unhideWhenUsed/>
    <w:rsid w:val="00BC7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756"/>
  </w:style>
  <w:style w:type="character" w:styleId="LineNumber">
    <w:name w:val="line number"/>
    <w:basedOn w:val="DefaultParagraphFont"/>
    <w:uiPriority w:val="99"/>
    <w:semiHidden/>
    <w:unhideWhenUsed/>
    <w:rsid w:val="00BC7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>Springer Nature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2026-09-17T07:27:00Z</dcterms:created>
  <dcterms:modified xsi:type="dcterms:W3CDTF">2026-09-17T07:27:00Z</dcterms:modified>
</cp:coreProperties>
</file>