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5118C" w14:textId="77777777" w:rsidR="003D6B65" w:rsidRPr="00AE0D58" w:rsidRDefault="003D6B65" w:rsidP="003D6B65">
      <w:pPr>
        <w:spacing w:line="480" w:lineRule="auto"/>
        <w:jc w:val="both"/>
        <w:rPr>
          <w:b/>
          <w:sz w:val="24"/>
          <w:szCs w:val="24"/>
        </w:rPr>
      </w:pPr>
      <w:r w:rsidRPr="00AE0D58">
        <w:rPr>
          <w:b/>
          <w:sz w:val="24"/>
          <w:szCs w:val="24"/>
        </w:rPr>
        <w:t>SUPPLEMENTAL FIGURES</w:t>
      </w:r>
    </w:p>
    <w:p w14:paraId="569EE85F" w14:textId="77777777" w:rsidR="003D6B65" w:rsidRPr="00AE0D58" w:rsidRDefault="003D6B65" w:rsidP="003D6B65">
      <w:pPr>
        <w:pBdr>
          <w:top w:val="nil"/>
          <w:left w:val="nil"/>
          <w:bottom w:val="nil"/>
          <w:right w:val="nil"/>
          <w:between w:val="nil"/>
        </w:pBdr>
        <w:spacing w:line="480" w:lineRule="auto"/>
        <w:ind w:left="567"/>
        <w:jc w:val="both"/>
        <w:rPr>
          <w:color w:val="000000"/>
          <w:sz w:val="24"/>
          <w:szCs w:val="24"/>
        </w:rPr>
      </w:pPr>
      <w:r w:rsidRPr="00AE0D58">
        <w:rPr>
          <w:b/>
          <w:bCs/>
          <w:color w:val="000000"/>
          <w:sz w:val="24"/>
          <w:szCs w:val="24"/>
        </w:rPr>
        <w:t>Fig. S1.</w:t>
      </w:r>
      <w:r w:rsidRPr="00AE0D58">
        <w:rPr>
          <w:sz w:val="24"/>
          <w:szCs w:val="24"/>
        </w:rPr>
        <w:t xml:space="preserve"> </w:t>
      </w:r>
      <w:r w:rsidRPr="00AE0D58">
        <w:rPr>
          <w:b/>
          <w:bCs/>
          <w:color w:val="000000"/>
          <w:sz w:val="24"/>
          <w:szCs w:val="24"/>
        </w:rPr>
        <w:t>LC-MS analysis of mass spectra.</w:t>
      </w:r>
      <w:r w:rsidRPr="00AE0D58">
        <w:rPr>
          <w:color w:val="000000"/>
          <w:sz w:val="24"/>
          <w:szCs w:val="24"/>
        </w:rPr>
        <w:t xml:space="preserve"> </w:t>
      </w:r>
      <w:r w:rsidRPr="00AE0D58">
        <w:rPr>
          <w:b/>
          <w:bCs/>
          <w:i/>
          <w:iCs/>
          <w:color w:val="000000"/>
          <w:sz w:val="24"/>
          <w:szCs w:val="24"/>
        </w:rPr>
        <w:t>A,</w:t>
      </w:r>
      <w:r w:rsidRPr="00AE0D58">
        <w:rPr>
          <w:color w:val="000000"/>
          <w:sz w:val="24"/>
          <w:szCs w:val="24"/>
        </w:rPr>
        <w:t xml:space="preserve"> LC-MS analysis of mass spectra for the peptide containing Lys168. The peptide was obtained after trypsin digestion of rPKA-C.  The spectrum for the non-acetylated peptides is shown in green (lower panel) while the corresponding acetylated spectrum is shown in red (upper panel). In these spectra, the peptides are shown from carboxyterminal to aminoterminal. </w:t>
      </w:r>
      <w:r w:rsidRPr="00AE0D58">
        <w:rPr>
          <w:b/>
          <w:bCs/>
          <w:i/>
          <w:iCs/>
          <w:color w:val="000000"/>
          <w:sz w:val="24"/>
          <w:szCs w:val="24"/>
        </w:rPr>
        <w:t>B,</w:t>
      </w:r>
      <w:r w:rsidRPr="00AE0D58">
        <w:rPr>
          <w:color w:val="000000"/>
          <w:sz w:val="24"/>
          <w:szCs w:val="24"/>
        </w:rPr>
        <w:t xml:space="preserve"> LC-MS analysis of mass spectra for the peptide containing Lys309. The peptide was obtained after trypsin digestion of rPKA-C.  The spectrum for the non-acetylated peptides is shown in green (lower panel) while the corresponding acetylated spectrum is shown in red (upper panel). In these spectra, the peptides are shown from carboxyterminal to aminoterminal. </w:t>
      </w:r>
    </w:p>
    <w:p w14:paraId="29456D6A" w14:textId="77777777" w:rsidR="003D6B65" w:rsidRPr="00AE0D58" w:rsidRDefault="003D6B65" w:rsidP="003D6B65">
      <w:pPr>
        <w:pBdr>
          <w:top w:val="nil"/>
          <w:left w:val="nil"/>
          <w:bottom w:val="nil"/>
          <w:right w:val="nil"/>
          <w:between w:val="nil"/>
        </w:pBdr>
        <w:spacing w:line="480" w:lineRule="auto"/>
        <w:jc w:val="both"/>
        <w:rPr>
          <w:color w:val="000000"/>
          <w:sz w:val="24"/>
          <w:szCs w:val="24"/>
        </w:rPr>
      </w:pPr>
    </w:p>
    <w:p w14:paraId="67833A5F" w14:textId="77777777" w:rsidR="003D6B65" w:rsidRPr="00AE0D58" w:rsidRDefault="003D6B65" w:rsidP="003D6B65">
      <w:pPr>
        <w:spacing w:line="480" w:lineRule="auto"/>
        <w:ind w:left="567"/>
        <w:jc w:val="both"/>
        <w:rPr>
          <w:sz w:val="24"/>
          <w:szCs w:val="24"/>
        </w:rPr>
      </w:pPr>
      <w:r w:rsidRPr="00AE0D58">
        <w:rPr>
          <w:b/>
          <w:bCs/>
          <w:color w:val="000000"/>
          <w:sz w:val="24"/>
          <w:szCs w:val="24"/>
        </w:rPr>
        <w:t xml:space="preserve">Fig. S2. </w:t>
      </w:r>
      <w:r w:rsidRPr="00AE0D58">
        <w:rPr>
          <w:b/>
          <w:bCs/>
          <w:i/>
          <w:iCs/>
          <w:sz w:val="24"/>
          <w:szCs w:val="24"/>
        </w:rPr>
        <w:t>A</w:t>
      </w:r>
      <w:r w:rsidRPr="00AE0D58">
        <w:rPr>
          <w:sz w:val="24"/>
          <w:szCs w:val="24"/>
        </w:rPr>
        <w:t xml:space="preserve">, rPKA-C without exposure to sperm extract and sperm extract alone were used as controls in KIMSA experiments. </w:t>
      </w:r>
      <w:r w:rsidRPr="00AE0D58">
        <w:rPr>
          <w:b/>
          <w:bCs/>
          <w:i/>
          <w:iCs/>
          <w:sz w:val="24"/>
          <w:szCs w:val="24"/>
        </w:rPr>
        <w:t>B</w:t>
      </w:r>
      <w:r w:rsidRPr="00AE0D58">
        <w:rPr>
          <w:sz w:val="24"/>
          <w:szCs w:val="24"/>
        </w:rPr>
        <w:t>, Western blots were used as loading controls showing the same amount of rPKA-C after beads recovery.</w:t>
      </w:r>
    </w:p>
    <w:p w14:paraId="30633790" w14:textId="77777777" w:rsidR="003D6B65" w:rsidRPr="00AE0D58" w:rsidRDefault="003D6B65" w:rsidP="003D6B65">
      <w:pPr>
        <w:spacing w:line="480" w:lineRule="auto"/>
        <w:ind w:left="567"/>
        <w:jc w:val="both"/>
        <w:rPr>
          <w:sz w:val="24"/>
          <w:szCs w:val="24"/>
        </w:rPr>
      </w:pPr>
    </w:p>
    <w:p w14:paraId="69575C1D" w14:textId="77777777" w:rsidR="003D6B65" w:rsidRDefault="003D6B65" w:rsidP="003D6B65">
      <w:pPr>
        <w:spacing w:line="480" w:lineRule="auto"/>
        <w:ind w:left="567"/>
        <w:jc w:val="both"/>
        <w:rPr>
          <w:sz w:val="24"/>
          <w:szCs w:val="24"/>
        </w:rPr>
      </w:pPr>
      <w:r w:rsidRPr="00AE0D58">
        <w:rPr>
          <w:b/>
          <w:bCs/>
          <w:color w:val="000000"/>
          <w:sz w:val="24"/>
          <w:szCs w:val="24"/>
        </w:rPr>
        <w:t>Fig. S3.</w:t>
      </w:r>
      <w:r w:rsidRPr="00AE0D58">
        <w:rPr>
          <w:b/>
          <w:bCs/>
          <w:sz w:val="24"/>
          <w:szCs w:val="24"/>
        </w:rPr>
        <w:t xml:space="preserve"> Chemical shift perturbation (CSP) analysis of </w:t>
      </w:r>
      <w:r w:rsidRPr="00AE0D58">
        <w:rPr>
          <w:b/>
          <w:bCs/>
          <w:sz w:val="24"/>
          <w:szCs w:val="24"/>
          <w:vertAlign w:val="superscript"/>
        </w:rPr>
        <w:t>15</w:t>
      </w:r>
      <w:r w:rsidRPr="00AE0D58">
        <w:rPr>
          <w:b/>
          <w:bCs/>
          <w:sz w:val="24"/>
          <w:szCs w:val="24"/>
        </w:rPr>
        <w:t>N-rPKA-C residues</w:t>
      </w:r>
      <w:r w:rsidRPr="00AE0D58">
        <w:rPr>
          <w:sz w:val="24"/>
          <w:szCs w:val="24"/>
        </w:rPr>
        <w:t xml:space="preserve">. </w:t>
      </w:r>
      <w:r w:rsidRPr="00AE0D58">
        <w:rPr>
          <w:b/>
          <w:bCs/>
          <w:i/>
          <w:iCs/>
          <w:sz w:val="24"/>
          <w:szCs w:val="24"/>
        </w:rPr>
        <w:t>A,</w:t>
      </w:r>
      <w:r w:rsidRPr="00AE0D58">
        <w:rPr>
          <w:sz w:val="24"/>
          <w:szCs w:val="24"/>
        </w:rPr>
        <w:t xml:space="preserve"> </w:t>
      </w:r>
      <w:r w:rsidRPr="00AE0D58">
        <w:rPr>
          <w:sz w:val="24"/>
          <w:szCs w:val="24"/>
          <w:vertAlign w:val="superscript"/>
        </w:rPr>
        <w:t>15</w:t>
      </w:r>
      <w:r w:rsidRPr="00AE0D58">
        <w:rPr>
          <w:sz w:val="24"/>
          <w:szCs w:val="24"/>
        </w:rPr>
        <w:t xml:space="preserve">N-rPKAC in extracts in the absence and presence of acetyl-CoA and IDACs, corresponding to the analysis presented in figure 3. Bars are colored proportionally to the CSP values, with darker colors indicating larger perturbations. Thresholds corresponding to the mean (CSP), mean + 0.5σ, and mean + 1σ are indicated by solid and dashed lines, respectively. Gray-shaded areas represent perturbed structural regions involved in ATP binding (glycine-rich loop: G-rich) and catalysis (activation segment).  </w:t>
      </w:r>
      <w:r w:rsidRPr="00AE0D58">
        <w:rPr>
          <w:b/>
          <w:bCs/>
          <w:i/>
          <w:iCs/>
          <w:sz w:val="24"/>
          <w:szCs w:val="24"/>
        </w:rPr>
        <w:t>B</w:t>
      </w:r>
      <w:r w:rsidRPr="00AE0D58">
        <w:rPr>
          <w:sz w:val="24"/>
          <w:szCs w:val="24"/>
        </w:rPr>
        <w:t xml:space="preserve">, CSP of </w:t>
      </w:r>
      <w:r w:rsidRPr="00AE0D58">
        <w:rPr>
          <w:sz w:val="24"/>
          <w:szCs w:val="24"/>
          <w:vertAlign w:val="superscript"/>
        </w:rPr>
        <w:t>15</w:t>
      </w:r>
      <w:r w:rsidRPr="00AE0D58">
        <w:rPr>
          <w:sz w:val="24"/>
          <w:szCs w:val="24"/>
        </w:rPr>
        <w:t xml:space="preserve">N-rPKA-C induced by ATP binding. </w:t>
      </w:r>
      <w:r w:rsidRPr="00AE0D58">
        <w:rPr>
          <w:b/>
          <w:bCs/>
          <w:i/>
          <w:iCs/>
          <w:sz w:val="24"/>
          <w:szCs w:val="24"/>
        </w:rPr>
        <w:t>C</w:t>
      </w:r>
      <w:r w:rsidRPr="00AE0D58">
        <w:rPr>
          <w:sz w:val="24"/>
          <w:szCs w:val="24"/>
        </w:rPr>
        <w:t xml:space="preserve">, Overlay of </w:t>
      </w:r>
      <w:r w:rsidRPr="00AE0D58">
        <w:rPr>
          <w:sz w:val="24"/>
          <w:szCs w:val="24"/>
          <w:vertAlign w:val="superscript"/>
        </w:rPr>
        <w:t>1</w:t>
      </w:r>
      <w:r w:rsidRPr="00AE0D58">
        <w:rPr>
          <w:sz w:val="24"/>
          <w:szCs w:val="24"/>
        </w:rPr>
        <w:t>H-</w:t>
      </w:r>
      <w:r w:rsidRPr="00AE0D58">
        <w:rPr>
          <w:sz w:val="24"/>
          <w:szCs w:val="24"/>
          <w:vertAlign w:val="superscript"/>
        </w:rPr>
        <w:t>15</w:t>
      </w:r>
      <w:r w:rsidRPr="00AE0D58">
        <w:rPr>
          <w:sz w:val="24"/>
          <w:szCs w:val="24"/>
        </w:rPr>
        <w:t xml:space="preserve">N HSQC spectra of </w:t>
      </w:r>
      <w:r w:rsidRPr="00AE0D58">
        <w:rPr>
          <w:sz w:val="24"/>
          <w:szCs w:val="24"/>
          <w:vertAlign w:val="superscript"/>
        </w:rPr>
        <w:t>15</w:t>
      </w:r>
      <w:r w:rsidRPr="00AE0D58">
        <w:rPr>
          <w:sz w:val="24"/>
          <w:szCs w:val="24"/>
        </w:rPr>
        <w:t>N-rPKA-C in the absence (black) and presence (red) of ATP.</w:t>
      </w:r>
    </w:p>
    <w:p w14:paraId="3D19F278" w14:textId="77777777" w:rsidR="00E023F9" w:rsidRDefault="00E023F9"/>
    <w:p w14:paraId="53B7A556" w14:textId="77777777" w:rsidR="003D6B65" w:rsidRDefault="003D6B65"/>
    <w:p w14:paraId="30A16B7E" w14:textId="77777777" w:rsidR="003D6B65" w:rsidRDefault="003D6B65"/>
    <w:p w14:paraId="2186A803" w14:textId="77777777" w:rsidR="003D6B65" w:rsidRDefault="003D6B65" w:rsidP="003D6B65">
      <w:pPr>
        <w:spacing w:line="480" w:lineRule="auto"/>
        <w:ind w:left="567"/>
        <w:jc w:val="center"/>
        <w:rPr>
          <w:sz w:val="24"/>
          <w:szCs w:val="24"/>
        </w:rPr>
      </w:pPr>
      <w:r>
        <w:rPr>
          <w:noProof/>
          <w:sz w:val="24"/>
          <w:szCs w:val="24"/>
        </w:rPr>
        <w:lastRenderedPageBreak/>
        <w:drawing>
          <wp:inline distT="0" distB="0" distL="0" distR="0" wp14:anchorId="229A56D6" wp14:editId="160219ED">
            <wp:extent cx="5850890" cy="5932170"/>
            <wp:effectExtent l="0" t="0" r="3810" b="0"/>
            <wp:docPr id="74240087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400872" name="Imagen 74240087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50890" cy="5932170"/>
                    </a:xfrm>
                    <a:prstGeom prst="rect">
                      <a:avLst/>
                    </a:prstGeom>
                  </pic:spPr>
                </pic:pic>
              </a:graphicData>
            </a:graphic>
          </wp:inline>
        </w:drawing>
      </w:r>
    </w:p>
    <w:p w14:paraId="45E83323" w14:textId="77777777" w:rsidR="003D6B65" w:rsidRDefault="003D6B65" w:rsidP="003D6B65">
      <w:pPr>
        <w:spacing w:line="480" w:lineRule="auto"/>
        <w:ind w:left="567"/>
        <w:jc w:val="center"/>
        <w:rPr>
          <w:sz w:val="24"/>
          <w:szCs w:val="24"/>
        </w:rPr>
      </w:pPr>
    </w:p>
    <w:p w14:paraId="77FE9A75" w14:textId="77777777" w:rsidR="003D6B65" w:rsidRDefault="003D6B65" w:rsidP="003D6B65">
      <w:pPr>
        <w:spacing w:line="480" w:lineRule="auto"/>
        <w:ind w:left="567"/>
        <w:jc w:val="center"/>
        <w:rPr>
          <w:sz w:val="24"/>
          <w:szCs w:val="24"/>
        </w:rPr>
      </w:pPr>
      <w:r>
        <w:rPr>
          <w:sz w:val="24"/>
          <w:szCs w:val="24"/>
        </w:rPr>
        <w:t>Sup Fig 1</w:t>
      </w:r>
    </w:p>
    <w:p w14:paraId="7D78650C" w14:textId="77777777" w:rsidR="003D6B65" w:rsidRDefault="003D6B65" w:rsidP="003D6B65">
      <w:pPr>
        <w:rPr>
          <w:sz w:val="24"/>
          <w:szCs w:val="24"/>
        </w:rPr>
      </w:pPr>
      <w:r>
        <w:rPr>
          <w:sz w:val="24"/>
          <w:szCs w:val="24"/>
        </w:rPr>
        <w:br w:type="page"/>
      </w:r>
    </w:p>
    <w:p w14:paraId="0EC988F4" w14:textId="77777777" w:rsidR="003D6B65" w:rsidRDefault="003D6B65" w:rsidP="003D6B65">
      <w:pPr>
        <w:spacing w:line="480" w:lineRule="auto"/>
        <w:ind w:left="567"/>
        <w:jc w:val="center"/>
        <w:rPr>
          <w:sz w:val="24"/>
          <w:szCs w:val="24"/>
        </w:rPr>
      </w:pPr>
      <w:r>
        <w:rPr>
          <w:noProof/>
          <w:sz w:val="24"/>
          <w:szCs w:val="24"/>
        </w:rPr>
        <w:lastRenderedPageBreak/>
        <w:drawing>
          <wp:inline distT="0" distB="0" distL="0" distR="0" wp14:anchorId="69A945D4" wp14:editId="1DE8C0B7">
            <wp:extent cx="2748987" cy="1850485"/>
            <wp:effectExtent l="0" t="0" r="0" b="3810"/>
            <wp:docPr id="75637712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377120" name="Imagen 756377120"/>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57752" cy="1856385"/>
                    </a:xfrm>
                    <a:prstGeom prst="rect">
                      <a:avLst/>
                    </a:prstGeom>
                  </pic:spPr>
                </pic:pic>
              </a:graphicData>
            </a:graphic>
          </wp:inline>
        </w:drawing>
      </w:r>
    </w:p>
    <w:p w14:paraId="6497BB66" w14:textId="77777777" w:rsidR="003D6B65" w:rsidRDefault="003D6B65" w:rsidP="003D6B65">
      <w:pPr>
        <w:spacing w:line="480" w:lineRule="auto"/>
        <w:ind w:left="567"/>
        <w:jc w:val="center"/>
        <w:rPr>
          <w:sz w:val="24"/>
          <w:szCs w:val="24"/>
        </w:rPr>
      </w:pPr>
      <w:r>
        <w:rPr>
          <w:sz w:val="24"/>
          <w:szCs w:val="24"/>
        </w:rPr>
        <w:t>Sup Fig 2</w:t>
      </w:r>
    </w:p>
    <w:p w14:paraId="2BFD3230" w14:textId="77777777" w:rsidR="003D6B65" w:rsidRDefault="003D6B65" w:rsidP="003D6B65">
      <w:pPr>
        <w:rPr>
          <w:sz w:val="24"/>
          <w:szCs w:val="24"/>
        </w:rPr>
      </w:pPr>
      <w:r>
        <w:rPr>
          <w:sz w:val="24"/>
          <w:szCs w:val="24"/>
        </w:rPr>
        <w:br w:type="page"/>
      </w:r>
    </w:p>
    <w:p w14:paraId="2B7B3820" w14:textId="77777777" w:rsidR="003D6B65" w:rsidRDefault="003D6B65" w:rsidP="003D6B65">
      <w:pPr>
        <w:spacing w:line="480" w:lineRule="auto"/>
        <w:ind w:left="567"/>
        <w:jc w:val="center"/>
        <w:rPr>
          <w:sz w:val="24"/>
          <w:szCs w:val="24"/>
        </w:rPr>
      </w:pPr>
    </w:p>
    <w:p w14:paraId="3124F18D" w14:textId="77777777" w:rsidR="003D6B65" w:rsidRDefault="003D6B65" w:rsidP="003D6B65">
      <w:pPr>
        <w:spacing w:line="480" w:lineRule="auto"/>
        <w:ind w:left="567"/>
        <w:jc w:val="center"/>
        <w:rPr>
          <w:sz w:val="24"/>
          <w:szCs w:val="24"/>
        </w:rPr>
      </w:pPr>
      <w:r>
        <w:rPr>
          <w:noProof/>
          <w:sz w:val="24"/>
          <w:szCs w:val="24"/>
        </w:rPr>
        <w:drawing>
          <wp:inline distT="0" distB="0" distL="0" distR="0" wp14:anchorId="0535F923" wp14:editId="02A3603A">
            <wp:extent cx="3492500" cy="7213600"/>
            <wp:effectExtent l="0" t="0" r="0" b="0"/>
            <wp:docPr id="64433049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330493" name="Imagen 644330493"/>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92500" cy="7213600"/>
                    </a:xfrm>
                    <a:prstGeom prst="rect">
                      <a:avLst/>
                    </a:prstGeom>
                  </pic:spPr>
                </pic:pic>
              </a:graphicData>
            </a:graphic>
          </wp:inline>
        </w:drawing>
      </w:r>
    </w:p>
    <w:p w14:paraId="71538476" w14:textId="77777777" w:rsidR="003D6B65" w:rsidRDefault="003D6B65" w:rsidP="003D6B65">
      <w:pPr>
        <w:spacing w:line="480" w:lineRule="auto"/>
        <w:ind w:left="567"/>
        <w:jc w:val="center"/>
        <w:rPr>
          <w:sz w:val="24"/>
          <w:szCs w:val="24"/>
        </w:rPr>
      </w:pPr>
    </w:p>
    <w:p w14:paraId="2C0DA5B2" w14:textId="77777777" w:rsidR="003D6B65" w:rsidRDefault="003D6B65" w:rsidP="003D6B65">
      <w:pPr>
        <w:spacing w:line="480" w:lineRule="auto"/>
        <w:ind w:left="567"/>
        <w:jc w:val="center"/>
        <w:rPr>
          <w:sz w:val="24"/>
          <w:szCs w:val="24"/>
        </w:rPr>
      </w:pPr>
      <w:r>
        <w:rPr>
          <w:sz w:val="24"/>
          <w:szCs w:val="24"/>
        </w:rPr>
        <w:t xml:space="preserve">     Supp Fig 3</w:t>
      </w:r>
    </w:p>
    <w:p w14:paraId="58326CD9" w14:textId="77777777" w:rsidR="003D6B65" w:rsidRDefault="003D6B65"/>
    <w:sectPr w:rsidR="003D6B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B65"/>
    <w:rsid w:val="000C4033"/>
    <w:rsid w:val="00173ED8"/>
    <w:rsid w:val="002F50B1"/>
    <w:rsid w:val="003D6B65"/>
    <w:rsid w:val="004B42CB"/>
    <w:rsid w:val="005F2B46"/>
    <w:rsid w:val="006E1731"/>
    <w:rsid w:val="007A08DD"/>
    <w:rsid w:val="00866D74"/>
    <w:rsid w:val="00882A73"/>
    <w:rsid w:val="00906905"/>
    <w:rsid w:val="0095305D"/>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00F9"/>
  <w15:chartTrackingRefBased/>
  <w15:docId w15:val="{7C067F05-073C-4835-9859-A62C214F1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B65"/>
    <w:pPr>
      <w:spacing w:after="0" w:line="240" w:lineRule="auto"/>
    </w:pPr>
    <w:rPr>
      <w:rFonts w:ascii="Times New Roman" w:eastAsia="Calibri"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3D6B6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3D6B6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3D6B6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3D6B6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3D6B6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3D6B6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3D6B6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3D6B65"/>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3D6B65"/>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B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B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B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B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B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B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B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B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B65"/>
    <w:rPr>
      <w:rFonts w:eastAsiaTheme="majorEastAsia" w:cstheme="majorBidi"/>
      <w:color w:val="272727" w:themeColor="text1" w:themeTint="D8"/>
    </w:rPr>
  </w:style>
  <w:style w:type="paragraph" w:styleId="Title">
    <w:name w:val="Title"/>
    <w:basedOn w:val="Normal"/>
    <w:next w:val="Normal"/>
    <w:link w:val="TitleChar"/>
    <w:uiPriority w:val="10"/>
    <w:qFormat/>
    <w:rsid w:val="003D6B65"/>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3D6B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B6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3D6B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B65"/>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3D6B65"/>
    <w:rPr>
      <w:i/>
      <w:iCs/>
      <w:color w:val="404040" w:themeColor="text1" w:themeTint="BF"/>
    </w:rPr>
  </w:style>
  <w:style w:type="paragraph" w:styleId="ListParagraph">
    <w:name w:val="List Paragraph"/>
    <w:basedOn w:val="Normal"/>
    <w:uiPriority w:val="34"/>
    <w:qFormat/>
    <w:rsid w:val="003D6B65"/>
    <w:pPr>
      <w:spacing w:after="160" w:line="278" w:lineRule="auto"/>
      <w:ind w:left="720"/>
      <w:contextualSpacing/>
    </w:pPr>
    <w:rPr>
      <w:rFonts w:asciiTheme="minorHAnsi" w:eastAsiaTheme="minorHAnsi" w:hAnsiTheme="minorHAnsi" w:cstheme="minorBidi"/>
      <w:kern w:val="2"/>
      <w:sz w:val="24"/>
      <w:szCs w:val="24"/>
      <w:lang w:val="en-IN"/>
      <w14:ligatures w14:val="standardContextual"/>
    </w:rPr>
  </w:style>
  <w:style w:type="character" w:styleId="IntenseEmphasis">
    <w:name w:val="Intense Emphasis"/>
    <w:basedOn w:val="DefaultParagraphFont"/>
    <w:uiPriority w:val="21"/>
    <w:qFormat/>
    <w:rsid w:val="003D6B65"/>
    <w:rPr>
      <w:i/>
      <w:iCs/>
      <w:color w:val="0F4761" w:themeColor="accent1" w:themeShade="BF"/>
    </w:rPr>
  </w:style>
  <w:style w:type="paragraph" w:styleId="IntenseQuote">
    <w:name w:val="Intense Quote"/>
    <w:basedOn w:val="Normal"/>
    <w:next w:val="Normal"/>
    <w:link w:val="IntenseQuoteChar"/>
    <w:uiPriority w:val="30"/>
    <w:qFormat/>
    <w:rsid w:val="003D6B6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3D6B65"/>
    <w:rPr>
      <w:i/>
      <w:iCs/>
      <w:color w:val="0F4761" w:themeColor="accent1" w:themeShade="BF"/>
    </w:rPr>
  </w:style>
  <w:style w:type="character" w:styleId="IntenseReference">
    <w:name w:val="Intense Reference"/>
    <w:basedOn w:val="DefaultParagraphFont"/>
    <w:uiPriority w:val="32"/>
    <w:qFormat/>
    <w:rsid w:val="003D6B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267</Words>
  <Characters>1524</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2026-08-31T23:02:00Z</dcterms:created>
  <dcterms:modified xsi:type="dcterms:W3CDTF">2026-08-31T23:03:00Z</dcterms:modified>
</cp:coreProperties>
</file>