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68CBC" w14:textId="0955092B" w:rsidR="00B82E7F" w:rsidRDefault="00B82E7F" w:rsidP="009F4544">
      <w:pPr>
        <w:spacing w:line="480" w:lineRule="auto"/>
        <w:jc w:val="center"/>
        <w:rPr>
          <w:rFonts w:asciiTheme="majorBidi" w:hAnsiTheme="majorBidi" w:cstheme="majorBidi"/>
          <w:b/>
          <w:bCs/>
          <w:sz w:val="28"/>
          <w:szCs w:val="28"/>
        </w:rPr>
      </w:pPr>
      <w:r w:rsidRPr="00B82E7F">
        <w:rPr>
          <w:rFonts w:asciiTheme="majorBidi" w:hAnsiTheme="majorBidi" w:cstheme="majorBidi"/>
          <w:b/>
          <w:bCs/>
          <w:sz w:val="28"/>
          <w:szCs w:val="28"/>
        </w:rPr>
        <w:t>Supplementary information</w:t>
      </w:r>
    </w:p>
    <w:p w14:paraId="05ADA212" w14:textId="77777777" w:rsidR="00C405B0" w:rsidRPr="00CD5592" w:rsidRDefault="00C405B0" w:rsidP="009F4544">
      <w:pPr>
        <w:widowControl w:val="0"/>
        <w:tabs>
          <w:tab w:val="left" w:pos="284"/>
        </w:tabs>
        <w:spacing w:after="0" w:line="480" w:lineRule="auto"/>
        <w:jc w:val="center"/>
        <w:rPr>
          <w:rFonts w:ascii="Times New Roman" w:hAnsi="Times New Roman" w:cs="B Lotus"/>
          <w:b/>
          <w:bCs/>
          <w:color w:val="000000" w:themeColor="text1"/>
          <w:sz w:val="28"/>
          <w:szCs w:val="28"/>
          <w:lang w:bidi="fa-IR"/>
        </w:rPr>
      </w:pPr>
      <w:r w:rsidRPr="00CD5592">
        <w:rPr>
          <w:rFonts w:ascii="Times New Roman" w:hAnsi="Times New Roman" w:cs="B Lotus"/>
          <w:b/>
          <w:bCs/>
          <w:color w:val="000000" w:themeColor="text1"/>
          <w:sz w:val="28"/>
          <w:szCs w:val="28"/>
          <w:lang w:bidi="fa-IR"/>
        </w:rPr>
        <w:t>Rapid Antibiotic Susceptibility Testing by Reflectometric Interference Fourier Transform Spectroscopy on pH-responsive Hydrogel</w:t>
      </w:r>
      <w:r>
        <w:rPr>
          <w:rFonts w:ascii="Times New Roman" w:hAnsi="Times New Roman" w:cs="B Lotus"/>
          <w:b/>
          <w:bCs/>
          <w:color w:val="000000" w:themeColor="text1"/>
          <w:sz w:val="28"/>
          <w:szCs w:val="28"/>
          <w:lang w:bidi="fa-IR"/>
        </w:rPr>
        <w:t xml:space="preserve"> </w:t>
      </w:r>
      <w:r w:rsidRPr="008605D2">
        <w:rPr>
          <w:rFonts w:asciiTheme="majorBidi" w:hAnsiTheme="majorBidi" w:cstheme="majorBidi"/>
          <w:b/>
          <w:bCs/>
          <w:sz w:val="28"/>
          <w:szCs w:val="28"/>
        </w:rPr>
        <w:t>Infiltrated</w:t>
      </w:r>
      <w:r w:rsidRPr="008605D2">
        <w:rPr>
          <w:rFonts w:ascii="Times New Roman" w:hAnsi="Times New Roman" w:cs="B Lotus"/>
          <w:b/>
          <w:bCs/>
          <w:sz w:val="28"/>
          <w:szCs w:val="28"/>
          <w:lang w:bidi="fa-IR"/>
        </w:rPr>
        <w:t xml:space="preserve"> </w:t>
      </w:r>
      <w:r w:rsidRPr="00CD5592">
        <w:rPr>
          <w:rFonts w:ascii="Times New Roman" w:hAnsi="Times New Roman" w:cs="B Lotus"/>
          <w:b/>
          <w:bCs/>
          <w:color w:val="000000" w:themeColor="text1"/>
          <w:sz w:val="28"/>
          <w:szCs w:val="28"/>
          <w:lang w:bidi="fa-IR"/>
        </w:rPr>
        <w:t>Porous Silicon Integrated into Microchips</w:t>
      </w:r>
    </w:p>
    <w:p w14:paraId="712F3B5E" w14:textId="77777777" w:rsidR="00C405B0" w:rsidRDefault="00C405B0" w:rsidP="009F4544">
      <w:pPr>
        <w:widowControl w:val="0"/>
        <w:tabs>
          <w:tab w:val="left" w:pos="284"/>
        </w:tabs>
        <w:spacing w:after="0" w:line="480" w:lineRule="auto"/>
        <w:jc w:val="center"/>
        <w:rPr>
          <w:rFonts w:ascii="Times New Roman" w:hAnsi="Times New Roman" w:cs="Times New Roman"/>
          <w:sz w:val="20"/>
          <w:szCs w:val="20"/>
          <w:lang w:bidi="fa-IR"/>
        </w:rPr>
      </w:pPr>
    </w:p>
    <w:p w14:paraId="3C057325" w14:textId="77777777" w:rsidR="00C405B0" w:rsidRDefault="00C405B0" w:rsidP="009F4544">
      <w:pPr>
        <w:widowControl w:val="0"/>
        <w:tabs>
          <w:tab w:val="left" w:pos="284"/>
        </w:tabs>
        <w:spacing w:after="0" w:line="480" w:lineRule="auto"/>
        <w:jc w:val="center"/>
        <w:rPr>
          <w:rFonts w:ascii="Times New Roman" w:hAnsi="Times New Roman" w:cs="Times New Roman"/>
          <w:b/>
          <w:bCs/>
          <w:sz w:val="20"/>
          <w:szCs w:val="20"/>
          <w:vertAlign w:val="superscript"/>
          <w:rtl/>
        </w:rPr>
      </w:pPr>
      <w:proofErr w:type="spellStart"/>
      <w:r>
        <w:rPr>
          <w:rFonts w:ascii="Times New Roman" w:hAnsi="Times New Roman" w:cs="Times New Roman"/>
          <w:b/>
          <w:bCs/>
          <w:sz w:val="20"/>
          <w:szCs w:val="20"/>
        </w:rPr>
        <w:t>Shima</w:t>
      </w:r>
      <w:proofErr w:type="spellEnd"/>
      <w:r>
        <w:rPr>
          <w:rFonts w:ascii="Times New Roman" w:hAnsi="Times New Roman" w:cs="Times New Roman"/>
          <w:b/>
          <w:bCs/>
          <w:sz w:val="20"/>
          <w:szCs w:val="20"/>
        </w:rPr>
        <w:t xml:space="preserve"> Abarghoe</w:t>
      </w:r>
      <w:r>
        <w:rPr>
          <w:rFonts w:ascii="Times New Roman" w:hAnsi="Times New Roman" w:cs="Times New Roman"/>
          <w:b/>
          <w:bCs/>
          <w:sz w:val="20"/>
          <w:szCs w:val="20"/>
          <w:vertAlign w:val="superscript"/>
        </w:rPr>
        <w:t>1</w:t>
      </w:r>
      <w:r>
        <w:rPr>
          <w:rFonts w:ascii="Times New Roman" w:hAnsi="Times New Roman" w:cs="Times New Roman"/>
          <w:b/>
          <w:bCs/>
          <w:sz w:val="20"/>
          <w:szCs w:val="20"/>
        </w:rPr>
        <w:t>, Fereshteh Rahimi</w:t>
      </w:r>
      <w:r>
        <w:rPr>
          <w:rFonts w:ascii="Times New Roman" w:hAnsi="Times New Roman" w:cs="Times New Roman"/>
          <w:b/>
          <w:bCs/>
          <w:sz w:val="20"/>
          <w:szCs w:val="20"/>
          <w:vertAlign w:val="superscript"/>
        </w:rPr>
        <w:t>1*</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Nizami</w:t>
      </w:r>
      <w:proofErr w:type="spellEnd"/>
      <w:r>
        <w:rPr>
          <w:rFonts w:ascii="Times New Roman" w:hAnsi="Times New Roman" w:cs="Times New Roman"/>
          <w:b/>
          <w:bCs/>
          <w:sz w:val="20"/>
          <w:szCs w:val="20"/>
        </w:rPr>
        <w:t xml:space="preserve"> Duran</w:t>
      </w:r>
      <w:r>
        <w:rPr>
          <w:rFonts w:ascii="Times New Roman" w:hAnsi="Times New Roman" w:cs="Times New Roman"/>
          <w:b/>
          <w:bCs/>
          <w:sz w:val="20"/>
          <w:szCs w:val="20"/>
          <w:vertAlign w:val="superscript"/>
        </w:rPr>
        <w:t>2*</w:t>
      </w:r>
      <w:r>
        <w:rPr>
          <w:rFonts w:ascii="Times New Roman" w:hAnsi="Times New Roman" w:cs="Times New Roman"/>
          <w:b/>
          <w:bCs/>
          <w:sz w:val="20"/>
          <w:szCs w:val="20"/>
        </w:rPr>
        <w:t xml:space="preserve">, Ali </w:t>
      </w:r>
      <w:proofErr w:type="spellStart"/>
      <w:r>
        <w:rPr>
          <w:rFonts w:ascii="Times New Roman" w:hAnsi="Times New Roman" w:cs="Times New Roman"/>
          <w:b/>
          <w:bCs/>
          <w:sz w:val="20"/>
          <w:szCs w:val="20"/>
        </w:rPr>
        <w:t>Abouei</w:t>
      </w:r>
      <w:proofErr w:type="spellEnd"/>
      <w:r>
        <w:rPr>
          <w:rFonts w:ascii="Times New Roman" w:hAnsi="Times New Roman" w:cs="Times New Roman"/>
          <w:b/>
          <w:bCs/>
          <w:sz w:val="20"/>
          <w:szCs w:val="20"/>
        </w:rPr>
        <w:t xml:space="preserve"> Mehrizi</w:t>
      </w:r>
      <w:r>
        <w:rPr>
          <w:rFonts w:ascii="Times New Roman" w:hAnsi="Times New Roman" w:cs="Times New Roman"/>
          <w:b/>
          <w:bCs/>
          <w:sz w:val="20"/>
          <w:szCs w:val="20"/>
          <w:vertAlign w:val="superscript"/>
        </w:rPr>
        <w:t>3</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Mahsa</w:t>
      </w:r>
      <w:proofErr w:type="spellEnd"/>
      <w:r>
        <w:rPr>
          <w:rFonts w:ascii="Times New Roman" w:hAnsi="Times New Roman" w:cs="Times New Roman"/>
          <w:b/>
          <w:bCs/>
          <w:sz w:val="20"/>
          <w:szCs w:val="20"/>
        </w:rPr>
        <w:t xml:space="preserve"> Sedighi</w:t>
      </w:r>
      <w:r>
        <w:rPr>
          <w:rFonts w:ascii="Times New Roman" w:hAnsi="Times New Roman" w:cs="Times New Roman"/>
          <w:b/>
          <w:bCs/>
          <w:sz w:val="20"/>
          <w:szCs w:val="20"/>
          <w:vertAlign w:val="superscript"/>
        </w:rPr>
        <w:t>4</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Mahya</w:t>
      </w:r>
      <w:proofErr w:type="spellEnd"/>
      <w:r>
        <w:rPr>
          <w:rFonts w:ascii="Times New Roman" w:hAnsi="Times New Roman" w:cs="Times New Roman"/>
          <w:b/>
          <w:bCs/>
          <w:sz w:val="20"/>
          <w:szCs w:val="20"/>
        </w:rPr>
        <w:t xml:space="preserve"> Mosayebzadeh</w:t>
      </w:r>
      <w:r>
        <w:rPr>
          <w:rFonts w:ascii="Times New Roman" w:hAnsi="Times New Roman" w:cs="Times New Roman"/>
          <w:b/>
          <w:bCs/>
          <w:sz w:val="20"/>
          <w:szCs w:val="20"/>
          <w:vertAlign w:val="superscript"/>
        </w:rPr>
        <w:t>3</w:t>
      </w:r>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Elif</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Yaprak</w:t>
      </w:r>
      <w:proofErr w:type="spellEnd"/>
      <w:r>
        <w:rPr>
          <w:rFonts w:ascii="Times New Roman" w:hAnsi="Times New Roman" w:cs="Times New Roman"/>
          <w:b/>
          <w:bCs/>
          <w:sz w:val="20"/>
          <w:szCs w:val="20"/>
        </w:rPr>
        <w:t xml:space="preserve"> Colak</w:t>
      </w:r>
      <w:r w:rsidRPr="00AE762F">
        <w:rPr>
          <w:rFonts w:ascii="Times New Roman" w:hAnsi="Times New Roman" w:cs="Times New Roman"/>
          <w:b/>
          <w:bCs/>
          <w:sz w:val="20"/>
          <w:szCs w:val="20"/>
          <w:vertAlign w:val="superscript"/>
        </w:rPr>
        <w:t>2</w:t>
      </w:r>
      <w:r>
        <w:rPr>
          <w:rFonts w:ascii="Times New Roman" w:hAnsi="Times New Roman" w:cs="Times New Roman"/>
          <w:b/>
          <w:bCs/>
          <w:sz w:val="20"/>
          <w:szCs w:val="20"/>
        </w:rPr>
        <w:t>, Selin Sabanci</w:t>
      </w:r>
      <w:r w:rsidRPr="00AE762F">
        <w:rPr>
          <w:rFonts w:ascii="Times New Roman" w:hAnsi="Times New Roman" w:cs="Times New Roman"/>
          <w:b/>
          <w:bCs/>
          <w:sz w:val="20"/>
          <w:szCs w:val="20"/>
          <w:vertAlign w:val="superscript"/>
        </w:rPr>
        <w:t>5</w:t>
      </w:r>
    </w:p>
    <w:p w14:paraId="381F1ECB" w14:textId="77777777" w:rsidR="00C405B0" w:rsidRDefault="00C405B0" w:rsidP="009F4544">
      <w:pPr>
        <w:widowControl w:val="0"/>
        <w:tabs>
          <w:tab w:val="left" w:pos="284"/>
        </w:tabs>
        <w:spacing w:after="0" w:line="480" w:lineRule="auto"/>
        <w:jc w:val="center"/>
        <w:rPr>
          <w:rFonts w:ascii="Times New Roman" w:hAnsi="Times New Roman" w:cs="Times New Roman"/>
          <w:sz w:val="20"/>
          <w:szCs w:val="20"/>
        </w:rPr>
      </w:pPr>
    </w:p>
    <w:p w14:paraId="1CED2F1C" w14:textId="77777777" w:rsidR="00C405B0" w:rsidRDefault="00C405B0" w:rsidP="009F4544">
      <w:pPr>
        <w:widowControl w:val="0"/>
        <w:tabs>
          <w:tab w:val="left" w:pos="284"/>
        </w:tabs>
        <w:spacing w:after="0" w:line="480" w:lineRule="auto"/>
        <w:jc w:val="center"/>
        <w:rPr>
          <w:rFonts w:ascii="Times New Roman" w:hAnsi="Times New Roman" w:cs="Times New Roman"/>
          <w:sz w:val="20"/>
          <w:szCs w:val="20"/>
        </w:rPr>
      </w:pPr>
      <w:r>
        <w:rPr>
          <w:rFonts w:ascii="Times New Roman" w:hAnsi="Times New Roman" w:cs="Times New Roman"/>
          <w:sz w:val="20"/>
          <w:szCs w:val="20"/>
          <w:vertAlign w:val="superscript"/>
        </w:rPr>
        <w:t>1</w:t>
      </w:r>
      <w:r>
        <w:rPr>
          <w:rFonts w:ascii="Times New Roman" w:hAnsi="Times New Roman" w:cs="Times New Roman"/>
          <w:sz w:val="20"/>
          <w:szCs w:val="20"/>
        </w:rPr>
        <w:t xml:space="preserve"> Department of Nanobiotechnology and Biomimetics, School of Life Science Engineering, College of Interdisciplinary Science and Technology, University of Tehran, Tehran, Iran, 1439957131. </w:t>
      </w:r>
    </w:p>
    <w:p w14:paraId="52350516" w14:textId="77777777" w:rsidR="00C405B0" w:rsidRPr="00701C62" w:rsidRDefault="00C405B0" w:rsidP="009F4544">
      <w:pPr>
        <w:widowControl w:val="0"/>
        <w:tabs>
          <w:tab w:val="left" w:pos="284"/>
        </w:tabs>
        <w:spacing w:after="0" w:line="480" w:lineRule="auto"/>
        <w:jc w:val="center"/>
        <w:rPr>
          <w:rFonts w:ascii="Times New Roman" w:hAnsi="Times New Roman" w:cs="Times New Roman"/>
          <w:sz w:val="20"/>
          <w:szCs w:val="20"/>
        </w:rPr>
      </w:pPr>
      <w:r w:rsidRPr="006C3680">
        <w:rPr>
          <w:rFonts w:ascii="TimesNewRomanPSMT" w:hAnsi="TimesNewRomanPSMT"/>
          <w:sz w:val="20"/>
          <w:szCs w:val="20"/>
          <w:vertAlign w:val="superscript"/>
        </w:rPr>
        <w:t>2</w:t>
      </w:r>
      <w:r>
        <w:rPr>
          <w:rFonts w:ascii="TimesNewRomanPSMT" w:hAnsi="TimesNewRomanPSMT"/>
          <w:sz w:val="18"/>
          <w:szCs w:val="18"/>
          <w:vertAlign w:val="superscript"/>
        </w:rPr>
        <w:t xml:space="preserve"> </w:t>
      </w:r>
      <w:r w:rsidRPr="00701C62">
        <w:rPr>
          <w:rFonts w:ascii="TimesNewRomanPSMT" w:hAnsi="TimesNewRomanPSMT"/>
          <w:sz w:val="18"/>
          <w:szCs w:val="18"/>
        </w:rPr>
        <w:t xml:space="preserve">Department of Microbiology, Faculty of Medicine, Mustafa Kemal </w:t>
      </w:r>
      <w:proofErr w:type="spellStart"/>
      <w:r w:rsidRPr="00701C62">
        <w:rPr>
          <w:rFonts w:ascii="TimesNewRomanPSMT" w:hAnsi="TimesNewRomanPSMT"/>
          <w:sz w:val="18"/>
          <w:szCs w:val="18"/>
        </w:rPr>
        <w:t>Hatay</w:t>
      </w:r>
      <w:proofErr w:type="spellEnd"/>
      <w:r w:rsidRPr="00701C62">
        <w:rPr>
          <w:rFonts w:ascii="TimesNewRomanPSMT" w:hAnsi="TimesNewRomanPSMT"/>
          <w:sz w:val="18"/>
          <w:szCs w:val="18"/>
        </w:rPr>
        <w:t xml:space="preserve"> University,</w:t>
      </w:r>
      <w:r w:rsidRPr="00701C62">
        <w:rPr>
          <w:rFonts w:ascii="TimesNewRomanPSMT" w:hAnsi="TimesNewRomanPSMT"/>
          <w:sz w:val="18"/>
          <w:szCs w:val="18"/>
        </w:rPr>
        <w:br/>
        <w:t>Antakya-</w:t>
      </w:r>
      <w:proofErr w:type="spellStart"/>
      <w:r w:rsidRPr="00701C62">
        <w:rPr>
          <w:rFonts w:ascii="TimesNewRomanPSMT" w:hAnsi="TimesNewRomanPSMT"/>
          <w:sz w:val="18"/>
          <w:szCs w:val="18"/>
        </w:rPr>
        <w:t>Hatay</w:t>
      </w:r>
      <w:proofErr w:type="spellEnd"/>
      <w:r w:rsidRPr="00701C62">
        <w:rPr>
          <w:rFonts w:ascii="TimesNewRomanPSMT" w:hAnsi="TimesNewRomanPSMT"/>
          <w:sz w:val="18"/>
          <w:szCs w:val="18"/>
        </w:rPr>
        <w:t>,</w:t>
      </w:r>
      <w:r>
        <w:rPr>
          <w:rFonts w:ascii="TimesNewRomanPSMT" w:hAnsi="TimesNewRomanPSMT"/>
          <w:sz w:val="18"/>
          <w:szCs w:val="18"/>
        </w:rPr>
        <w:t xml:space="preserve"> </w:t>
      </w:r>
      <w:r w:rsidRPr="00701C62">
        <w:rPr>
          <w:rFonts w:ascii="TimesNewRomanPSMT" w:hAnsi="TimesNewRomanPSMT"/>
          <w:sz w:val="18"/>
          <w:szCs w:val="18"/>
        </w:rPr>
        <w:t>Turkey</w:t>
      </w:r>
      <w:r>
        <w:rPr>
          <w:rFonts w:ascii="TimesNewRomanPSMT" w:hAnsi="TimesNewRomanPSMT"/>
          <w:sz w:val="18"/>
          <w:szCs w:val="18"/>
        </w:rPr>
        <w:t>, 31060.</w:t>
      </w:r>
    </w:p>
    <w:p w14:paraId="5710F482" w14:textId="77777777" w:rsidR="00C405B0" w:rsidRDefault="00C405B0" w:rsidP="009F4544">
      <w:pPr>
        <w:widowControl w:val="0"/>
        <w:tabs>
          <w:tab w:val="left" w:pos="284"/>
        </w:tabs>
        <w:spacing w:after="0" w:line="480" w:lineRule="auto"/>
        <w:jc w:val="center"/>
        <w:rPr>
          <w:rFonts w:ascii="Times New Roman" w:eastAsia="Calibri" w:hAnsi="Times New Roman" w:cs="Times New Roman"/>
          <w:sz w:val="20"/>
          <w:szCs w:val="20"/>
        </w:rPr>
      </w:pPr>
      <w:r>
        <w:rPr>
          <w:rFonts w:ascii="Times New Roman" w:hAnsi="Times New Roman" w:cs="Times New Roman"/>
          <w:sz w:val="20"/>
          <w:szCs w:val="20"/>
          <w:vertAlign w:val="superscript"/>
        </w:rPr>
        <w:t>3</w:t>
      </w:r>
      <w:r>
        <w:rPr>
          <w:rFonts w:ascii="Times New Roman" w:hAnsi="Times New Roman" w:cs="Times New Roman"/>
          <w:sz w:val="20"/>
          <w:szCs w:val="20"/>
        </w:rPr>
        <w:t xml:space="preserve"> </w:t>
      </w:r>
      <w:r>
        <w:rPr>
          <w:rFonts w:ascii="Times New Roman" w:eastAsia="Calibri" w:hAnsi="Times New Roman" w:cs="Times New Roman"/>
          <w:sz w:val="20"/>
          <w:szCs w:val="20"/>
        </w:rPr>
        <w:t xml:space="preserve">Department of Medical Technology and Tissue Engineering, School of Life Science Engineering, College of Interdisciplinary Science and Technology, University of Tehran, Tehran, </w:t>
      </w:r>
      <w:r>
        <w:rPr>
          <w:rFonts w:ascii="Times New Roman" w:hAnsi="Times New Roman" w:cs="Times New Roman"/>
          <w:sz w:val="20"/>
          <w:szCs w:val="20"/>
        </w:rPr>
        <w:t>Iran, 1439957131.</w:t>
      </w:r>
    </w:p>
    <w:p w14:paraId="4080FF0F" w14:textId="77777777" w:rsidR="00C405B0" w:rsidRDefault="00C405B0" w:rsidP="009F4544">
      <w:pPr>
        <w:widowControl w:val="0"/>
        <w:tabs>
          <w:tab w:val="left" w:pos="284"/>
        </w:tabs>
        <w:spacing w:after="0" w:line="480" w:lineRule="auto"/>
        <w:jc w:val="center"/>
        <w:rPr>
          <w:rFonts w:ascii="Times New Roman" w:eastAsia="Calibri" w:hAnsi="Times New Roman" w:cs="Times New Roman"/>
          <w:sz w:val="20"/>
          <w:szCs w:val="20"/>
        </w:rPr>
      </w:pPr>
      <w:r>
        <w:rPr>
          <w:rFonts w:ascii="Times New Roman" w:eastAsia="Calibri" w:hAnsi="Times New Roman" w:cs="Times New Roman"/>
          <w:sz w:val="20"/>
          <w:szCs w:val="20"/>
          <w:vertAlign w:val="superscript"/>
        </w:rPr>
        <w:t xml:space="preserve">4 </w:t>
      </w:r>
      <w:r w:rsidRPr="0012796C">
        <w:rPr>
          <w:rFonts w:ascii="Times New Roman" w:eastAsia="Calibri" w:hAnsi="Times New Roman" w:cs="Times New Roman"/>
          <w:sz w:val="20"/>
          <w:szCs w:val="20"/>
        </w:rPr>
        <w:t xml:space="preserve">Converging </w:t>
      </w:r>
      <w:r>
        <w:rPr>
          <w:rFonts w:ascii="Times New Roman" w:eastAsia="Calibri" w:hAnsi="Times New Roman" w:cs="Times New Roman"/>
          <w:sz w:val="20"/>
          <w:szCs w:val="20"/>
        </w:rPr>
        <w:t>T</w:t>
      </w:r>
      <w:r w:rsidRPr="0012796C">
        <w:rPr>
          <w:rFonts w:ascii="Times New Roman" w:eastAsia="Calibri" w:hAnsi="Times New Roman" w:cs="Times New Roman"/>
          <w:sz w:val="20"/>
          <w:szCs w:val="20"/>
        </w:rPr>
        <w:t xml:space="preserve">echnologies </w:t>
      </w:r>
      <w:r>
        <w:rPr>
          <w:rFonts w:ascii="Times New Roman" w:eastAsia="Calibri" w:hAnsi="Times New Roman" w:cs="Times New Roman"/>
          <w:sz w:val="20"/>
          <w:szCs w:val="20"/>
        </w:rPr>
        <w:t>R</w:t>
      </w:r>
      <w:r w:rsidRPr="0012796C">
        <w:rPr>
          <w:rFonts w:ascii="Times New Roman" w:eastAsia="Calibri" w:hAnsi="Times New Roman" w:cs="Times New Roman"/>
          <w:sz w:val="20"/>
          <w:szCs w:val="20"/>
        </w:rPr>
        <w:t xml:space="preserve">esearch </w:t>
      </w:r>
      <w:r>
        <w:rPr>
          <w:rFonts w:ascii="Times New Roman" w:eastAsia="Calibri" w:hAnsi="Times New Roman" w:cs="Times New Roman"/>
          <w:sz w:val="20"/>
          <w:szCs w:val="20"/>
        </w:rPr>
        <w:t>C</w:t>
      </w:r>
      <w:r w:rsidRPr="0012796C">
        <w:rPr>
          <w:rFonts w:ascii="Times New Roman" w:eastAsia="Calibri" w:hAnsi="Times New Roman" w:cs="Times New Roman"/>
          <w:sz w:val="20"/>
          <w:szCs w:val="20"/>
        </w:rPr>
        <w:t>enter, Shahid Beheshti University,</w:t>
      </w:r>
      <w:r>
        <w:rPr>
          <w:rFonts w:ascii="Times New Roman" w:eastAsia="Calibri" w:hAnsi="Times New Roman" w:cs="Times New Roman"/>
          <w:sz w:val="20"/>
          <w:szCs w:val="20"/>
        </w:rPr>
        <w:t xml:space="preserve"> </w:t>
      </w:r>
      <w:r w:rsidRPr="0012796C">
        <w:rPr>
          <w:rFonts w:ascii="Times New Roman" w:eastAsia="Calibri" w:hAnsi="Times New Roman" w:cs="Times New Roman"/>
          <w:sz w:val="20"/>
          <w:szCs w:val="20"/>
        </w:rPr>
        <w:t>Tehran, Iran</w:t>
      </w:r>
      <w:r>
        <w:rPr>
          <w:rFonts w:ascii="Times New Roman" w:eastAsia="Calibri" w:hAnsi="Times New Roman" w:cs="Times New Roman"/>
          <w:sz w:val="20"/>
          <w:szCs w:val="20"/>
        </w:rPr>
        <w:t xml:space="preserve">, </w:t>
      </w:r>
      <w:r w:rsidRPr="0012796C">
        <w:rPr>
          <w:rFonts w:ascii="Times New Roman" w:eastAsia="Calibri" w:hAnsi="Times New Roman" w:cs="Times New Roman"/>
          <w:sz w:val="20"/>
          <w:szCs w:val="20"/>
        </w:rPr>
        <w:t>19839-69411</w:t>
      </w:r>
      <w:r>
        <w:rPr>
          <w:rFonts w:ascii="Times New Roman" w:eastAsia="Calibri" w:hAnsi="Times New Roman" w:cs="Times New Roman"/>
          <w:sz w:val="20"/>
          <w:szCs w:val="20"/>
        </w:rPr>
        <w:t>.</w:t>
      </w:r>
    </w:p>
    <w:p w14:paraId="2FC5C881" w14:textId="77777777" w:rsidR="00C405B0" w:rsidRPr="00AE762F" w:rsidRDefault="00C405B0" w:rsidP="009F4544">
      <w:pPr>
        <w:widowControl w:val="0"/>
        <w:tabs>
          <w:tab w:val="left" w:pos="284"/>
        </w:tabs>
        <w:spacing w:after="0" w:line="480" w:lineRule="auto"/>
        <w:jc w:val="center"/>
        <w:rPr>
          <w:rFonts w:ascii="Times New Roman" w:eastAsia="Calibri" w:hAnsi="Times New Roman" w:cs="Times New Roman"/>
          <w:sz w:val="20"/>
          <w:szCs w:val="20"/>
        </w:rPr>
      </w:pPr>
      <w:r w:rsidRPr="00AE762F">
        <w:rPr>
          <w:rFonts w:ascii="Times New Roman" w:eastAsia="Calibri" w:hAnsi="Times New Roman" w:cs="Times New Roman"/>
          <w:sz w:val="20"/>
          <w:szCs w:val="20"/>
          <w:vertAlign w:val="superscript"/>
        </w:rPr>
        <w:t>5</w:t>
      </w:r>
      <w:r w:rsidRPr="00AE762F">
        <w:rPr>
          <w:rFonts w:ascii="Times New Roman" w:eastAsia="Calibri" w:hAnsi="Times New Roman" w:cs="Times New Roman"/>
          <w:sz w:val="20"/>
          <w:szCs w:val="20"/>
        </w:rPr>
        <w:t xml:space="preserve">Department of </w:t>
      </w:r>
      <w:r w:rsidRPr="007761D5">
        <w:rPr>
          <w:rFonts w:ascii="Times New Roman" w:eastAsia="Calibri" w:hAnsi="Times New Roman" w:cs="Times New Roman"/>
          <w:sz w:val="20"/>
          <w:szCs w:val="20"/>
        </w:rPr>
        <w:t>Histology and Embryology</w:t>
      </w:r>
      <w:r w:rsidRPr="00AE762F">
        <w:rPr>
          <w:rFonts w:ascii="Times New Roman" w:eastAsia="Calibri" w:hAnsi="Times New Roman" w:cs="Times New Roman"/>
          <w:sz w:val="20"/>
          <w:szCs w:val="20"/>
        </w:rPr>
        <w:t xml:space="preserve">, Faculty of Medicine, Mustafa Kemal </w:t>
      </w:r>
      <w:proofErr w:type="spellStart"/>
      <w:r w:rsidRPr="00AE762F">
        <w:rPr>
          <w:rFonts w:ascii="Times New Roman" w:eastAsia="Calibri" w:hAnsi="Times New Roman" w:cs="Times New Roman"/>
          <w:sz w:val="20"/>
          <w:szCs w:val="20"/>
        </w:rPr>
        <w:t>Hatay</w:t>
      </w:r>
      <w:proofErr w:type="spellEnd"/>
      <w:r w:rsidRPr="00AE762F">
        <w:rPr>
          <w:rFonts w:ascii="Times New Roman" w:eastAsia="Calibri" w:hAnsi="Times New Roman" w:cs="Times New Roman"/>
          <w:sz w:val="20"/>
          <w:szCs w:val="20"/>
        </w:rPr>
        <w:t xml:space="preserve"> University,</w:t>
      </w:r>
    </w:p>
    <w:p w14:paraId="51A9BF79" w14:textId="77777777" w:rsidR="00C405B0" w:rsidRDefault="00C405B0" w:rsidP="009F4544">
      <w:pPr>
        <w:widowControl w:val="0"/>
        <w:tabs>
          <w:tab w:val="left" w:pos="284"/>
        </w:tabs>
        <w:spacing w:after="0" w:line="480" w:lineRule="auto"/>
        <w:jc w:val="center"/>
        <w:rPr>
          <w:rFonts w:ascii="Times New Roman" w:eastAsia="Calibri" w:hAnsi="Times New Roman" w:cs="Times New Roman"/>
          <w:sz w:val="20"/>
          <w:szCs w:val="20"/>
          <w:rtl/>
        </w:rPr>
      </w:pPr>
      <w:r w:rsidRPr="00AE762F">
        <w:rPr>
          <w:rFonts w:ascii="Times New Roman" w:eastAsia="Calibri" w:hAnsi="Times New Roman" w:cs="Times New Roman"/>
          <w:sz w:val="20"/>
          <w:szCs w:val="20"/>
        </w:rPr>
        <w:t>Antakya-</w:t>
      </w:r>
      <w:proofErr w:type="spellStart"/>
      <w:r w:rsidRPr="00AE762F">
        <w:rPr>
          <w:rFonts w:ascii="Times New Roman" w:eastAsia="Calibri" w:hAnsi="Times New Roman" w:cs="Times New Roman"/>
          <w:sz w:val="20"/>
          <w:szCs w:val="20"/>
        </w:rPr>
        <w:t>Hatay</w:t>
      </w:r>
      <w:proofErr w:type="spellEnd"/>
      <w:r w:rsidRPr="00AE762F">
        <w:rPr>
          <w:rFonts w:ascii="Times New Roman" w:eastAsia="Calibri" w:hAnsi="Times New Roman" w:cs="Times New Roman"/>
          <w:sz w:val="20"/>
          <w:szCs w:val="20"/>
        </w:rPr>
        <w:t>, Turkey</w:t>
      </w:r>
      <w:r>
        <w:rPr>
          <w:rFonts w:ascii="Times New Roman" w:eastAsia="Calibri" w:hAnsi="Times New Roman" w:cs="Times New Roman"/>
          <w:sz w:val="20"/>
          <w:szCs w:val="20"/>
        </w:rPr>
        <w:t xml:space="preserve">, </w:t>
      </w:r>
      <w:r w:rsidRPr="00AE762F">
        <w:rPr>
          <w:rFonts w:ascii="Times New Roman" w:eastAsia="Calibri" w:hAnsi="Times New Roman" w:cs="Times New Roman"/>
          <w:sz w:val="20"/>
          <w:szCs w:val="20"/>
        </w:rPr>
        <w:t>31060</w:t>
      </w:r>
      <w:r>
        <w:rPr>
          <w:rFonts w:ascii="Times New Roman" w:eastAsia="Calibri" w:hAnsi="Times New Roman" w:cs="Times New Roman"/>
          <w:sz w:val="20"/>
          <w:szCs w:val="20"/>
        </w:rPr>
        <w:t>.</w:t>
      </w:r>
    </w:p>
    <w:p w14:paraId="70E2DFF0" w14:textId="77777777" w:rsidR="00F07041" w:rsidRDefault="00F07041" w:rsidP="009F4544">
      <w:pPr>
        <w:widowControl w:val="0"/>
        <w:tabs>
          <w:tab w:val="left" w:pos="284"/>
        </w:tabs>
        <w:spacing w:after="0" w:line="480" w:lineRule="auto"/>
        <w:jc w:val="center"/>
        <w:rPr>
          <w:rFonts w:ascii="Times New Roman" w:eastAsia="Calibri" w:hAnsi="Times New Roman" w:cs="Times New Roman"/>
          <w:sz w:val="20"/>
          <w:szCs w:val="20"/>
          <w:rtl/>
        </w:rPr>
      </w:pPr>
    </w:p>
    <w:p w14:paraId="12F12B90" w14:textId="77777777" w:rsidR="00D204D4" w:rsidRDefault="00F07041" w:rsidP="009F4544">
      <w:pPr>
        <w:widowControl w:val="0"/>
        <w:tabs>
          <w:tab w:val="left" w:pos="284"/>
        </w:tabs>
        <w:spacing w:after="0" w:line="480" w:lineRule="auto"/>
        <w:rPr>
          <w:rFonts w:ascii="TimesNewRomanPSMT" w:hAnsi="TimesNewRomanPSMT"/>
          <w:color w:val="000000"/>
          <w:sz w:val="20"/>
          <w:szCs w:val="20"/>
        </w:rPr>
      </w:pPr>
      <w:r w:rsidRPr="00577884">
        <w:rPr>
          <w:rFonts w:ascii="TimesNewRomanPSMT" w:hAnsi="TimesNewRomanPSMT"/>
          <w:color w:val="000000"/>
          <w:sz w:val="20"/>
          <w:szCs w:val="20"/>
        </w:rPr>
        <w:t>*Corresponding Authors:</w:t>
      </w:r>
      <w:r w:rsidRPr="00577884">
        <w:rPr>
          <w:rFonts w:ascii="TimesNewRomanPSMT" w:hAnsi="TimesNewRomanPSMT"/>
          <w:color w:val="000000"/>
          <w:sz w:val="20"/>
          <w:szCs w:val="20"/>
        </w:rPr>
        <w:br/>
      </w:r>
      <w:r w:rsidR="00D204D4" w:rsidRPr="00577884">
        <w:rPr>
          <w:rFonts w:ascii="TimesNewRomanPSMT" w:hAnsi="TimesNewRomanPSMT"/>
          <w:color w:val="000000"/>
          <w:sz w:val="20"/>
          <w:szCs w:val="20"/>
        </w:rPr>
        <w:t>Fereshteh Rahimi</w:t>
      </w:r>
      <w:r w:rsidR="00D204D4" w:rsidRPr="00577884">
        <w:rPr>
          <w:rFonts w:ascii="TimesNewRomanPSMT" w:hAnsi="TimesNewRomanPSMT"/>
          <w:color w:val="0D54A6"/>
          <w:sz w:val="20"/>
          <w:szCs w:val="20"/>
        </w:rPr>
        <w:t xml:space="preserve">: </w:t>
      </w:r>
      <w:r w:rsidR="00D204D4" w:rsidRPr="00577884">
        <w:rPr>
          <w:rFonts w:ascii="TimesNewRomanPSMT" w:hAnsi="TimesNewRomanPSMT"/>
          <w:color w:val="0000FF"/>
          <w:sz w:val="20"/>
          <w:szCs w:val="20"/>
        </w:rPr>
        <w:t>orcid.org/0000-0003-0020-644X</w:t>
      </w:r>
      <w:r w:rsidR="00D204D4" w:rsidRPr="00577884">
        <w:rPr>
          <w:rFonts w:ascii="TimesNewRomanPSMT" w:hAnsi="TimesNewRomanPSMT"/>
          <w:color w:val="000000"/>
          <w:sz w:val="20"/>
          <w:szCs w:val="20"/>
        </w:rPr>
        <w:t xml:space="preserve">; Email: </w:t>
      </w:r>
      <w:r w:rsidR="00D204D4" w:rsidRPr="00577884">
        <w:rPr>
          <w:rFonts w:ascii="TimesNewRomanPSMT" w:hAnsi="TimesNewRomanPSMT"/>
          <w:color w:val="0000FF"/>
          <w:sz w:val="20"/>
          <w:szCs w:val="20"/>
        </w:rPr>
        <w:t>rahimi.f@ut.ac.ir</w:t>
      </w:r>
      <w:r w:rsidR="00D204D4" w:rsidRPr="00577884">
        <w:rPr>
          <w:rFonts w:ascii="TimesNewRomanPSMT" w:hAnsi="TimesNewRomanPSMT"/>
          <w:color w:val="000000"/>
          <w:sz w:val="20"/>
          <w:szCs w:val="20"/>
        </w:rPr>
        <w:t>, Phone: +982186093154</w:t>
      </w:r>
    </w:p>
    <w:p w14:paraId="4920EDB8" w14:textId="77777777" w:rsidR="00D204D4" w:rsidRDefault="00D204D4" w:rsidP="009F4544">
      <w:pPr>
        <w:widowControl w:val="0"/>
        <w:tabs>
          <w:tab w:val="left" w:pos="284"/>
        </w:tabs>
        <w:spacing w:after="0" w:line="480" w:lineRule="auto"/>
        <w:rPr>
          <w:rFonts w:ascii="Times New Roman" w:hAnsi="Times New Roman" w:cs="Times New Roman"/>
          <w:sz w:val="20"/>
        </w:rPr>
      </w:pPr>
      <w:r w:rsidRPr="00CD1904">
        <w:rPr>
          <w:rFonts w:ascii="Courier New" w:hAnsi="Courier New" w:cs="Courier New"/>
          <w:sz w:val="20"/>
        </w:rPr>
        <w:t>﻿</w:t>
      </w:r>
      <w:proofErr w:type="spellStart"/>
      <w:r w:rsidRPr="00AB5A31">
        <w:rPr>
          <w:rFonts w:ascii="Times New Roman" w:hAnsi="Times New Roman" w:cs="Times New Roman"/>
          <w:sz w:val="20"/>
        </w:rPr>
        <w:t>Nizami</w:t>
      </w:r>
      <w:proofErr w:type="spellEnd"/>
      <w:r w:rsidRPr="00AB5A31">
        <w:rPr>
          <w:rFonts w:ascii="Times New Roman" w:hAnsi="Times New Roman" w:cs="Times New Roman"/>
          <w:sz w:val="20"/>
        </w:rPr>
        <w:t xml:space="preserve"> Duran: </w:t>
      </w:r>
      <w:r w:rsidRPr="00633AEC">
        <w:rPr>
          <w:rFonts w:ascii="TimesNewRomanPSMT" w:hAnsi="TimesNewRomanPSMT"/>
          <w:color w:val="0000FF"/>
          <w:sz w:val="20"/>
          <w:szCs w:val="20"/>
        </w:rPr>
        <w:t>orcid.org/0000-0002-2766-3491</w:t>
      </w:r>
      <w:r w:rsidRPr="00AB5A31">
        <w:rPr>
          <w:rFonts w:ascii="Times New Roman" w:hAnsi="Times New Roman" w:cs="Times New Roman"/>
          <w:sz w:val="20"/>
        </w:rPr>
        <w:t xml:space="preserve">; E-mail: </w:t>
      </w:r>
      <w:hyperlink r:id="rId4" w:history="1">
        <w:r w:rsidRPr="00633AEC">
          <w:rPr>
            <w:rFonts w:ascii="TimesNewRomanPSMT" w:hAnsi="TimesNewRomanPSMT"/>
            <w:color w:val="0000FF"/>
            <w:sz w:val="20"/>
            <w:szCs w:val="20"/>
          </w:rPr>
          <w:t>nduran@mku.edu.tr</w:t>
        </w:r>
      </w:hyperlink>
      <w:r w:rsidRPr="00AB5A31">
        <w:rPr>
          <w:rFonts w:ascii="Times New Roman" w:hAnsi="Times New Roman" w:cs="Times New Roman"/>
          <w:sz w:val="20"/>
        </w:rPr>
        <w:t xml:space="preserve">; </w:t>
      </w:r>
      <w:r w:rsidRPr="00577884">
        <w:rPr>
          <w:rFonts w:ascii="TimesNewRomanPSMT" w:hAnsi="TimesNewRomanPSMT"/>
          <w:color w:val="000000"/>
          <w:sz w:val="20"/>
          <w:szCs w:val="20"/>
        </w:rPr>
        <w:t>Phone:</w:t>
      </w:r>
      <w:r>
        <w:rPr>
          <w:rFonts w:ascii="TimesNewRomanPSMT" w:hAnsi="TimesNewRomanPSMT"/>
          <w:color w:val="000000"/>
          <w:sz w:val="20"/>
          <w:szCs w:val="20"/>
        </w:rPr>
        <w:t xml:space="preserve"> </w:t>
      </w:r>
      <w:r w:rsidRPr="00AB5A31">
        <w:rPr>
          <w:rFonts w:ascii="Times New Roman" w:hAnsi="Times New Roman" w:cs="Times New Roman"/>
          <w:sz w:val="20"/>
        </w:rPr>
        <w:t>+905334675534</w:t>
      </w:r>
    </w:p>
    <w:p w14:paraId="165621C0" w14:textId="01597C39" w:rsidR="00B53521" w:rsidRDefault="00B53521" w:rsidP="009F4544">
      <w:pPr>
        <w:spacing w:line="480" w:lineRule="auto"/>
        <w:rPr>
          <w:rFonts w:asciiTheme="majorBidi" w:hAnsiTheme="majorBidi" w:cstheme="majorBidi"/>
          <w:b/>
          <w:bCs/>
          <w:sz w:val="28"/>
          <w:szCs w:val="28"/>
        </w:rPr>
      </w:pPr>
    </w:p>
    <w:p w14:paraId="5478FB6E" w14:textId="46F1C760" w:rsidR="00B468B1" w:rsidRPr="00A238DE" w:rsidRDefault="00B468B1" w:rsidP="009F4544">
      <w:pPr>
        <w:spacing w:line="480" w:lineRule="auto"/>
        <w:rPr>
          <w:rFonts w:asciiTheme="majorBidi" w:hAnsiTheme="majorBidi" w:cstheme="majorBidi"/>
          <w:b/>
          <w:bCs/>
          <w:sz w:val="24"/>
          <w:szCs w:val="24"/>
        </w:rPr>
      </w:pPr>
      <w:r>
        <w:rPr>
          <w:rFonts w:asciiTheme="majorBidi" w:hAnsiTheme="majorBidi" w:cstheme="majorBidi"/>
          <w:b/>
          <w:bCs/>
          <w:sz w:val="24"/>
          <w:szCs w:val="24"/>
        </w:rPr>
        <w:t xml:space="preserve"> </w:t>
      </w:r>
      <w:r w:rsidRPr="00A238DE">
        <w:rPr>
          <w:rFonts w:asciiTheme="majorBidi" w:hAnsiTheme="majorBidi" w:cstheme="majorBidi"/>
          <w:b/>
          <w:bCs/>
          <w:sz w:val="24"/>
          <w:szCs w:val="24"/>
        </w:rPr>
        <w:t xml:space="preserve">Experimental materials, chemicals and microbial </w:t>
      </w:r>
      <w:r>
        <w:rPr>
          <w:rFonts w:asciiTheme="majorBidi" w:hAnsiTheme="majorBidi" w:cstheme="majorBidi"/>
          <w:b/>
          <w:bCs/>
          <w:sz w:val="24"/>
          <w:szCs w:val="24"/>
        </w:rPr>
        <w:t>s</w:t>
      </w:r>
      <w:r w:rsidRPr="00A238DE">
        <w:rPr>
          <w:rFonts w:asciiTheme="majorBidi" w:hAnsiTheme="majorBidi" w:cstheme="majorBidi"/>
          <w:b/>
          <w:bCs/>
          <w:sz w:val="24"/>
          <w:szCs w:val="24"/>
        </w:rPr>
        <w:t>trains</w:t>
      </w:r>
    </w:p>
    <w:p w14:paraId="40529728" w14:textId="77777777" w:rsidR="00B468B1" w:rsidRPr="00C97923" w:rsidRDefault="00B468B1" w:rsidP="009F4544">
      <w:pPr>
        <w:spacing w:line="480" w:lineRule="auto"/>
        <w:jc w:val="both"/>
        <w:rPr>
          <w:rFonts w:asciiTheme="majorBidi" w:hAnsiTheme="majorBidi" w:cstheme="majorBidi"/>
          <w:sz w:val="24"/>
          <w:szCs w:val="24"/>
          <w:rtl/>
        </w:rPr>
      </w:pPr>
      <w:r w:rsidRPr="009B40FB">
        <w:rPr>
          <w:rFonts w:asciiTheme="majorBidi" w:hAnsiTheme="majorBidi" w:cstheme="majorBidi"/>
          <w:sz w:val="24"/>
          <w:szCs w:val="24"/>
        </w:rPr>
        <w:t>In this study, boron-doped p</w:t>
      </w:r>
      <w:r w:rsidRPr="009B40FB">
        <w:rPr>
          <w:rFonts w:ascii="Cambria Math" w:hAnsi="Cambria Math" w:cs="Cambria Math"/>
          <w:sz w:val="24"/>
          <w:szCs w:val="24"/>
        </w:rPr>
        <w:t>⁺</w:t>
      </w:r>
      <w:r w:rsidRPr="009B40FB">
        <w:rPr>
          <w:rFonts w:asciiTheme="majorBidi" w:hAnsiTheme="majorBidi" w:cstheme="majorBidi"/>
          <w:sz w:val="24"/>
          <w:szCs w:val="24"/>
        </w:rPr>
        <w:t xml:space="preserve">-type silicon wafers (thickness 525 </w:t>
      </w:r>
      <w:r w:rsidRPr="009B40FB">
        <w:rPr>
          <w:rFonts w:ascii="Times New Roman" w:hAnsi="Times New Roman" w:cs="Times New Roman"/>
          <w:sz w:val="24"/>
          <w:szCs w:val="24"/>
        </w:rPr>
        <w:t>±</w:t>
      </w:r>
      <w:r w:rsidRPr="009B40FB">
        <w:rPr>
          <w:rFonts w:asciiTheme="majorBidi" w:hAnsiTheme="majorBidi" w:cstheme="majorBidi"/>
          <w:sz w:val="24"/>
          <w:szCs w:val="24"/>
        </w:rPr>
        <w:t xml:space="preserve"> 25 </w:t>
      </w:r>
      <w:r w:rsidRPr="009B40FB">
        <w:rPr>
          <w:rFonts w:ascii="Times New Roman" w:hAnsi="Times New Roman" w:cs="Times New Roman"/>
          <w:sz w:val="24"/>
          <w:szCs w:val="24"/>
        </w:rPr>
        <w:t>µ</w:t>
      </w:r>
      <w:r w:rsidRPr="009B40FB">
        <w:rPr>
          <w:rFonts w:asciiTheme="majorBidi" w:hAnsiTheme="majorBidi" w:cstheme="majorBidi"/>
          <w:sz w:val="24"/>
          <w:szCs w:val="24"/>
        </w:rPr>
        <w:t xml:space="preserve">m, </w:t>
      </w:r>
      <w:r w:rsidRPr="009B40FB">
        <w:rPr>
          <w:rFonts w:asciiTheme="majorBidi" w:hAnsiTheme="majorBidi" w:cstheme="majorBidi"/>
          <w:color w:val="000000"/>
          <w:sz w:val="24"/>
          <w:szCs w:val="24"/>
          <w14:ligatures w14:val="standardContextual"/>
        </w:rPr>
        <w:t xml:space="preserve">0.001-0.009 Ω.cm </w:t>
      </w:r>
      <w:r w:rsidRPr="009B40FB">
        <w:rPr>
          <w:rFonts w:asciiTheme="majorBidi" w:hAnsiTheme="majorBidi" w:cstheme="majorBidi"/>
          <w:sz w:val="24"/>
          <w:szCs w:val="24"/>
        </w:rPr>
        <w:t xml:space="preserve">resistivity, &lt;100&gt;-oriented) were obtained from </w:t>
      </w:r>
      <w:proofErr w:type="spellStart"/>
      <w:r w:rsidRPr="009B40FB">
        <w:rPr>
          <w:rFonts w:asciiTheme="majorBidi" w:hAnsiTheme="majorBidi" w:cstheme="majorBidi"/>
          <w:sz w:val="24"/>
          <w:szCs w:val="24"/>
        </w:rPr>
        <w:t>Latech</w:t>
      </w:r>
      <w:proofErr w:type="spellEnd"/>
      <w:r w:rsidRPr="009B40FB">
        <w:rPr>
          <w:rFonts w:asciiTheme="majorBidi" w:hAnsiTheme="majorBidi" w:cstheme="majorBidi"/>
          <w:sz w:val="24"/>
          <w:szCs w:val="24"/>
        </w:rPr>
        <w:t xml:space="preserve"> Scientific Supply, Singapore. Hydrofluoric </w:t>
      </w:r>
      <w:r w:rsidRPr="009B40FB">
        <w:rPr>
          <w:rFonts w:asciiTheme="majorBidi" w:hAnsiTheme="majorBidi" w:cstheme="majorBidi"/>
          <w:sz w:val="24"/>
          <w:szCs w:val="24"/>
        </w:rPr>
        <w:lastRenderedPageBreak/>
        <w:t xml:space="preserve">acid (HF, 48%), absolute ethanol, methanol and potassium hydroxide (KOH) for the fabrication of </w:t>
      </w:r>
      <w:proofErr w:type="spellStart"/>
      <w:r w:rsidRPr="0017273F">
        <w:rPr>
          <w:rFonts w:asciiTheme="majorBidi" w:hAnsiTheme="majorBidi" w:cstheme="majorBidi"/>
          <w:sz w:val="24"/>
          <w:szCs w:val="24"/>
        </w:rPr>
        <w:t>PSi</w:t>
      </w:r>
      <w:proofErr w:type="spellEnd"/>
      <w:r w:rsidRPr="009B40FB">
        <w:rPr>
          <w:rFonts w:asciiTheme="majorBidi" w:hAnsiTheme="majorBidi" w:cstheme="majorBidi"/>
          <w:sz w:val="24"/>
          <w:szCs w:val="24"/>
        </w:rPr>
        <w:t xml:space="preserve"> were purchased from Merck (Germany). Materials used for surface modification and gelatin layer deposition on </w:t>
      </w:r>
      <w:proofErr w:type="spellStart"/>
      <w:r w:rsidRPr="009B40FB">
        <w:rPr>
          <w:rFonts w:asciiTheme="majorBidi" w:hAnsiTheme="majorBidi" w:cstheme="majorBidi"/>
          <w:sz w:val="24"/>
          <w:szCs w:val="24"/>
        </w:rPr>
        <w:t>PSi</w:t>
      </w:r>
      <w:proofErr w:type="spellEnd"/>
      <w:r w:rsidRPr="009B40FB">
        <w:rPr>
          <w:rFonts w:asciiTheme="majorBidi" w:hAnsiTheme="majorBidi" w:cstheme="majorBidi"/>
          <w:sz w:val="24"/>
          <w:szCs w:val="24"/>
        </w:rPr>
        <w:t xml:space="preserve">, including </w:t>
      </w:r>
      <w:r w:rsidRPr="009B40FB">
        <w:rPr>
          <w:rFonts w:asciiTheme="majorBidi" w:hAnsiTheme="majorBidi" w:cstheme="majorBidi"/>
          <w:color w:val="000000"/>
          <w:sz w:val="24"/>
          <w:szCs w:val="24"/>
          <w14:ligatures w14:val="standardContextual"/>
        </w:rPr>
        <w:t>H</w:t>
      </w:r>
      <w:r w:rsidRPr="009B40FB">
        <w:rPr>
          <w:rFonts w:asciiTheme="majorBidi" w:hAnsiTheme="majorBidi" w:cstheme="majorBidi"/>
          <w:color w:val="000000"/>
          <w:sz w:val="24"/>
          <w:szCs w:val="24"/>
          <w:vertAlign w:val="subscript"/>
          <w14:ligatures w14:val="standardContextual"/>
        </w:rPr>
        <w:t>2</w:t>
      </w:r>
      <w:r w:rsidRPr="009B40FB">
        <w:rPr>
          <w:rFonts w:asciiTheme="majorBidi" w:hAnsiTheme="majorBidi" w:cstheme="majorBidi"/>
          <w:color w:val="000000"/>
          <w:sz w:val="24"/>
          <w:szCs w:val="24"/>
          <w14:ligatures w14:val="standardContextual"/>
        </w:rPr>
        <w:t>O</w:t>
      </w:r>
      <w:r w:rsidRPr="009B40FB">
        <w:rPr>
          <w:rFonts w:asciiTheme="majorBidi" w:hAnsiTheme="majorBidi" w:cstheme="majorBidi"/>
          <w:color w:val="000000"/>
          <w:sz w:val="24"/>
          <w:szCs w:val="24"/>
          <w:vertAlign w:val="subscript"/>
          <w14:ligatures w14:val="standardContextual"/>
        </w:rPr>
        <w:t>2</w:t>
      </w:r>
      <w:r w:rsidRPr="009B40FB">
        <w:rPr>
          <w:rFonts w:asciiTheme="majorBidi" w:hAnsiTheme="majorBidi" w:cstheme="majorBidi"/>
          <w:color w:val="000000"/>
          <w:sz w:val="24"/>
          <w:szCs w:val="24"/>
          <w14:ligatures w14:val="standardContextual"/>
        </w:rPr>
        <w:t xml:space="preserve"> (35%, v/v),</w:t>
      </w:r>
      <w:r w:rsidRPr="009B40FB">
        <w:rPr>
          <w:rFonts w:asciiTheme="majorBidi" w:hAnsiTheme="majorBidi" w:cstheme="majorBidi"/>
          <w:sz w:val="24"/>
          <w:szCs w:val="24"/>
        </w:rPr>
        <w:t xml:space="preserve"> (3</w:t>
      </w:r>
      <w:r w:rsidRPr="009B40FB">
        <w:rPr>
          <w:rFonts w:ascii="MS Mincho" w:eastAsia="MS Mincho" w:hAnsi="MS Mincho" w:cs="MS Mincho" w:hint="eastAsia"/>
          <w:sz w:val="24"/>
          <w:szCs w:val="24"/>
        </w:rPr>
        <w:t>‑</w:t>
      </w:r>
      <w:r w:rsidRPr="009B40FB">
        <w:rPr>
          <w:rFonts w:asciiTheme="majorBidi" w:hAnsiTheme="majorBidi" w:cstheme="majorBidi"/>
          <w:sz w:val="24"/>
          <w:szCs w:val="24"/>
        </w:rPr>
        <w:t xml:space="preserve">aminopropyl) </w:t>
      </w:r>
      <w:proofErr w:type="spellStart"/>
      <w:r w:rsidRPr="009B40FB">
        <w:rPr>
          <w:rFonts w:asciiTheme="majorBidi" w:hAnsiTheme="majorBidi" w:cstheme="majorBidi"/>
          <w:sz w:val="24"/>
          <w:szCs w:val="24"/>
        </w:rPr>
        <w:t>triethoxysilane</w:t>
      </w:r>
      <w:proofErr w:type="spellEnd"/>
      <w:r w:rsidRPr="009B40FB">
        <w:rPr>
          <w:rFonts w:asciiTheme="majorBidi" w:hAnsiTheme="majorBidi" w:cstheme="majorBidi"/>
          <w:sz w:val="24"/>
          <w:szCs w:val="24"/>
        </w:rPr>
        <w:t xml:space="preserve"> (APTES) and glutaraldehyde (GA) were obtained from Merck (Germany), and gelatin </w:t>
      </w:r>
      <w:r>
        <w:rPr>
          <w:rFonts w:asciiTheme="majorBidi" w:hAnsiTheme="majorBidi" w:cstheme="majorBidi" w:hint="cs"/>
          <w:sz w:val="24"/>
          <w:szCs w:val="24"/>
          <w:rtl/>
        </w:rPr>
        <w:t>)</w:t>
      </w:r>
      <w:r>
        <w:rPr>
          <w:rFonts w:asciiTheme="majorBidi" w:hAnsiTheme="majorBidi" w:cstheme="majorBidi"/>
          <w:sz w:val="24"/>
          <w:szCs w:val="24"/>
        </w:rPr>
        <w:t>T</w:t>
      </w:r>
      <w:r w:rsidRPr="009B40FB">
        <w:rPr>
          <w:rFonts w:asciiTheme="majorBidi" w:hAnsiTheme="majorBidi" w:cstheme="majorBidi"/>
          <w:sz w:val="24"/>
          <w:szCs w:val="24"/>
        </w:rPr>
        <w:t>ype A</w:t>
      </w:r>
      <w:r>
        <w:rPr>
          <w:rFonts w:asciiTheme="majorBidi" w:hAnsiTheme="majorBidi" w:cstheme="majorBidi"/>
          <w:sz w:val="24"/>
          <w:szCs w:val="24"/>
          <w:lang w:val="en-GB"/>
        </w:rPr>
        <w:t xml:space="preserve">, </w:t>
      </w:r>
      <w:r w:rsidRPr="00B46E14">
        <w:rPr>
          <w:rFonts w:asciiTheme="majorBidi" w:hAnsiTheme="majorBidi" w:cstheme="majorBidi"/>
          <w:sz w:val="24"/>
          <w:szCs w:val="24"/>
          <w:lang w:val="en-GB"/>
        </w:rPr>
        <w:t>molecular weight</w:t>
      </w:r>
      <w:r>
        <w:rPr>
          <w:rFonts w:asciiTheme="majorBidi" w:hAnsiTheme="majorBidi" w:cstheme="majorBidi"/>
          <w:sz w:val="24"/>
          <w:szCs w:val="24"/>
          <w:lang w:val="en-GB"/>
        </w:rPr>
        <w:t xml:space="preserve"> </w:t>
      </w:r>
      <w:r w:rsidRPr="00B46E14">
        <w:rPr>
          <w:rFonts w:asciiTheme="majorBidi" w:hAnsiTheme="majorBidi" w:cstheme="majorBidi"/>
        </w:rPr>
        <w:t xml:space="preserve">50–100 </w:t>
      </w:r>
      <w:proofErr w:type="spellStart"/>
      <w:r w:rsidRPr="00B46E14">
        <w:rPr>
          <w:rFonts w:asciiTheme="majorBidi" w:hAnsiTheme="majorBidi" w:cstheme="majorBidi"/>
        </w:rPr>
        <w:t>kDa</w:t>
      </w:r>
      <w:proofErr w:type="spellEnd"/>
      <w:r w:rsidRPr="00B46E14">
        <w:rPr>
          <w:rFonts w:asciiTheme="majorBidi" w:hAnsiTheme="majorBidi" w:cstheme="majorBidi"/>
          <w:sz w:val="24"/>
          <w:szCs w:val="24"/>
          <w:lang w:val="en-GB"/>
        </w:rPr>
        <w:t xml:space="preserve">) </w:t>
      </w:r>
      <w:r w:rsidRPr="009B40FB">
        <w:rPr>
          <w:rFonts w:asciiTheme="majorBidi" w:hAnsiTheme="majorBidi" w:cstheme="majorBidi"/>
          <w:sz w:val="24"/>
          <w:szCs w:val="24"/>
        </w:rPr>
        <w:t xml:space="preserve">from porcine skin </w:t>
      </w:r>
      <w:r w:rsidRPr="009B40FB">
        <w:rPr>
          <w:rFonts w:asciiTheme="majorBidi" w:hAnsiTheme="majorBidi" w:cstheme="majorBidi"/>
          <w:color w:val="000000"/>
          <w:sz w:val="24"/>
          <w:szCs w:val="24"/>
        </w:rPr>
        <w:t>was purchased from Sigma-Aldrich (Germany).</w:t>
      </w:r>
      <w:r w:rsidRPr="009B40FB">
        <w:rPr>
          <w:rFonts w:asciiTheme="majorBidi" w:hAnsiTheme="majorBidi" w:cstheme="majorBidi"/>
          <w:sz w:val="24"/>
          <w:szCs w:val="24"/>
        </w:rPr>
        <w:t xml:space="preserve"> </w:t>
      </w:r>
      <w:r w:rsidRPr="00C80695">
        <w:rPr>
          <w:rFonts w:asciiTheme="majorBidi" w:hAnsiTheme="majorBidi" w:cstheme="majorBidi"/>
          <w:sz w:val="24"/>
          <w:szCs w:val="24"/>
        </w:rPr>
        <w:t>Additional buffer solutions, including phosphate-buffered saline (PBS; 1 mM phosphate buffer, 154 mM NaCl, pH 7.4) and 4-(2-hydroxyethyl)-1-piperazineethanesulfonic acid (HEPES), were prepared according to standard laboratory protocols using deionized water and filtered before use</w:t>
      </w:r>
      <w:r w:rsidRPr="009B40FB">
        <w:rPr>
          <w:rFonts w:asciiTheme="majorBidi" w:hAnsiTheme="majorBidi" w:cstheme="majorBidi"/>
          <w:sz w:val="24"/>
          <w:szCs w:val="24"/>
        </w:rPr>
        <w:t xml:space="preserve">. </w:t>
      </w:r>
      <w:r w:rsidRPr="004B602F">
        <w:rPr>
          <w:rFonts w:asciiTheme="majorBidi" w:hAnsiTheme="majorBidi" w:cstheme="majorBidi"/>
          <w:bCs/>
          <w:sz w:val="24"/>
          <w:szCs w:val="24"/>
        </w:rPr>
        <w:t xml:space="preserve">The bacterial strain </w:t>
      </w:r>
      <w:r w:rsidRPr="004B602F">
        <w:rPr>
          <w:rFonts w:asciiTheme="majorBidi" w:hAnsiTheme="majorBidi" w:cstheme="majorBidi"/>
          <w:bCs/>
          <w:i/>
          <w:iCs/>
          <w:sz w:val="24"/>
          <w:szCs w:val="24"/>
        </w:rPr>
        <w:t>E. coli</w:t>
      </w:r>
      <w:r w:rsidRPr="004B602F">
        <w:rPr>
          <w:rFonts w:asciiTheme="majorBidi" w:hAnsiTheme="majorBidi" w:cstheme="majorBidi"/>
          <w:bCs/>
          <w:sz w:val="24"/>
          <w:szCs w:val="24"/>
        </w:rPr>
        <w:t xml:space="preserve"> (PTCC 1269) was obtained from the Persian Type Culture Collection and maintained according to the supplier's recommendations. Fresh subcultures were prepared prior to each experimental series to preserve bacterial viability and ensure phenotypic consistency throughout the study.</w:t>
      </w:r>
      <w:r w:rsidRPr="004B602F">
        <w:rPr>
          <w:rFonts w:asciiTheme="majorBidi" w:hAnsiTheme="majorBidi" w:cstheme="majorBidi"/>
          <w:sz w:val="24"/>
          <w:szCs w:val="24"/>
        </w:rPr>
        <w:t xml:space="preserve"> All bacterial culture media were purchased from </w:t>
      </w:r>
      <w:proofErr w:type="spellStart"/>
      <w:r w:rsidRPr="004B602F">
        <w:rPr>
          <w:rFonts w:asciiTheme="majorBidi" w:hAnsiTheme="majorBidi" w:cstheme="majorBidi"/>
          <w:sz w:val="24"/>
          <w:szCs w:val="24"/>
        </w:rPr>
        <w:t>Quelab</w:t>
      </w:r>
      <w:proofErr w:type="spellEnd"/>
      <w:r w:rsidRPr="004B602F">
        <w:rPr>
          <w:rFonts w:asciiTheme="majorBidi" w:hAnsiTheme="majorBidi" w:cstheme="majorBidi"/>
          <w:sz w:val="24"/>
          <w:szCs w:val="24"/>
        </w:rPr>
        <w:t xml:space="preserve">, while polydimethylsiloxane (PDMS) was obtained from the </w:t>
      </w:r>
      <w:proofErr w:type="spellStart"/>
      <w:r w:rsidRPr="004B602F">
        <w:rPr>
          <w:rFonts w:asciiTheme="majorBidi" w:hAnsiTheme="majorBidi" w:cstheme="majorBidi"/>
          <w:sz w:val="24"/>
          <w:szCs w:val="24"/>
        </w:rPr>
        <w:t>Sylgard</w:t>
      </w:r>
      <w:proofErr w:type="spellEnd"/>
      <w:r w:rsidRPr="004B602F">
        <w:rPr>
          <w:rFonts w:asciiTheme="majorBidi" w:hAnsiTheme="majorBidi" w:cstheme="majorBidi"/>
          <w:sz w:val="24"/>
          <w:szCs w:val="24"/>
        </w:rPr>
        <w:t>® 184 Silicone Elastomer Kit (Dow Corning, USA)</w:t>
      </w:r>
      <w:r w:rsidRPr="004B602F">
        <w:rPr>
          <w:rFonts w:asciiTheme="majorBidi" w:hAnsiTheme="majorBidi" w:cstheme="majorBidi"/>
          <w:color w:val="000000"/>
          <w:sz w:val="24"/>
          <w:szCs w:val="24"/>
          <w14:ligatures w14:val="standardContextual"/>
        </w:rPr>
        <w:t>.</w:t>
      </w:r>
    </w:p>
    <w:p w14:paraId="1CF98F10" w14:textId="77777777" w:rsidR="00D204D4" w:rsidRPr="00900143" w:rsidRDefault="00D204D4" w:rsidP="009F4544">
      <w:pPr>
        <w:spacing w:line="480" w:lineRule="auto"/>
        <w:jc w:val="both"/>
        <w:rPr>
          <w:rFonts w:asciiTheme="majorBidi" w:hAnsiTheme="majorBidi" w:cstheme="majorBidi"/>
          <w:b/>
          <w:bCs/>
          <w:sz w:val="24"/>
          <w:szCs w:val="24"/>
          <w:highlight w:val="cyan"/>
        </w:rPr>
      </w:pPr>
      <w:r w:rsidRPr="00D163C0">
        <w:rPr>
          <w:rFonts w:asciiTheme="majorBidi" w:hAnsiTheme="majorBidi" w:cstheme="majorBidi"/>
          <w:b/>
          <w:bCs/>
          <w:sz w:val="24"/>
          <w:szCs w:val="24"/>
        </w:rPr>
        <w:t xml:space="preserve">Functional Validation of the CGG </w:t>
      </w:r>
      <w:proofErr w:type="spellStart"/>
      <w:r w:rsidRPr="00D163C0">
        <w:rPr>
          <w:rFonts w:asciiTheme="majorBidi" w:hAnsiTheme="majorBidi" w:cstheme="majorBidi"/>
          <w:b/>
          <w:bCs/>
          <w:sz w:val="24"/>
          <w:szCs w:val="24"/>
        </w:rPr>
        <w:t>μchip</w:t>
      </w:r>
      <w:proofErr w:type="spellEnd"/>
    </w:p>
    <w:p w14:paraId="273C7B5E" w14:textId="4E1D011A" w:rsidR="00D204D4" w:rsidRPr="00137D66" w:rsidRDefault="00D204D4" w:rsidP="00563717">
      <w:pPr>
        <w:spacing w:line="480" w:lineRule="auto"/>
        <w:jc w:val="both"/>
        <w:rPr>
          <w:rFonts w:asciiTheme="majorBidi" w:hAnsiTheme="majorBidi" w:cstheme="majorBidi"/>
          <w:sz w:val="24"/>
          <w:szCs w:val="24"/>
        </w:rPr>
      </w:pPr>
      <w:r w:rsidRPr="00137D66">
        <w:rPr>
          <w:rFonts w:asciiTheme="majorBidi" w:hAnsiTheme="majorBidi" w:cstheme="majorBidi"/>
          <w:sz w:val="24"/>
          <w:szCs w:val="24"/>
        </w:rPr>
        <w:t xml:space="preserve">For validation of the CGG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xml:space="preserve">, five identical </w:t>
      </w:r>
      <w:proofErr w:type="spellStart"/>
      <w:r w:rsidRPr="00137D66">
        <w:rPr>
          <w:rFonts w:asciiTheme="majorBidi" w:hAnsiTheme="majorBidi" w:cstheme="majorBidi"/>
          <w:sz w:val="24"/>
          <w:szCs w:val="24"/>
        </w:rPr>
        <w:t>PSiO</w:t>
      </w:r>
      <w:proofErr w:type="spellEnd"/>
      <w:r w:rsidRPr="00137D66">
        <w:rPr>
          <w:rFonts w:asciiTheme="majorBidi" w:hAnsiTheme="majorBidi" w:cstheme="majorBidi"/>
          <w:sz w:val="24"/>
          <w:szCs w:val="24"/>
        </w:rPr>
        <w:t xml:space="preserve">₂ samples were first placed in the five microchannels of the </w:t>
      </w:r>
      <w:proofErr w:type="spellStart"/>
      <w:r w:rsidR="00563717">
        <w:rPr>
          <w:rFonts w:asciiTheme="majorBidi" w:hAnsiTheme="majorBidi" w:cstheme="majorBidi"/>
          <w:sz w:val="24"/>
          <w:szCs w:val="24"/>
        </w:rPr>
        <w:t>nan</w:t>
      </w:r>
      <w:r w:rsidRPr="00137D66">
        <w:rPr>
          <w:rFonts w:asciiTheme="majorBidi" w:hAnsiTheme="majorBidi" w:cstheme="majorBidi"/>
          <w:sz w:val="24"/>
          <w:szCs w:val="24"/>
        </w:rPr>
        <w:t>osensor</w:t>
      </w:r>
      <w:proofErr w:type="spellEnd"/>
      <w:r w:rsidRPr="00137D66">
        <w:rPr>
          <w:rFonts w:asciiTheme="majorBidi" w:hAnsiTheme="majorBidi" w:cstheme="majorBidi"/>
          <w:sz w:val="24"/>
          <w:szCs w:val="24"/>
        </w:rPr>
        <w:t xml:space="preserve">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Before introducing any liquid, the effective optical thickness (EOT) of each sample was measured in air under dry conditions to provide a common reference.</w:t>
      </w:r>
      <w:r w:rsidR="00563717">
        <w:rPr>
          <w:rFonts w:asciiTheme="majorBidi" w:hAnsiTheme="majorBidi" w:cstheme="majorBidi"/>
          <w:sz w:val="24"/>
          <w:szCs w:val="24"/>
        </w:rPr>
        <w:t xml:space="preserve"> </w:t>
      </w:r>
      <w:r w:rsidRPr="00137D66">
        <w:rPr>
          <w:rFonts w:asciiTheme="majorBidi" w:hAnsiTheme="majorBidi" w:cstheme="majorBidi"/>
          <w:sz w:val="24"/>
          <w:szCs w:val="24"/>
        </w:rPr>
        <w:t xml:space="preserve">Following this, two </w:t>
      </w:r>
      <w:r w:rsidR="0088467A" w:rsidRPr="0088467A">
        <w:rPr>
          <w:rFonts w:asciiTheme="majorBidi" w:hAnsiTheme="majorBidi" w:cstheme="majorBidi"/>
          <w:sz w:val="24"/>
          <w:szCs w:val="24"/>
        </w:rPr>
        <w:t>comparative</w:t>
      </w:r>
      <w:r w:rsidR="0088467A">
        <w:t xml:space="preserve"> </w:t>
      </w:r>
      <w:r w:rsidRPr="00137D66">
        <w:rPr>
          <w:rFonts w:asciiTheme="majorBidi" w:hAnsiTheme="majorBidi" w:cstheme="majorBidi"/>
          <w:sz w:val="24"/>
          <w:szCs w:val="24"/>
        </w:rPr>
        <w:t>experiments were performed.</w:t>
      </w:r>
    </w:p>
    <w:p w14:paraId="33F24D6D" w14:textId="57EB83B8" w:rsidR="00D204D4" w:rsidRPr="00137D66" w:rsidRDefault="00D204D4" w:rsidP="009F4544">
      <w:pPr>
        <w:spacing w:line="480" w:lineRule="auto"/>
        <w:jc w:val="both"/>
        <w:rPr>
          <w:rFonts w:asciiTheme="majorBidi" w:hAnsiTheme="majorBidi" w:cstheme="majorBidi"/>
          <w:sz w:val="24"/>
          <w:szCs w:val="24"/>
        </w:rPr>
      </w:pPr>
      <w:r w:rsidRPr="00137D66">
        <w:rPr>
          <w:rFonts w:asciiTheme="majorBidi" w:hAnsiTheme="majorBidi" w:cstheme="majorBidi"/>
          <w:sz w:val="24"/>
          <w:szCs w:val="24"/>
        </w:rPr>
        <w:t xml:space="preserve">In the first experiment, ethanol solutions with concentrations of 25%, 50%, 75%, and 100% (v/v) were manually prepared by mixing ethanol with deionized (DI) water. The four ethanol solutions, together with pure DI water, were individually introduced into the five microchannels at a flow </w:t>
      </w:r>
      <w:r w:rsidRPr="00137D66">
        <w:rPr>
          <w:rFonts w:asciiTheme="majorBidi" w:hAnsiTheme="majorBidi" w:cstheme="majorBidi"/>
          <w:sz w:val="24"/>
          <w:szCs w:val="24"/>
        </w:rPr>
        <w:lastRenderedPageBreak/>
        <w:t>rate of 50 µL min⁻¹. The flow was maintained for 10 min, during which reflectance spectra were recorded every 30 s. The corresponding EOT values were subsequently extracted from the Fourier transform of the reflectance spectra using IGOR software.</w:t>
      </w:r>
    </w:p>
    <w:p w14:paraId="71912091" w14:textId="027269EE" w:rsidR="00D204D4" w:rsidRPr="00137D66" w:rsidRDefault="00D204D4" w:rsidP="009F4544">
      <w:pPr>
        <w:spacing w:line="480" w:lineRule="auto"/>
        <w:jc w:val="both"/>
        <w:rPr>
          <w:rFonts w:asciiTheme="majorBidi" w:hAnsiTheme="majorBidi" w:cstheme="majorBidi"/>
          <w:sz w:val="24"/>
          <w:szCs w:val="24"/>
        </w:rPr>
      </w:pPr>
      <w:r w:rsidRPr="00137D66">
        <w:rPr>
          <w:rFonts w:asciiTheme="majorBidi" w:hAnsiTheme="majorBidi" w:cstheme="majorBidi"/>
          <w:sz w:val="24"/>
          <w:szCs w:val="24"/>
        </w:rPr>
        <w:t xml:space="preserve">In the second experiment, the same procedure was repeated using the CGG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xml:space="preserve">. The outlets of the CGG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xml:space="preserve"> were connected to the inlets of the </w:t>
      </w:r>
      <w:proofErr w:type="spellStart"/>
      <w:r>
        <w:rPr>
          <w:rFonts w:asciiTheme="majorBidi" w:hAnsiTheme="majorBidi" w:cstheme="majorBidi"/>
          <w:sz w:val="24"/>
          <w:szCs w:val="24"/>
        </w:rPr>
        <w:t>nanosensor</w:t>
      </w:r>
      <w:proofErr w:type="spellEnd"/>
      <w:r w:rsidRPr="00137D66">
        <w:rPr>
          <w:rFonts w:asciiTheme="majorBidi" w:hAnsiTheme="majorBidi" w:cstheme="majorBidi"/>
          <w:sz w:val="24"/>
          <w:szCs w:val="24"/>
        </w:rPr>
        <w:t xml:space="preserve">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xml:space="preserve">. Pure DI water and pure ethanol were introduced into the two inlets of the CGG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xml:space="preserve">, generating five outlet streams with different ethanol concentrations. These streams were then delivered to the five microchannels of the </w:t>
      </w:r>
      <w:proofErr w:type="spellStart"/>
      <w:r w:rsidR="00563717">
        <w:rPr>
          <w:rFonts w:asciiTheme="majorBidi" w:hAnsiTheme="majorBidi" w:cstheme="majorBidi"/>
          <w:sz w:val="24"/>
          <w:szCs w:val="24"/>
        </w:rPr>
        <w:t>nan</w:t>
      </w:r>
      <w:r w:rsidRPr="00137D66">
        <w:rPr>
          <w:rFonts w:asciiTheme="majorBidi" w:hAnsiTheme="majorBidi" w:cstheme="majorBidi"/>
          <w:sz w:val="24"/>
          <w:szCs w:val="24"/>
        </w:rPr>
        <w:t>osensor</w:t>
      </w:r>
      <w:proofErr w:type="spellEnd"/>
      <w:r w:rsidRPr="00137D66">
        <w:rPr>
          <w:rFonts w:asciiTheme="majorBidi" w:hAnsiTheme="majorBidi" w:cstheme="majorBidi"/>
          <w:sz w:val="24"/>
          <w:szCs w:val="24"/>
        </w:rPr>
        <w:t xml:space="preserve">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As in the first experiment, reflectance spectra were acquired every 30 s for 10 min, and the corresponding EOT values were obtained from the Fourier transform of the reflectance spectra.</w:t>
      </w:r>
    </w:p>
    <w:p w14:paraId="679B4FF0" w14:textId="77777777" w:rsidR="00D204D4" w:rsidRPr="00137D66" w:rsidRDefault="00D204D4" w:rsidP="009F4544">
      <w:pPr>
        <w:spacing w:line="480" w:lineRule="auto"/>
        <w:rPr>
          <w:rFonts w:asciiTheme="majorBidi" w:hAnsiTheme="majorBidi" w:cstheme="majorBidi"/>
          <w:sz w:val="24"/>
          <w:szCs w:val="24"/>
        </w:rPr>
      </w:pPr>
    </w:p>
    <w:p w14:paraId="4C568E5E" w14:textId="3637EF0B" w:rsidR="00D204D4" w:rsidRPr="00900143" w:rsidRDefault="00D204D4" w:rsidP="009F4544">
      <w:pPr>
        <w:spacing w:line="480" w:lineRule="auto"/>
        <w:jc w:val="both"/>
        <w:rPr>
          <w:rFonts w:asciiTheme="majorBidi" w:hAnsiTheme="majorBidi" w:cstheme="majorBidi"/>
          <w:sz w:val="24"/>
          <w:szCs w:val="24"/>
          <w:highlight w:val="cyan"/>
        </w:rPr>
      </w:pPr>
      <w:r w:rsidRPr="005B068E">
        <w:rPr>
          <w:rFonts w:asciiTheme="majorBidi" w:hAnsiTheme="majorBidi" w:cstheme="majorBidi"/>
          <w:b/>
          <w:bCs/>
          <w:sz w:val="24"/>
          <w:szCs w:val="24"/>
        </w:rPr>
        <w:t>Fig. S</w:t>
      </w:r>
      <w:r>
        <w:rPr>
          <w:rFonts w:asciiTheme="majorBidi" w:hAnsiTheme="majorBidi" w:cstheme="majorBidi"/>
          <w:b/>
          <w:bCs/>
          <w:sz w:val="24"/>
          <w:szCs w:val="24"/>
        </w:rPr>
        <w:t>1a</w:t>
      </w:r>
      <w:r w:rsidRPr="00137D66">
        <w:rPr>
          <w:rFonts w:asciiTheme="majorBidi" w:hAnsiTheme="majorBidi" w:cstheme="majorBidi"/>
          <w:sz w:val="24"/>
          <w:szCs w:val="24"/>
        </w:rPr>
        <w:t xml:space="preserve"> presents the EOT changes of the five channels relative to their corresponding dry-state values for both experiments. As can be seen, excellent agreement was obtained between the manually prepared solutions and the concentrations generated by the CGG </w:t>
      </w:r>
      <w:proofErr w:type="spellStart"/>
      <w:r w:rsidRPr="00137D66">
        <w:rPr>
          <w:rFonts w:asciiTheme="majorBidi" w:hAnsiTheme="majorBidi" w:cstheme="majorBidi"/>
          <w:sz w:val="24"/>
          <w:szCs w:val="24"/>
        </w:rPr>
        <w:t>μchip</w:t>
      </w:r>
      <w:proofErr w:type="spellEnd"/>
      <w:r w:rsidRPr="00137D66">
        <w:rPr>
          <w:rFonts w:asciiTheme="majorBidi" w:hAnsiTheme="majorBidi" w:cstheme="majorBidi"/>
          <w:sz w:val="24"/>
          <w:szCs w:val="24"/>
        </w:rPr>
        <w:t>, demonstrating that the on-chip concentration gradient generator produces concentration profiles equivalent to those obtained by conventional manual mixing.</w:t>
      </w:r>
    </w:p>
    <w:p w14:paraId="2FA0805F" w14:textId="77777777" w:rsidR="00D204D4" w:rsidRPr="00900143" w:rsidRDefault="00D204D4" w:rsidP="009F4544">
      <w:pPr>
        <w:spacing w:line="480" w:lineRule="auto"/>
        <w:jc w:val="both"/>
        <w:rPr>
          <w:rFonts w:asciiTheme="majorBidi" w:hAnsiTheme="majorBidi" w:cstheme="majorBidi"/>
          <w:sz w:val="24"/>
          <w:szCs w:val="24"/>
          <w:highlight w:val="cyan"/>
        </w:rPr>
      </w:pPr>
    </w:p>
    <w:p w14:paraId="3B697648" w14:textId="088F36A3" w:rsidR="00D204D4" w:rsidRPr="00900143" w:rsidRDefault="00D204D4" w:rsidP="009F4544">
      <w:pPr>
        <w:spacing w:line="480" w:lineRule="auto"/>
        <w:jc w:val="both"/>
        <w:rPr>
          <w:rFonts w:asciiTheme="majorBidi" w:hAnsiTheme="majorBidi" w:cstheme="majorBidi"/>
          <w:sz w:val="24"/>
          <w:szCs w:val="24"/>
          <w:highlight w:val="cyan"/>
        </w:rPr>
      </w:pPr>
      <w:r w:rsidRPr="000853AF">
        <w:rPr>
          <w:rFonts w:asciiTheme="majorBidi" w:hAnsiTheme="majorBidi" w:cstheme="majorBidi"/>
          <w:sz w:val="24"/>
          <w:szCs w:val="24"/>
        </w:rPr>
        <w:t>Furthermore, the measured ΔEOT values were plotted as a function of the refractive index of the corresponding solutions and fitted using a linear regression model to determine the refractive-index sensitivity of the sensing structures (</w:t>
      </w:r>
      <w:r w:rsidRPr="000853AF">
        <w:rPr>
          <w:rFonts w:asciiTheme="majorBidi" w:hAnsiTheme="majorBidi" w:cstheme="majorBidi"/>
          <w:b/>
          <w:bCs/>
          <w:sz w:val="24"/>
          <w:szCs w:val="24"/>
        </w:rPr>
        <w:t>Fig. S</w:t>
      </w:r>
      <w:r>
        <w:rPr>
          <w:rFonts w:asciiTheme="majorBidi" w:hAnsiTheme="majorBidi" w:cstheme="majorBidi"/>
          <w:b/>
          <w:bCs/>
          <w:sz w:val="24"/>
          <w:szCs w:val="24"/>
        </w:rPr>
        <w:t>1</w:t>
      </w:r>
      <w:r w:rsidRPr="000853AF">
        <w:rPr>
          <w:rFonts w:asciiTheme="majorBidi" w:hAnsiTheme="majorBidi" w:cstheme="majorBidi"/>
          <w:b/>
          <w:bCs/>
          <w:sz w:val="24"/>
          <w:szCs w:val="24"/>
        </w:rPr>
        <w:t>b</w:t>
      </w:r>
      <w:r w:rsidRPr="000853AF">
        <w:rPr>
          <w:rFonts w:asciiTheme="majorBidi" w:hAnsiTheme="majorBidi" w:cstheme="majorBidi"/>
          <w:sz w:val="24"/>
          <w:szCs w:val="24"/>
        </w:rPr>
        <w:t xml:space="preserve">). The sensitivities obtained from the manually prepared solutions and the on-chip concentration gradient generated by the CGG </w:t>
      </w:r>
      <w:proofErr w:type="spellStart"/>
      <w:r w:rsidRPr="000853AF">
        <w:rPr>
          <w:rFonts w:asciiTheme="majorBidi" w:hAnsiTheme="majorBidi" w:cstheme="majorBidi"/>
          <w:sz w:val="24"/>
          <w:szCs w:val="24"/>
        </w:rPr>
        <w:t>μchip</w:t>
      </w:r>
      <w:proofErr w:type="spellEnd"/>
      <w:r w:rsidRPr="000853AF">
        <w:rPr>
          <w:rFonts w:asciiTheme="majorBidi" w:hAnsiTheme="majorBidi" w:cstheme="majorBidi"/>
          <w:sz w:val="24"/>
          <w:szCs w:val="24"/>
        </w:rPr>
        <w:t xml:space="preserve"> were 5244 ± 232 nm RIU⁻¹ and 5311 ± 304 nm RIU⁻¹, respectively. The excellent agreement between these </w:t>
      </w:r>
      <w:r w:rsidRPr="000853AF">
        <w:rPr>
          <w:rFonts w:asciiTheme="majorBidi" w:hAnsiTheme="majorBidi" w:cstheme="majorBidi"/>
          <w:sz w:val="24"/>
          <w:szCs w:val="24"/>
        </w:rPr>
        <w:lastRenderedPageBreak/>
        <w:t xml:space="preserve">values demonstrates that the CGG </w:t>
      </w:r>
      <w:proofErr w:type="spellStart"/>
      <w:r w:rsidRPr="000853AF">
        <w:rPr>
          <w:rFonts w:asciiTheme="majorBidi" w:hAnsiTheme="majorBidi" w:cstheme="majorBidi"/>
          <w:sz w:val="24"/>
          <w:szCs w:val="24"/>
        </w:rPr>
        <w:t>μchip</w:t>
      </w:r>
      <w:proofErr w:type="spellEnd"/>
      <w:r w:rsidRPr="000853AF">
        <w:rPr>
          <w:rFonts w:asciiTheme="majorBidi" w:hAnsiTheme="majorBidi" w:cstheme="majorBidi"/>
          <w:sz w:val="24"/>
          <w:szCs w:val="24"/>
        </w:rPr>
        <w:t xml:space="preserve"> generates concentration gradients with an accuracy comparable to that of conventional manual solution preparation. Both values are also in good agreement with the refractive-index sensitivity of 5872 ± 357 nm RIU⁻¹ previously reported for the same </w:t>
      </w:r>
      <w:proofErr w:type="spellStart"/>
      <w:r w:rsidRPr="000853AF">
        <w:rPr>
          <w:rFonts w:asciiTheme="majorBidi" w:hAnsiTheme="majorBidi" w:cstheme="majorBidi"/>
          <w:sz w:val="24"/>
          <w:szCs w:val="24"/>
        </w:rPr>
        <w:t>PSiO</w:t>
      </w:r>
      <w:proofErr w:type="spellEnd"/>
      <w:r w:rsidRPr="000853AF">
        <w:rPr>
          <w:rFonts w:asciiTheme="majorBidi" w:hAnsiTheme="majorBidi" w:cstheme="majorBidi"/>
          <w:sz w:val="24"/>
          <w:szCs w:val="24"/>
        </w:rPr>
        <w:t>₂ structures in our earlier work</w:t>
      </w:r>
      <w:r>
        <w:rPr>
          <w:rFonts w:asciiTheme="majorBidi" w:hAnsiTheme="majorBidi" w:cstheme="majorBidi"/>
          <w:sz w:val="24"/>
          <w:szCs w:val="24"/>
        </w:rPr>
        <w:t xml:space="preserve"> [1]</w:t>
      </w:r>
      <w:r w:rsidRPr="000853AF">
        <w:rPr>
          <w:rFonts w:asciiTheme="majorBidi" w:hAnsiTheme="majorBidi" w:cstheme="majorBidi"/>
          <w:sz w:val="24"/>
          <w:szCs w:val="24"/>
        </w:rPr>
        <w:t xml:space="preserve">. These results further confirm that integration of the CGG </w:t>
      </w:r>
      <w:proofErr w:type="spellStart"/>
      <w:r w:rsidRPr="000853AF">
        <w:rPr>
          <w:rFonts w:asciiTheme="majorBidi" w:hAnsiTheme="majorBidi" w:cstheme="majorBidi"/>
          <w:sz w:val="24"/>
          <w:szCs w:val="24"/>
        </w:rPr>
        <w:t>μchip</w:t>
      </w:r>
      <w:proofErr w:type="spellEnd"/>
      <w:r w:rsidRPr="000853AF">
        <w:rPr>
          <w:rFonts w:asciiTheme="majorBidi" w:hAnsiTheme="majorBidi" w:cstheme="majorBidi"/>
          <w:sz w:val="24"/>
          <w:szCs w:val="24"/>
        </w:rPr>
        <w:t xml:space="preserve"> does not alter the intrinsic optical response of the </w:t>
      </w:r>
      <w:proofErr w:type="spellStart"/>
      <w:r w:rsidRPr="000853AF">
        <w:rPr>
          <w:rFonts w:asciiTheme="majorBidi" w:hAnsiTheme="majorBidi" w:cstheme="majorBidi"/>
          <w:sz w:val="24"/>
          <w:szCs w:val="24"/>
        </w:rPr>
        <w:t>PSiO</w:t>
      </w:r>
      <w:proofErr w:type="spellEnd"/>
      <w:r w:rsidRPr="000853AF">
        <w:rPr>
          <w:rFonts w:asciiTheme="majorBidi" w:hAnsiTheme="majorBidi" w:cstheme="majorBidi"/>
          <w:sz w:val="24"/>
          <w:szCs w:val="24"/>
        </w:rPr>
        <w:t>₂ sensors.</w:t>
      </w:r>
    </w:p>
    <w:p w14:paraId="5F622BB4" w14:textId="1A681C46" w:rsidR="00D204D4" w:rsidRPr="00B41A81" w:rsidRDefault="000525CA" w:rsidP="009F4544">
      <w:pPr>
        <w:spacing w:line="480" w:lineRule="auto"/>
        <w:rPr>
          <w:sz w:val="28"/>
          <w:szCs w:val="28"/>
          <w:highlight w:val="cyan"/>
          <w:rtl/>
        </w:rPr>
      </w:pPr>
      <w:r>
        <w:rPr>
          <w:noProof/>
          <w:sz w:val="28"/>
          <w:szCs w:val="28"/>
          <w:rtl/>
          <w:lang w:val="ar-SA"/>
        </w:rPr>
        <w:drawing>
          <wp:inline distT="0" distB="0" distL="0" distR="0" wp14:anchorId="27115976" wp14:editId="059AE2CF">
            <wp:extent cx="594360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667000"/>
                    </a:xfrm>
                    <a:prstGeom prst="rect">
                      <a:avLst/>
                    </a:prstGeom>
                  </pic:spPr>
                </pic:pic>
              </a:graphicData>
            </a:graphic>
          </wp:inline>
        </w:drawing>
      </w:r>
    </w:p>
    <w:p w14:paraId="54338B1B" w14:textId="557CB18B" w:rsidR="00D204D4" w:rsidRPr="00C628FD" w:rsidRDefault="00D204D4" w:rsidP="009F4544">
      <w:pPr>
        <w:spacing w:line="480" w:lineRule="auto"/>
        <w:jc w:val="both"/>
        <w:rPr>
          <w:rFonts w:asciiTheme="majorBidi" w:hAnsiTheme="majorBidi" w:cstheme="majorBidi"/>
          <w:sz w:val="20"/>
          <w:szCs w:val="20"/>
          <w:highlight w:val="cyan"/>
        </w:rPr>
      </w:pPr>
      <w:r w:rsidRPr="0088467A">
        <w:rPr>
          <w:rStyle w:val="Strong"/>
          <w:rFonts w:asciiTheme="majorBidi" w:hAnsiTheme="majorBidi" w:cstheme="majorBidi"/>
          <w:sz w:val="20"/>
          <w:szCs w:val="20"/>
        </w:rPr>
        <w:t>Figure S1.</w:t>
      </w:r>
      <w:r w:rsidRPr="0088467A">
        <w:rPr>
          <w:rStyle w:val="Strong"/>
          <w:rFonts w:asciiTheme="majorBidi" w:hAnsiTheme="majorBidi" w:cstheme="majorBidi"/>
          <w:b w:val="0"/>
          <w:bCs w:val="0"/>
          <w:sz w:val="20"/>
          <w:szCs w:val="20"/>
        </w:rPr>
        <w:t xml:space="preserve"> </w:t>
      </w:r>
      <w:r w:rsidRPr="0088467A">
        <w:rPr>
          <w:rFonts w:asciiTheme="majorBidi" w:hAnsiTheme="majorBidi" w:cstheme="majorBidi"/>
          <w:b/>
          <w:bCs/>
          <w:sz w:val="20"/>
          <w:szCs w:val="20"/>
        </w:rPr>
        <w:t xml:space="preserve">Validation of the CGG </w:t>
      </w:r>
      <w:proofErr w:type="spellStart"/>
      <w:r w:rsidRPr="0088467A">
        <w:rPr>
          <w:rFonts w:asciiTheme="majorBidi" w:hAnsiTheme="majorBidi" w:cstheme="majorBidi"/>
          <w:b/>
          <w:bCs/>
          <w:sz w:val="20"/>
          <w:szCs w:val="20"/>
        </w:rPr>
        <w:t>μchip</w:t>
      </w:r>
      <w:proofErr w:type="spellEnd"/>
      <w:r w:rsidRPr="00C17539">
        <w:rPr>
          <w:rFonts w:asciiTheme="majorBidi" w:hAnsiTheme="majorBidi" w:cstheme="majorBidi"/>
          <w:sz w:val="20"/>
          <w:szCs w:val="20"/>
        </w:rPr>
        <w:t xml:space="preserve">. (a) Comparison of the ΔEOT responses of the five </w:t>
      </w:r>
      <w:proofErr w:type="spellStart"/>
      <w:r w:rsidRPr="00C17539">
        <w:rPr>
          <w:rFonts w:asciiTheme="majorBidi" w:hAnsiTheme="majorBidi" w:cstheme="majorBidi"/>
          <w:sz w:val="20"/>
          <w:szCs w:val="20"/>
        </w:rPr>
        <w:t>PSiO</w:t>
      </w:r>
      <w:proofErr w:type="spellEnd"/>
      <w:r w:rsidRPr="00C17539">
        <w:rPr>
          <w:rFonts w:asciiTheme="majorBidi" w:hAnsiTheme="majorBidi" w:cstheme="majorBidi"/>
          <w:sz w:val="20"/>
          <w:szCs w:val="20"/>
        </w:rPr>
        <w:t>₂ sensors obtained using manually prepared ethanol solutions and on-chip concentration gradient generation. (b) ΔEOT versus refractive index with linear fits used to determine the refractive-index sensitivity.</w:t>
      </w:r>
    </w:p>
    <w:p w14:paraId="60FF5665" w14:textId="77777777" w:rsidR="00B53521" w:rsidRDefault="00B53521" w:rsidP="009F4544">
      <w:pPr>
        <w:spacing w:line="480" w:lineRule="auto"/>
        <w:jc w:val="center"/>
        <w:rPr>
          <w:rFonts w:asciiTheme="majorBidi" w:hAnsiTheme="majorBidi" w:cstheme="majorBidi"/>
          <w:b/>
          <w:bCs/>
          <w:sz w:val="28"/>
          <w:szCs w:val="28"/>
        </w:rPr>
      </w:pPr>
    </w:p>
    <w:p w14:paraId="71EA81D3" w14:textId="77777777" w:rsidR="00900143" w:rsidRPr="005D1E60" w:rsidRDefault="00900143" w:rsidP="009F4544">
      <w:pPr>
        <w:spacing w:line="480" w:lineRule="auto"/>
        <w:jc w:val="both"/>
        <w:rPr>
          <w:rFonts w:asciiTheme="majorBidi" w:hAnsiTheme="majorBidi" w:cstheme="majorBidi"/>
          <w:b/>
          <w:bCs/>
          <w:sz w:val="24"/>
          <w:szCs w:val="24"/>
        </w:rPr>
      </w:pPr>
      <w:r w:rsidRPr="00AB092F">
        <w:rPr>
          <w:rFonts w:asciiTheme="majorBidi" w:hAnsiTheme="majorBidi" w:cstheme="majorBidi"/>
          <w:b/>
          <w:bCs/>
          <w:sz w:val="24"/>
          <w:szCs w:val="24"/>
        </w:rPr>
        <w:t>FTIR</w:t>
      </w:r>
    </w:p>
    <w:p w14:paraId="4C836A65" w14:textId="3B63A828" w:rsidR="00900143" w:rsidRPr="003031D0" w:rsidRDefault="00900143" w:rsidP="009F4544">
      <w:pPr>
        <w:pStyle w:val="NormalWeb"/>
        <w:spacing w:line="480" w:lineRule="auto"/>
        <w:jc w:val="both"/>
        <w:rPr>
          <w:rFonts w:asciiTheme="majorBidi" w:hAnsiTheme="majorBidi" w:cstheme="majorBidi"/>
        </w:rPr>
      </w:pPr>
      <w:r w:rsidRPr="00900143">
        <w:rPr>
          <w:rStyle w:val="Strong"/>
          <w:b w:val="0"/>
          <w:bCs w:val="0"/>
        </w:rPr>
        <w:t xml:space="preserve">ATR-FTIR spectroscopy was used to evaluate and confirm the interaction between gelatin and the APTES-modified </w:t>
      </w:r>
      <w:proofErr w:type="spellStart"/>
      <w:r w:rsidRPr="00900143">
        <w:rPr>
          <w:rStyle w:val="Strong"/>
          <w:b w:val="0"/>
          <w:bCs w:val="0"/>
        </w:rPr>
        <w:t>PSi</w:t>
      </w:r>
      <w:proofErr w:type="spellEnd"/>
      <w:r w:rsidRPr="00900143">
        <w:rPr>
          <w:rStyle w:val="Strong"/>
          <w:b w:val="0"/>
          <w:bCs w:val="0"/>
        </w:rPr>
        <w:t xml:space="preserve"> surface and to monitor the changes in surface functional groups</w:t>
      </w:r>
      <w:r w:rsidRPr="003031D0">
        <w:rPr>
          <w:rStyle w:val="Strong"/>
        </w:rPr>
        <w:t xml:space="preserve">.  </w:t>
      </w:r>
      <w:r w:rsidRPr="002A4E7A">
        <w:rPr>
          <w:rFonts w:asciiTheme="majorBidi" w:hAnsiTheme="majorBidi" w:cstheme="majorBidi"/>
          <w:b/>
          <w:bCs/>
        </w:rPr>
        <w:t>Fig.</w:t>
      </w:r>
      <w:r w:rsidR="00B53521" w:rsidRPr="002A4E7A">
        <w:rPr>
          <w:rFonts w:asciiTheme="majorBidi" w:hAnsiTheme="majorBidi" w:cstheme="majorBidi"/>
          <w:b/>
          <w:bCs/>
        </w:rPr>
        <w:t xml:space="preserve"> S</w:t>
      </w:r>
      <w:r w:rsidR="0088467A" w:rsidRPr="002A4E7A">
        <w:rPr>
          <w:rFonts w:asciiTheme="majorBidi" w:hAnsiTheme="majorBidi" w:cstheme="majorBidi"/>
          <w:b/>
          <w:bCs/>
        </w:rPr>
        <w:t>2</w:t>
      </w:r>
      <w:r w:rsidR="00B53521" w:rsidRPr="003031D0">
        <w:rPr>
          <w:rFonts w:asciiTheme="majorBidi" w:hAnsiTheme="majorBidi" w:cstheme="majorBidi"/>
        </w:rPr>
        <w:t xml:space="preserve"> </w:t>
      </w:r>
      <w:r w:rsidRPr="003031D0">
        <w:rPr>
          <w:rFonts w:asciiTheme="majorBidi" w:hAnsiTheme="majorBidi" w:cstheme="majorBidi"/>
        </w:rPr>
        <w:t>shows ATR-FTIR analysis after surface functionalization of PSiO</w:t>
      </w:r>
      <w:r w:rsidRPr="003031D0">
        <w:rPr>
          <w:rFonts w:asciiTheme="majorBidi" w:hAnsiTheme="majorBidi" w:cstheme="majorBidi"/>
          <w:vertAlign w:val="subscript"/>
        </w:rPr>
        <w:t xml:space="preserve">2 </w:t>
      </w:r>
      <w:r w:rsidRPr="003031D0">
        <w:rPr>
          <w:rFonts w:asciiTheme="majorBidi" w:hAnsiTheme="majorBidi" w:cstheme="majorBidi"/>
        </w:rPr>
        <w:t xml:space="preserve">with APTES and gelatin deposition. Previous studies have reported FTIR spectra related to the synthesis of </w:t>
      </w:r>
      <w:proofErr w:type="spellStart"/>
      <w:r w:rsidRPr="003031D0">
        <w:rPr>
          <w:rFonts w:asciiTheme="majorBidi" w:hAnsiTheme="majorBidi" w:cstheme="majorBidi"/>
        </w:rPr>
        <w:t>PSi</w:t>
      </w:r>
      <w:proofErr w:type="spellEnd"/>
      <w:r w:rsidRPr="003031D0">
        <w:rPr>
          <w:rFonts w:asciiTheme="majorBidi" w:hAnsiTheme="majorBidi" w:cstheme="majorBidi"/>
        </w:rPr>
        <w:t xml:space="preserve"> and after </w:t>
      </w:r>
      <w:r w:rsidRPr="003031D0">
        <w:rPr>
          <w:rFonts w:asciiTheme="majorBidi" w:hAnsiTheme="majorBidi" w:cstheme="majorBidi"/>
        </w:rPr>
        <w:lastRenderedPageBreak/>
        <w:t xml:space="preserve">oxidation </w:t>
      </w:r>
      <w:r w:rsidRPr="003031D0">
        <w:rPr>
          <w:rFonts w:asciiTheme="majorBidi" w:hAnsiTheme="majorBidi" w:cstheme="majorBidi"/>
        </w:rPr>
        <w:fldChar w:fldCharType="begin"/>
      </w:r>
      <w:r w:rsidR="00D204D4">
        <w:rPr>
          <w:rFonts w:asciiTheme="majorBidi" w:hAnsiTheme="majorBidi" w:cstheme="majorBidi"/>
        </w:rPr>
        <w:instrText xml:space="preserve"> ADDIN EN.CITE &lt;EndNote&gt;&lt;Cite&gt;&lt;Author&gt;Mohammadi&lt;/Author&gt;&lt;Year&gt;2025&lt;/Year&gt;&lt;RecNum&gt;5&lt;/RecNum&gt;&lt;DisplayText&gt;&lt;style face="superscript"&gt;1&lt;/style&gt;&lt;/DisplayText&gt;&lt;record&gt;&lt;rec-number&gt;5&lt;/rec-number&gt;&lt;foreign-keys&gt;&lt;key app="EN" db-id="wxde2wrf50zrtieedfo5r09uv9wa29dasa5p" timestamp="1777107640"&gt;5&lt;/key&gt;&lt;/foreign-keys&gt;&lt;ref-type name="Journal Article"&gt;17&lt;/ref-type&gt;&lt;contributors&gt;&lt;authors&gt;&lt;author&gt;Mohammadi, Shima&lt;/author&gt;&lt;author&gt;Rahimi, Fereshteh&lt;/author&gt;&lt;author&gt;Rezayan, Ali Hossein&lt;/author&gt;&lt;author&gt;Mehrizi, Ali Abouei&lt;/author&gt;&lt;author&gt;Sedighi, Mahsa&lt;/author&gt;&lt;author&gt;Mosayebzadeh, Mahya&lt;/author&gt;&lt;/authors&gt;&lt;/contributors&gt;&lt;titles&gt;&lt;title&gt;Design, fabrication, and characterization of microfluidic-based interferometric porous silicon aptasensors for multiplexed sepsis biomarkers detection&lt;/title&gt;&lt;secondary-title&gt;Sensors and Actuators Reports&lt;/secondary-title&gt;&lt;/titles&gt;&lt;periodical&gt;&lt;full-title&gt;Sensors and Actuators Reports&lt;/full-title&gt;&lt;/periodical&gt;&lt;pages&gt;100382&lt;/pages&gt;&lt;volume&gt;10&lt;/volume&gt;&lt;keywords&gt;&lt;keyword&gt;Sepsis&lt;/keyword&gt;&lt;keyword&gt;RIFTS&lt;/keyword&gt;&lt;keyword&gt;Microfluidics&lt;/keyword&gt;&lt;keyword&gt;Multiplex detection&lt;/keyword&gt;&lt;keyword&gt;Biomarker&lt;/keyword&gt;&lt;keyword&gt;Porous Silicon&lt;/keyword&gt;&lt;/keywords&gt;&lt;dates&gt;&lt;year&gt;2025&lt;/year&gt;&lt;pub-dates&gt;&lt;date&gt;2025/12/01/&lt;/date&gt;&lt;/pub-dates&gt;&lt;/dates&gt;&lt;isbn&gt;2666-0539&lt;/isbn&gt;&lt;urls&gt;&lt;related-urls&gt;&lt;url&gt;https://www.sciencedirect.com/science/article/pii/S2666053925001006&lt;/url&gt;&lt;/related-urls&gt;&lt;/urls&gt;&lt;electronic-resource-num&gt;https://doi.org/10.1016/j.snr.2025.100382&lt;/electronic-resource-num&gt;&lt;/record&gt;&lt;/Cite&gt;&lt;/EndNote&gt;</w:instrText>
      </w:r>
      <w:r w:rsidRPr="003031D0">
        <w:rPr>
          <w:rFonts w:asciiTheme="majorBidi" w:hAnsiTheme="majorBidi" w:cstheme="majorBidi"/>
        </w:rPr>
        <w:fldChar w:fldCharType="separate"/>
      </w:r>
      <w:r w:rsidR="00D204D4" w:rsidRPr="00D204D4">
        <w:rPr>
          <w:rFonts w:asciiTheme="majorBidi" w:hAnsiTheme="majorBidi" w:cstheme="majorBidi"/>
          <w:noProof/>
          <w:vertAlign w:val="superscript"/>
        </w:rPr>
        <w:t>1</w:t>
      </w:r>
      <w:r w:rsidRPr="003031D0">
        <w:rPr>
          <w:rFonts w:asciiTheme="majorBidi" w:hAnsiTheme="majorBidi" w:cstheme="majorBidi"/>
        </w:rPr>
        <w:fldChar w:fldCharType="end"/>
      </w:r>
      <w:r w:rsidRPr="003031D0">
        <w:rPr>
          <w:rFonts w:asciiTheme="majorBidi" w:hAnsiTheme="majorBidi" w:cstheme="majorBidi"/>
        </w:rPr>
        <w:t>. After surface modification with APTES, the spectrum indicates a sharp peak at</w:t>
      </w:r>
      <w:r w:rsidRPr="003031D0">
        <w:rPr>
          <w:rFonts w:asciiTheme="majorBidi" w:hAnsiTheme="majorBidi" w:cstheme="majorBidi"/>
          <w:u w:val="single"/>
        </w:rPr>
        <w:t xml:space="preserve"> </w:t>
      </w:r>
      <w:r w:rsidRPr="00D204D4">
        <w:rPr>
          <w:rFonts w:asciiTheme="majorBidi" w:hAnsiTheme="majorBidi" w:cstheme="majorBidi"/>
        </w:rPr>
        <w:t>2936 cm</w:t>
      </w:r>
      <w:r w:rsidRPr="00D204D4">
        <w:rPr>
          <w:rFonts w:asciiTheme="majorBidi" w:hAnsiTheme="majorBidi" w:cstheme="majorBidi"/>
          <w:vertAlign w:val="superscript"/>
        </w:rPr>
        <w:t>-1</w:t>
      </w:r>
      <w:r w:rsidRPr="00D204D4">
        <w:rPr>
          <w:rFonts w:asciiTheme="majorBidi" w:hAnsiTheme="majorBidi" w:cstheme="majorBidi"/>
        </w:rPr>
        <w:t xml:space="preserve"> related to the symmetric stretching mode of C–H and another peak at 1483 cm</w:t>
      </w:r>
      <w:r w:rsidRPr="00D204D4">
        <w:rPr>
          <w:rFonts w:asciiTheme="majorBidi" w:hAnsiTheme="majorBidi" w:cstheme="majorBidi"/>
          <w:vertAlign w:val="superscript"/>
        </w:rPr>
        <w:t>-1</w:t>
      </w:r>
      <w:r w:rsidR="001260FB" w:rsidRPr="00D204D4">
        <w:rPr>
          <w:rFonts w:asciiTheme="majorBidi" w:hAnsiTheme="majorBidi" w:cstheme="majorBidi"/>
        </w:rPr>
        <w:t xml:space="preserve"> </w:t>
      </w:r>
      <w:r w:rsidRPr="00D204D4">
        <w:rPr>
          <w:rFonts w:asciiTheme="majorBidi" w:hAnsiTheme="majorBidi" w:cstheme="majorBidi"/>
        </w:rPr>
        <w:t>assig</w:t>
      </w:r>
      <w:r w:rsidRPr="003031D0">
        <w:rPr>
          <w:rFonts w:asciiTheme="majorBidi" w:hAnsiTheme="majorBidi" w:cstheme="majorBidi"/>
        </w:rPr>
        <w:t>ned to NH</w:t>
      </w:r>
      <w:r w:rsidRPr="003031D0">
        <w:rPr>
          <w:rFonts w:asciiTheme="majorBidi" w:hAnsiTheme="majorBidi" w:cstheme="majorBidi"/>
          <w:vertAlign w:val="subscript"/>
        </w:rPr>
        <w:t>2</w:t>
      </w:r>
      <w:r w:rsidRPr="003031D0">
        <w:rPr>
          <w:rFonts w:asciiTheme="majorBidi" w:hAnsiTheme="majorBidi" w:cstheme="majorBidi"/>
        </w:rPr>
        <w:t xml:space="preserve"> vibrations. </w:t>
      </w:r>
      <w:r w:rsidRPr="003031D0">
        <w:t>Finally, after gelatin deposition on the APTES</w:t>
      </w:r>
      <w:r w:rsidRPr="003031D0">
        <w:noBreakHyphen/>
        <w:t xml:space="preserve">modified </w:t>
      </w:r>
      <w:proofErr w:type="spellStart"/>
      <w:r w:rsidRPr="003031D0">
        <w:t>PSi</w:t>
      </w:r>
      <w:proofErr w:type="spellEnd"/>
      <w:r w:rsidRPr="003031D0">
        <w:t xml:space="preserve"> surface, where </w:t>
      </w:r>
      <w:r w:rsidRPr="005D1E60">
        <w:t>GA was used as a cross</w:t>
      </w:r>
      <w:r w:rsidRPr="005D1E60">
        <w:noBreakHyphen/>
        <w:t>linker, a broad band at 3293 cm</w:t>
      </w:r>
      <w:r w:rsidRPr="005D1E60">
        <w:rPr>
          <w:rFonts w:ascii="Cambria Math" w:hAnsi="Cambria Math" w:cs="Cambria Math"/>
        </w:rPr>
        <w:t>⁻</w:t>
      </w:r>
      <w:r w:rsidRPr="005D1E60">
        <w:t>¹ is observed and assigned to the stretching vibrations of N–H/O–H groups, characteristic of the amide functionalities of gelatin. A band at 1632 cm</w:t>
      </w:r>
      <w:r w:rsidRPr="005D1E60">
        <w:rPr>
          <w:rFonts w:ascii="Cambria Math" w:hAnsi="Cambria Math" w:cs="Cambria Math"/>
        </w:rPr>
        <w:t>⁻</w:t>
      </w:r>
      <w:r w:rsidRPr="005D1E60">
        <w:t xml:space="preserve">¹ appears, which can be attributed to the Amide I (C=O stretching) vibration of gelatin and may also include a contribution from C=N stretching of imine (Schiff base) bonds formed by the reaction of GA with amino groups of </w:t>
      </w:r>
      <w:proofErr w:type="gramStart"/>
      <w:r w:rsidRPr="005D1E60">
        <w:t>gela</w:t>
      </w:r>
      <w:r w:rsidR="001260FB">
        <w:t>tin</w:t>
      </w:r>
      <w:proofErr w:type="gramEnd"/>
      <w:r w:rsidRPr="005D1E60">
        <w:t xml:space="preserve"> and APTES. The presence of this band suggests that gelatin has been cross</w:t>
      </w:r>
      <w:r w:rsidRPr="005D1E60">
        <w:noBreakHyphen/>
        <w:t>linked by GA and covalently attached to the APTES</w:t>
      </w:r>
      <w:r w:rsidRPr="005D1E60">
        <w:noBreakHyphen/>
        <w:t xml:space="preserve">modified </w:t>
      </w:r>
      <w:proofErr w:type="spellStart"/>
      <w:r w:rsidRPr="005D1E60">
        <w:t>PSi</w:t>
      </w:r>
      <w:proofErr w:type="spellEnd"/>
      <w:r w:rsidRPr="005D1E60">
        <w:t xml:space="preserve"> surface. In addition, the band corresponding to Amide II is observed at 1526 cm</w:t>
      </w:r>
      <w:r w:rsidRPr="005D1E60">
        <w:rPr>
          <w:rFonts w:ascii="Cambria Math" w:hAnsi="Cambria Math" w:cs="Cambria Math"/>
        </w:rPr>
        <w:t>⁻</w:t>
      </w:r>
      <w:r w:rsidRPr="005D1E60">
        <w:t>¹, arising from N–H bending and C–N stretching vibrations. The peak at 1229 cm</w:t>
      </w:r>
      <w:r w:rsidRPr="005D1E60">
        <w:rPr>
          <w:rFonts w:ascii="Cambria Math" w:hAnsi="Cambria Math" w:cs="Cambria Math"/>
        </w:rPr>
        <w:t>⁻</w:t>
      </w:r>
      <w:r w:rsidRPr="005D1E60">
        <w:t xml:space="preserve">¹, characteristic of the Amide III band is also detected and confirms the proteinaceous structure of gelatin. </w:t>
      </w:r>
      <w:r w:rsidRPr="005D1E60">
        <w:rPr>
          <w:rFonts w:asciiTheme="majorBidi" w:hAnsiTheme="majorBidi" w:cstheme="majorBidi"/>
          <w:color w:val="000000"/>
        </w:rPr>
        <w:t>These</w:t>
      </w:r>
      <w:r w:rsidRPr="005D1E60">
        <w:rPr>
          <w:rFonts w:asciiTheme="majorBidi" w:hAnsiTheme="majorBidi" w:cstheme="majorBidi"/>
          <w:color w:val="000000"/>
        </w:rPr>
        <w:br/>
        <w:t xml:space="preserve">observations are consistent with the results of previous </w:t>
      </w:r>
      <w:r w:rsidRPr="003031D0">
        <w:rPr>
          <w:rFonts w:asciiTheme="majorBidi" w:hAnsiTheme="majorBidi" w:cstheme="majorBidi"/>
        </w:rPr>
        <w:t xml:space="preserve">studies </w:t>
      </w:r>
      <w:r w:rsidRPr="003031D0">
        <w:rPr>
          <w:rFonts w:asciiTheme="majorBidi" w:hAnsiTheme="majorBidi" w:cstheme="majorBidi"/>
        </w:rPr>
        <w:fldChar w:fldCharType="begin">
          <w:fldData xml:space="preserve">PEVuZE5vdGU+PENpdGU+PEF1dGhvcj5Nb2hhbW1hZGk8L0F1dGhvcj48WWVhcj4yMDI1PC9ZZWFy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</w:fldData>
        </w:fldChar>
      </w:r>
      <w:r w:rsidR="00D204D4">
        <w:rPr>
          <w:rFonts w:asciiTheme="majorBidi" w:hAnsiTheme="majorBidi" w:cstheme="majorBidi"/>
        </w:rPr>
        <w:instrText xml:space="preserve"> ADDIN EN.CITE </w:instrText>
      </w:r>
      <w:r w:rsidR="00D204D4">
        <w:rPr>
          <w:rFonts w:asciiTheme="majorBidi" w:hAnsiTheme="majorBidi" w:cstheme="majorBidi"/>
        </w:rPr>
        <w:fldChar w:fldCharType="begin">
          <w:fldData xml:space="preserve">PEVuZE5vdGU+PENpdGU+PEF1dGhvcj5Nb2hhbW1hZGk8L0F1dGhvcj48WWVhcj4yMDI1PC9ZZWFy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</w:fldData>
        </w:fldChar>
      </w:r>
      <w:r w:rsidR="00D204D4">
        <w:rPr>
          <w:rFonts w:asciiTheme="majorBidi" w:hAnsiTheme="majorBidi" w:cstheme="majorBidi"/>
        </w:rPr>
        <w:instrText xml:space="preserve"> ADDIN EN.CITE.DATA </w:instrText>
      </w:r>
      <w:r w:rsidR="00D204D4">
        <w:rPr>
          <w:rFonts w:asciiTheme="majorBidi" w:hAnsiTheme="majorBidi" w:cstheme="majorBidi"/>
        </w:rPr>
      </w:r>
      <w:r w:rsidR="00D204D4">
        <w:rPr>
          <w:rFonts w:asciiTheme="majorBidi" w:hAnsiTheme="majorBidi" w:cstheme="majorBidi"/>
        </w:rPr>
        <w:fldChar w:fldCharType="end"/>
      </w:r>
      <w:r w:rsidRPr="003031D0">
        <w:rPr>
          <w:rFonts w:asciiTheme="majorBidi" w:hAnsiTheme="majorBidi" w:cstheme="majorBidi"/>
        </w:rPr>
      </w:r>
      <w:r w:rsidRPr="003031D0">
        <w:rPr>
          <w:rFonts w:asciiTheme="majorBidi" w:hAnsiTheme="majorBidi" w:cstheme="majorBidi"/>
        </w:rPr>
        <w:fldChar w:fldCharType="separate"/>
      </w:r>
      <w:r w:rsidR="00D204D4" w:rsidRPr="00D204D4">
        <w:rPr>
          <w:rFonts w:asciiTheme="majorBidi" w:hAnsiTheme="majorBidi" w:cstheme="majorBidi"/>
          <w:noProof/>
          <w:vertAlign w:val="superscript"/>
        </w:rPr>
        <w:t>1,2</w:t>
      </w:r>
      <w:r w:rsidRPr="003031D0">
        <w:rPr>
          <w:rFonts w:asciiTheme="majorBidi" w:hAnsiTheme="majorBidi" w:cstheme="majorBidi"/>
        </w:rPr>
        <w:fldChar w:fldCharType="end"/>
      </w:r>
      <w:r w:rsidRPr="003031D0">
        <w:rPr>
          <w:rFonts w:asciiTheme="majorBidi" w:hAnsiTheme="majorBidi" w:cstheme="majorBidi"/>
        </w:rPr>
        <w:t>.</w:t>
      </w:r>
    </w:p>
    <w:p w14:paraId="7606A3F4" w14:textId="77CCCEF5" w:rsidR="00C6503C" w:rsidRDefault="00C6503C" w:rsidP="009F4544">
      <w:pPr>
        <w:pStyle w:val="NormalWeb"/>
        <w:spacing w:line="480" w:lineRule="auto"/>
        <w:jc w:val="both"/>
        <w:rPr>
          <w:rFonts w:asciiTheme="majorBidi" w:hAnsiTheme="majorBidi" w:cstheme="majorBidi"/>
          <w:color w:val="FF0000"/>
        </w:rPr>
      </w:pPr>
    </w:p>
    <w:p w14:paraId="072C8F02" w14:textId="6F87E425" w:rsidR="00C6503C" w:rsidRDefault="00CE0937" w:rsidP="009F4544">
      <w:pPr>
        <w:pStyle w:val="NormalWeb"/>
        <w:spacing w:line="480" w:lineRule="auto"/>
        <w:jc w:val="center"/>
        <w:rPr>
          <w:rFonts w:asciiTheme="majorBidi" w:hAnsiTheme="majorBidi" w:cstheme="majorBidi"/>
          <w:color w:val="FF0000"/>
        </w:rPr>
      </w:pPr>
      <w:r>
        <w:rPr>
          <w:rFonts w:asciiTheme="majorBidi" w:hAnsiTheme="majorBidi" w:cstheme="majorBidi"/>
          <w:noProof/>
          <w:color w:val="FF0000"/>
        </w:rPr>
        <w:lastRenderedPageBreak/>
        <w:drawing>
          <wp:inline distT="0" distB="0" distL="0" distR="0" wp14:anchorId="4B484E2F" wp14:editId="08114B7C">
            <wp:extent cx="5037151" cy="42519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39242" cy="4253745"/>
                    </a:xfrm>
                    <a:prstGeom prst="rect">
                      <a:avLst/>
                    </a:prstGeom>
                  </pic:spPr>
                </pic:pic>
              </a:graphicData>
            </a:graphic>
          </wp:inline>
        </w:drawing>
      </w:r>
      <w:r w:rsidR="00F07041">
        <w:rPr>
          <w:rFonts w:asciiTheme="majorBidi" w:hAnsiTheme="majorBidi" w:cstheme="majorBidi"/>
          <w:noProof/>
          <w:color w:val="FF0000"/>
        </w:rPr>
        <w:t xml:space="preserve"> </w:t>
      </w:r>
    </w:p>
    <w:p w14:paraId="7F7AAC5D" w14:textId="1470FFF0" w:rsidR="00900143" w:rsidRPr="00B53521" w:rsidRDefault="00B53521" w:rsidP="009F4544">
      <w:pPr>
        <w:spacing w:line="480" w:lineRule="auto"/>
        <w:jc w:val="both"/>
        <w:rPr>
          <w:rFonts w:asciiTheme="majorBidi" w:hAnsiTheme="majorBidi" w:cstheme="majorBidi"/>
          <w:b/>
          <w:bCs/>
          <w:sz w:val="20"/>
          <w:szCs w:val="20"/>
        </w:rPr>
      </w:pPr>
      <w:r w:rsidRPr="002A4E7A">
        <w:rPr>
          <w:rStyle w:val="Strong"/>
          <w:rFonts w:asciiTheme="majorBidi" w:hAnsiTheme="majorBidi" w:cstheme="majorBidi"/>
          <w:sz w:val="20"/>
          <w:szCs w:val="20"/>
        </w:rPr>
        <w:t>Fig</w:t>
      </w:r>
      <w:r w:rsidR="005B068E" w:rsidRPr="002A4E7A">
        <w:rPr>
          <w:rStyle w:val="Strong"/>
          <w:rFonts w:asciiTheme="majorBidi" w:hAnsiTheme="majorBidi" w:cstheme="majorBidi"/>
          <w:sz w:val="20"/>
          <w:szCs w:val="20"/>
        </w:rPr>
        <w:t>.</w:t>
      </w:r>
      <w:r w:rsidRPr="002A4E7A">
        <w:rPr>
          <w:rStyle w:val="Strong"/>
          <w:rFonts w:asciiTheme="majorBidi" w:hAnsiTheme="majorBidi" w:cstheme="majorBidi"/>
          <w:sz w:val="20"/>
          <w:szCs w:val="20"/>
        </w:rPr>
        <w:t xml:space="preserve"> S</w:t>
      </w:r>
      <w:r w:rsidR="00D204D4" w:rsidRPr="002A4E7A">
        <w:rPr>
          <w:rStyle w:val="Strong"/>
          <w:rFonts w:asciiTheme="majorBidi" w:hAnsiTheme="majorBidi" w:cstheme="majorBidi"/>
          <w:sz w:val="20"/>
          <w:szCs w:val="20"/>
        </w:rPr>
        <w:t>2</w:t>
      </w:r>
      <w:r w:rsidRPr="002A4E7A">
        <w:rPr>
          <w:rStyle w:val="Strong"/>
          <w:rFonts w:asciiTheme="majorBidi" w:hAnsiTheme="majorBidi" w:cstheme="majorBidi"/>
          <w:sz w:val="20"/>
          <w:szCs w:val="20"/>
        </w:rPr>
        <w:t>.</w:t>
      </w:r>
      <w:r w:rsidRPr="002A4E7A">
        <w:rPr>
          <w:rFonts w:asciiTheme="majorBidi" w:hAnsiTheme="majorBidi" w:cstheme="majorBidi"/>
          <w:b/>
          <w:bCs/>
          <w:sz w:val="20"/>
          <w:szCs w:val="20"/>
        </w:rPr>
        <w:t xml:space="preserve"> ATR-FTIR characterization of the sensor surface.</w:t>
      </w:r>
      <w:r w:rsidRPr="00B53521">
        <w:rPr>
          <w:rFonts w:asciiTheme="majorBidi" w:hAnsiTheme="majorBidi" w:cstheme="majorBidi"/>
          <w:sz w:val="20"/>
          <w:szCs w:val="20"/>
        </w:rPr>
        <w:t xml:space="preserve"> Comparison between APTES-functionalized </w:t>
      </w:r>
      <w:proofErr w:type="spellStart"/>
      <w:r w:rsidRPr="00B53521">
        <w:rPr>
          <w:rFonts w:asciiTheme="majorBidi" w:hAnsiTheme="majorBidi" w:cstheme="majorBidi"/>
          <w:sz w:val="20"/>
          <w:szCs w:val="20"/>
        </w:rPr>
        <w:t>PSi</w:t>
      </w:r>
      <w:proofErr w:type="spellEnd"/>
      <w:r w:rsidRPr="00B53521">
        <w:rPr>
          <w:rFonts w:asciiTheme="majorBidi" w:hAnsiTheme="majorBidi" w:cstheme="majorBidi"/>
          <w:sz w:val="20"/>
          <w:szCs w:val="20"/>
        </w:rPr>
        <w:t xml:space="preserve"> (blue) and gelatin-immobilized </w:t>
      </w:r>
      <w:proofErr w:type="spellStart"/>
      <w:r w:rsidRPr="00B53521">
        <w:rPr>
          <w:rFonts w:asciiTheme="majorBidi" w:hAnsiTheme="majorBidi" w:cstheme="majorBidi"/>
          <w:sz w:val="20"/>
          <w:szCs w:val="20"/>
        </w:rPr>
        <w:t>PSi</w:t>
      </w:r>
      <w:proofErr w:type="spellEnd"/>
      <w:r w:rsidRPr="00B53521">
        <w:rPr>
          <w:rFonts w:asciiTheme="majorBidi" w:hAnsiTheme="majorBidi" w:cstheme="majorBidi"/>
          <w:sz w:val="20"/>
          <w:szCs w:val="20"/>
        </w:rPr>
        <w:t xml:space="preserve"> (red) surfaces. The labels indicate the characteristic vibrational modes of APTES (N-H, C-H, Si-O-Si) and the newly formed amide and imine bonds (Amide I, II, and CH=N) following gelatin deposition and GA-mediated crosslinking. The schematic insets represent the molecular assembly at each modification stage.</w:t>
      </w:r>
    </w:p>
    <w:p w14:paraId="25FB33AD" w14:textId="77777777" w:rsidR="000F62D0" w:rsidRPr="00900143" w:rsidRDefault="000F62D0" w:rsidP="009F4544">
      <w:pPr>
        <w:spacing w:line="480" w:lineRule="auto"/>
        <w:jc w:val="both"/>
        <w:rPr>
          <w:rFonts w:asciiTheme="majorBidi" w:hAnsiTheme="majorBidi" w:cstheme="majorBidi"/>
          <w:sz w:val="24"/>
          <w:szCs w:val="24"/>
          <w:highlight w:val="cyan"/>
        </w:rPr>
      </w:pPr>
      <w:bookmarkStart w:id="0" w:name="_GoBack"/>
      <w:bookmarkEnd w:id="0"/>
    </w:p>
    <w:p w14:paraId="6EB4E3C2" w14:textId="6AC89C5F" w:rsidR="00D204D4" w:rsidRPr="009B520B" w:rsidRDefault="009B520B" w:rsidP="009F4544">
      <w:pPr>
        <w:spacing w:before="240" w:after="0" w:line="480" w:lineRule="auto"/>
        <w:jc w:val="both"/>
        <w:rPr>
          <w:rFonts w:asciiTheme="majorBidi" w:hAnsiTheme="majorBidi" w:cstheme="majorBidi"/>
          <w:b/>
          <w:bCs/>
          <w:sz w:val="24"/>
          <w:szCs w:val="24"/>
          <w:lang w:bidi="fa-IR"/>
        </w:rPr>
      </w:pPr>
      <w:r w:rsidRPr="00C36EDB">
        <w:rPr>
          <w:rFonts w:asciiTheme="majorBidi" w:hAnsiTheme="majorBidi" w:cstheme="majorBidi"/>
          <w:b/>
          <w:bCs/>
          <w:sz w:val="24"/>
          <w:szCs w:val="24"/>
          <w:lang w:bidi="fa-IR"/>
        </w:rPr>
        <w:t>References</w:t>
      </w:r>
    </w:p>
    <w:p w14:paraId="07FC8ECD" w14:textId="340E87A3" w:rsidR="00D204D4" w:rsidRPr="000A4973" w:rsidRDefault="00D204D4" w:rsidP="009F4544">
      <w:pPr>
        <w:pStyle w:val="EndNoteBibliography"/>
        <w:spacing w:after="0" w:line="480" w:lineRule="auto"/>
        <w:ind w:left="720" w:hanging="720"/>
        <w:jc w:val="both"/>
        <w:rPr>
          <w:rFonts w:asciiTheme="majorBidi" w:hAnsiTheme="majorBidi" w:cstheme="majorBidi"/>
        </w:rPr>
      </w:pPr>
      <w:r w:rsidRPr="000A4973">
        <w:rPr>
          <w:rFonts w:asciiTheme="majorBidi" w:hAnsiTheme="majorBidi" w:cstheme="majorBidi"/>
          <w:lang w:bidi="fa-IR"/>
        </w:rPr>
        <w:fldChar w:fldCharType="begin"/>
      </w:r>
      <w:r w:rsidRPr="000A4973">
        <w:rPr>
          <w:rFonts w:asciiTheme="majorBidi" w:hAnsiTheme="majorBidi" w:cstheme="majorBidi"/>
          <w:lang w:bidi="fa-IR"/>
        </w:rPr>
        <w:instrText xml:space="preserve"> ADDIN EN.REFLIST </w:instrText>
      </w:r>
      <w:r w:rsidRPr="000A4973">
        <w:rPr>
          <w:rFonts w:asciiTheme="majorBidi" w:hAnsiTheme="majorBidi" w:cstheme="majorBidi"/>
          <w:lang w:bidi="fa-IR"/>
        </w:rPr>
        <w:fldChar w:fldCharType="separate"/>
      </w:r>
      <w:r w:rsidRPr="000A4973">
        <w:rPr>
          <w:rFonts w:asciiTheme="majorBidi" w:hAnsiTheme="majorBidi" w:cstheme="majorBidi"/>
        </w:rPr>
        <w:t>1</w:t>
      </w:r>
      <w:r w:rsidRPr="000A4973">
        <w:rPr>
          <w:rFonts w:asciiTheme="majorBidi" w:hAnsiTheme="majorBidi" w:cstheme="majorBidi"/>
        </w:rPr>
        <w:tab/>
        <w:t>Mohammadi, S.</w:t>
      </w:r>
      <w:r w:rsidRPr="000A4973">
        <w:rPr>
          <w:rFonts w:asciiTheme="majorBidi" w:hAnsiTheme="majorBidi" w:cstheme="majorBidi"/>
          <w:i/>
        </w:rPr>
        <w:t xml:space="preserve"> </w:t>
      </w:r>
      <w:r w:rsidRPr="000A4973">
        <w:rPr>
          <w:rFonts w:asciiTheme="majorBidi" w:hAnsiTheme="majorBidi" w:cstheme="majorBidi"/>
          <w:iCs/>
        </w:rPr>
        <w:t>et al.</w:t>
      </w:r>
      <w:r w:rsidRPr="000A4973">
        <w:rPr>
          <w:rFonts w:asciiTheme="majorBidi" w:hAnsiTheme="majorBidi" w:cstheme="majorBidi"/>
        </w:rPr>
        <w:t xml:space="preserve"> Design, fabrication, and characterization of microfluidic-based interferometric porous silicon aptasensors for multiplexed sepsis biomarkers detection. </w:t>
      </w:r>
      <w:r w:rsidR="009B520B" w:rsidRPr="000A4973">
        <w:rPr>
          <w:rFonts w:asciiTheme="majorBidi" w:hAnsiTheme="majorBidi" w:cstheme="majorBidi"/>
          <w:i/>
          <w:iCs/>
        </w:rPr>
        <w:t>Sens. Actuators Rep.</w:t>
      </w:r>
      <w:r w:rsidR="009B520B" w:rsidRPr="000A4973">
        <w:rPr>
          <w:rFonts w:asciiTheme="majorBidi" w:hAnsiTheme="majorBidi" w:cstheme="majorBidi"/>
          <w:b/>
          <w:i/>
          <w:iCs/>
        </w:rPr>
        <w:t xml:space="preserve"> </w:t>
      </w:r>
      <w:r w:rsidRPr="000A4973">
        <w:rPr>
          <w:rFonts w:asciiTheme="majorBidi" w:hAnsiTheme="majorBidi" w:cstheme="majorBidi"/>
          <w:b/>
        </w:rPr>
        <w:t>10</w:t>
      </w:r>
      <w:r w:rsidRPr="000A4973">
        <w:rPr>
          <w:rFonts w:asciiTheme="majorBidi" w:hAnsiTheme="majorBidi" w:cstheme="majorBidi"/>
        </w:rPr>
        <w:t>, 100382 (2025).</w:t>
      </w:r>
    </w:p>
    <w:p w14:paraId="1839D61B" w14:textId="08C98B82" w:rsidR="00D204D4" w:rsidRPr="000A4973" w:rsidRDefault="00D204D4" w:rsidP="009F4544">
      <w:pPr>
        <w:pStyle w:val="EndNoteBibliography"/>
        <w:spacing w:line="480" w:lineRule="auto"/>
        <w:ind w:left="720" w:hanging="720"/>
        <w:jc w:val="both"/>
        <w:rPr>
          <w:rFonts w:asciiTheme="majorBidi" w:hAnsiTheme="majorBidi" w:cstheme="majorBidi"/>
        </w:rPr>
      </w:pPr>
      <w:r w:rsidRPr="000A4973">
        <w:rPr>
          <w:rFonts w:asciiTheme="majorBidi" w:hAnsiTheme="majorBidi" w:cstheme="majorBidi"/>
        </w:rPr>
        <w:t>2</w:t>
      </w:r>
      <w:r w:rsidRPr="000A4973">
        <w:rPr>
          <w:rFonts w:asciiTheme="majorBidi" w:hAnsiTheme="majorBidi" w:cstheme="majorBidi"/>
        </w:rPr>
        <w:tab/>
        <w:t xml:space="preserve">Ji, F., Zhou, W., Zhang, Z. &amp; Zhang, B. Effects of Relative Molecular Weight Distribution and Isoelectric Point on the Swelling Behavior of Gelatin Films. </w:t>
      </w:r>
      <w:r w:rsidRPr="000A4973">
        <w:rPr>
          <w:rFonts w:asciiTheme="majorBidi" w:hAnsiTheme="majorBidi" w:cstheme="majorBidi"/>
          <w:i/>
        </w:rPr>
        <w:t>Front Chem</w:t>
      </w:r>
      <w:r w:rsidRPr="000A4973">
        <w:rPr>
          <w:rFonts w:asciiTheme="majorBidi" w:hAnsiTheme="majorBidi" w:cstheme="majorBidi"/>
        </w:rPr>
        <w:t xml:space="preserve"> </w:t>
      </w:r>
      <w:r w:rsidRPr="000A4973">
        <w:rPr>
          <w:rFonts w:asciiTheme="majorBidi" w:hAnsiTheme="majorBidi" w:cstheme="majorBidi"/>
          <w:b/>
        </w:rPr>
        <w:t>10</w:t>
      </w:r>
      <w:r w:rsidRPr="000A4973">
        <w:rPr>
          <w:rFonts w:asciiTheme="majorBidi" w:hAnsiTheme="majorBidi" w:cstheme="majorBidi"/>
        </w:rPr>
        <w:t xml:space="preserve"> (2022).</w:t>
      </w:r>
    </w:p>
    <w:p w14:paraId="08F9DD49" w14:textId="7EFF0398" w:rsidR="00DC08CE" w:rsidRPr="00900143" w:rsidRDefault="00D204D4" w:rsidP="009F4544">
      <w:pPr>
        <w:spacing w:after="0" w:line="480" w:lineRule="auto"/>
        <w:jc w:val="both"/>
        <w:rPr>
          <w:rFonts w:asciiTheme="majorBidi" w:hAnsiTheme="majorBidi" w:cstheme="majorBidi"/>
          <w:sz w:val="24"/>
          <w:szCs w:val="24"/>
          <w:lang w:bidi="fa-IR"/>
        </w:rPr>
      </w:pPr>
      <w:r w:rsidRPr="000A4973">
        <w:rPr>
          <w:rFonts w:asciiTheme="majorBidi" w:hAnsiTheme="majorBidi" w:cstheme="majorBidi"/>
          <w:lang w:bidi="fa-IR"/>
        </w:rPr>
        <w:lastRenderedPageBreak/>
        <w:fldChar w:fldCharType="end"/>
      </w:r>
    </w:p>
    <w:sectPr w:rsidR="00DC08CE" w:rsidRPr="00900143" w:rsidSect="00B01B1C">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E781F" w16cex:dateUtc="2026-06-06T07:12:00Z"/>
  <w16cex:commentExtensible w16cex:durableId="2DCE7825" w16cex:dateUtc="2026-06-06T07:1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altName w:val="Arial"/>
    <w:panose1 w:val="020B0502040204020203"/>
    <w:charset w:val="00"/>
    <w:family w:val="swiss"/>
    <w:pitch w:val="variable"/>
    <w:sig w:usb0="E10022FF" w:usb1="C000E47F" w:usb2="00000029" w:usb3="00000000" w:csb0="000001DF" w:csb1="00000000"/>
  </w:font>
  <w:font w:name="B Lotus">
    <w:altName w:val="Arial"/>
    <w:panose1 w:val="00000400000000000000"/>
    <w:charset w:val="B2"/>
    <w:family w:val="auto"/>
    <w:pitch w:val="variable"/>
    <w:sig w:usb0="00002001" w:usb1="80000000" w:usb2="00000008" w:usb3="00000000" w:csb0="0000004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icrosyst Nanoeng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82E7F"/>
    <w:rsid w:val="00002A8C"/>
    <w:rsid w:val="00006E56"/>
    <w:rsid w:val="00025599"/>
    <w:rsid w:val="000266D4"/>
    <w:rsid w:val="00034A95"/>
    <w:rsid w:val="00037364"/>
    <w:rsid w:val="000525CA"/>
    <w:rsid w:val="00072A9E"/>
    <w:rsid w:val="00072FE1"/>
    <w:rsid w:val="000853AF"/>
    <w:rsid w:val="000A4973"/>
    <w:rsid w:val="000B5C1D"/>
    <w:rsid w:val="000F4DE8"/>
    <w:rsid w:val="000F59A6"/>
    <w:rsid w:val="000F62D0"/>
    <w:rsid w:val="001260FB"/>
    <w:rsid w:val="00137D66"/>
    <w:rsid w:val="00137EA9"/>
    <w:rsid w:val="001415D1"/>
    <w:rsid w:val="001508BA"/>
    <w:rsid w:val="00156561"/>
    <w:rsid w:val="00172B71"/>
    <w:rsid w:val="00184D77"/>
    <w:rsid w:val="001A779B"/>
    <w:rsid w:val="001B2973"/>
    <w:rsid w:val="001B7B58"/>
    <w:rsid w:val="001D5D16"/>
    <w:rsid w:val="001F2184"/>
    <w:rsid w:val="0023019C"/>
    <w:rsid w:val="0025232A"/>
    <w:rsid w:val="002528AF"/>
    <w:rsid w:val="00254BAD"/>
    <w:rsid w:val="00261A16"/>
    <w:rsid w:val="00267B87"/>
    <w:rsid w:val="002A3173"/>
    <w:rsid w:val="002A4E7A"/>
    <w:rsid w:val="002B239F"/>
    <w:rsid w:val="002B6DBC"/>
    <w:rsid w:val="002B7C6B"/>
    <w:rsid w:val="00300ED4"/>
    <w:rsid w:val="00302BEE"/>
    <w:rsid w:val="003031D0"/>
    <w:rsid w:val="00325503"/>
    <w:rsid w:val="00342F8E"/>
    <w:rsid w:val="00347128"/>
    <w:rsid w:val="00356660"/>
    <w:rsid w:val="0036272F"/>
    <w:rsid w:val="003906B9"/>
    <w:rsid w:val="0039584B"/>
    <w:rsid w:val="003962E4"/>
    <w:rsid w:val="003A52D8"/>
    <w:rsid w:val="003C3A3D"/>
    <w:rsid w:val="003C6309"/>
    <w:rsid w:val="003D029E"/>
    <w:rsid w:val="003E72D2"/>
    <w:rsid w:val="003F1987"/>
    <w:rsid w:val="003F46B0"/>
    <w:rsid w:val="00423A90"/>
    <w:rsid w:val="00455F81"/>
    <w:rsid w:val="004A5A11"/>
    <w:rsid w:val="004C2F1D"/>
    <w:rsid w:val="004C7E27"/>
    <w:rsid w:val="004D4363"/>
    <w:rsid w:val="004D7531"/>
    <w:rsid w:val="004E696F"/>
    <w:rsid w:val="005019E1"/>
    <w:rsid w:val="0051246C"/>
    <w:rsid w:val="0052319F"/>
    <w:rsid w:val="00546245"/>
    <w:rsid w:val="005627BD"/>
    <w:rsid w:val="00563717"/>
    <w:rsid w:val="0056565B"/>
    <w:rsid w:val="005676A5"/>
    <w:rsid w:val="005B068E"/>
    <w:rsid w:val="005B148E"/>
    <w:rsid w:val="005B35BD"/>
    <w:rsid w:val="005E433C"/>
    <w:rsid w:val="00601E15"/>
    <w:rsid w:val="0064021B"/>
    <w:rsid w:val="00647142"/>
    <w:rsid w:val="00663745"/>
    <w:rsid w:val="00663E6A"/>
    <w:rsid w:val="00663F7D"/>
    <w:rsid w:val="0068061D"/>
    <w:rsid w:val="006825C8"/>
    <w:rsid w:val="00701B59"/>
    <w:rsid w:val="00705050"/>
    <w:rsid w:val="007231F0"/>
    <w:rsid w:val="00724C93"/>
    <w:rsid w:val="00731A52"/>
    <w:rsid w:val="007339E8"/>
    <w:rsid w:val="00734FDD"/>
    <w:rsid w:val="007429A7"/>
    <w:rsid w:val="00752F6A"/>
    <w:rsid w:val="007B0F33"/>
    <w:rsid w:val="007B52B0"/>
    <w:rsid w:val="007B60A2"/>
    <w:rsid w:val="007C1F65"/>
    <w:rsid w:val="007E6D32"/>
    <w:rsid w:val="00834D41"/>
    <w:rsid w:val="0087596D"/>
    <w:rsid w:val="00882064"/>
    <w:rsid w:val="0088467A"/>
    <w:rsid w:val="00884B01"/>
    <w:rsid w:val="00887259"/>
    <w:rsid w:val="008A3F51"/>
    <w:rsid w:val="008C6D57"/>
    <w:rsid w:val="008E3F94"/>
    <w:rsid w:val="008E43D8"/>
    <w:rsid w:val="00900143"/>
    <w:rsid w:val="009531ED"/>
    <w:rsid w:val="00965949"/>
    <w:rsid w:val="009A0419"/>
    <w:rsid w:val="009B4A27"/>
    <w:rsid w:val="009B520B"/>
    <w:rsid w:val="009C15D6"/>
    <w:rsid w:val="009C4C38"/>
    <w:rsid w:val="009D1302"/>
    <w:rsid w:val="009D3675"/>
    <w:rsid w:val="009F2CBD"/>
    <w:rsid w:val="009F4544"/>
    <w:rsid w:val="00A3202C"/>
    <w:rsid w:val="00A50A3A"/>
    <w:rsid w:val="00A5238D"/>
    <w:rsid w:val="00A66628"/>
    <w:rsid w:val="00A82889"/>
    <w:rsid w:val="00A86285"/>
    <w:rsid w:val="00AB00C4"/>
    <w:rsid w:val="00AB1514"/>
    <w:rsid w:val="00AB35A1"/>
    <w:rsid w:val="00AB3E6E"/>
    <w:rsid w:val="00AC01E1"/>
    <w:rsid w:val="00AC54BE"/>
    <w:rsid w:val="00AD68F2"/>
    <w:rsid w:val="00AE0689"/>
    <w:rsid w:val="00AE2D37"/>
    <w:rsid w:val="00B01B1C"/>
    <w:rsid w:val="00B15670"/>
    <w:rsid w:val="00B30113"/>
    <w:rsid w:val="00B468B1"/>
    <w:rsid w:val="00B46FEE"/>
    <w:rsid w:val="00B53521"/>
    <w:rsid w:val="00B77B9F"/>
    <w:rsid w:val="00B80BB9"/>
    <w:rsid w:val="00B82E7F"/>
    <w:rsid w:val="00B931BC"/>
    <w:rsid w:val="00BB483D"/>
    <w:rsid w:val="00BC5281"/>
    <w:rsid w:val="00BD0406"/>
    <w:rsid w:val="00BE78CB"/>
    <w:rsid w:val="00C17539"/>
    <w:rsid w:val="00C27972"/>
    <w:rsid w:val="00C35458"/>
    <w:rsid w:val="00C405B0"/>
    <w:rsid w:val="00C628FD"/>
    <w:rsid w:val="00C6503C"/>
    <w:rsid w:val="00C749CF"/>
    <w:rsid w:val="00C91940"/>
    <w:rsid w:val="00C91B4A"/>
    <w:rsid w:val="00CA0E2A"/>
    <w:rsid w:val="00CB257B"/>
    <w:rsid w:val="00CD28BF"/>
    <w:rsid w:val="00CE0937"/>
    <w:rsid w:val="00CE4C3A"/>
    <w:rsid w:val="00D0095F"/>
    <w:rsid w:val="00D02082"/>
    <w:rsid w:val="00D073BF"/>
    <w:rsid w:val="00D163C0"/>
    <w:rsid w:val="00D204D4"/>
    <w:rsid w:val="00D20CD2"/>
    <w:rsid w:val="00D45A02"/>
    <w:rsid w:val="00D567C1"/>
    <w:rsid w:val="00D72267"/>
    <w:rsid w:val="00DB213F"/>
    <w:rsid w:val="00DC08CE"/>
    <w:rsid w:val="00DD6371"/>
    <w:rsid w:val="00DE3479"/>
    <w:rsid w:val="00DE715C"/>
    <w:rsid w:val="00E03A52"/>
    <w:rsid w:val="00E11351"/>
    <w:rsid w:val="00E16176"/>
    <w:rsid w:val="00E2230D"/>
    <w:rsid w:val="00E43CE5"/>
    <w:rsid w:val="00E7646C"/>
    <w:rsid w:val="00E87290"/>
    <w:rsid w:val="00E901EB"/>
    <w:rsid w:val="00EB0653"/>
    <w:rsid w:val="00EB1E2F"/>
    <w:rsid w:val="00ED2C49"/>
    <w:rsid w:val="00F07041"/>
    <w:rsid w:val="00F37456"/>
    <w:rsid w:val="00F721AF"/>
    <w:rsid w:val="00F869F3"/>
    <w:rsid w:val="00F900C9"/>
    <w:rsid w:val="00FA427C"/>
    <w:rsid w:val="00FB547E"/>
    <w:rsid w:val="00FC0EE3"/>
    <w:rsid w:val="00FF75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FC3CA"/>
  <w15:chartTrackingRefBased/>
  <w15:docId w15:val="{4B1271E2-96AF-4AC5-9130-A34CD0C8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1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B35A1"/>
    <w:rPr>
      <w:sz w:val="16"/>
      <w:szCs w:val="16"/>
    </w:rPr>
  </w:style>
  <w:style w:type="paragraph" w:styleId="CommentText">
    <w:name w:val="annotation text"/>
    <w:basedOn w:val="Normal"/>
    <w:link w:val="CommentTextChar"/>
    <w:uiPriority w:val="99"/>
    <w:semiHidden/>
    <w:unhideWhenUsed/>
    <w:rsid w:val="00AB35A1"/>
    <w:pPr>
      <w:spacing w:line="240" w:lineRule="auto"/>
    </w:pPr>
    <w:rPr>
      <w:sz w:val="20"/>
      <w:szCs w:val="20"/>
    </w:rPr>
  </w:style>
  <w:style w:type="character" w:customStyle="1" w:styleId="CommentTextChar">
    <w:name w:val="Comment Text Char"/>
    <w:basedOn w:val="DefaultParagraphFont"/>
    <w:link w:val="CommentText"/>
    <w:uiPriority w:val="99"/>
    <w:semiHidden/>
    <w:rsid w:val="00AB35A1"/>
    <w:rPr>
      <w:sz w:val="20"/>
      <w:szCs w:val="20"/>
    </w:rPr>
  </w:style>
  <w:style w:type="paragraph" w:styleId="CommentSubject">
    <w:name w:val="annotation subject"/>
    <w:basedOn w:val="CommentText"/>
    <w:next w:val="CommentText"/>
    <w:link w:val="CommentSubjectChar"/>
    <w:uiPriority w:val="99"/>
    <w:semiHidden/>
    <w:unhideWhenUsed/>
    <w:rsid w:val="00AB35A1"/>
    <w:rPr>
      <w:b/>
      <w:bCs/>
    </w:rPr>
  </w:style>
  <w:style w:type="character" w:customStyle="1" w:styleId="CommentSubjectChar">
    <w:name w:val="Comment Subject Char"/>
    <w:basedOn w:val="CommentTextChar"/>
    <w:link w:val="CommentSubject"/>
    <w:uiPriority w:val="99"/>
    <w:semiHidden/>
    <w:rsid w:val="00AB35A1"/>
    <w:rPr>
      <w:b/>
      <w:bCs/>
      <w:sz w:val="20"/>
      <w:szCs w:val="20"/>
    </w:rPr>
  </w:style>
  <w:style w:type="paragraph" w:styleId="BalloonText">
    <w:name w:val="Balloon Text"/>
    <w:basedOn w:val="Normal"/>
    <w:link w:val="BalloonTextChar"/>
    <w:uiPriority w:val="99"/>
    <w:semiHidden/>
    <w:unhideWhenUsed/>
    <w:rsid w:val="00AB35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5A1"/>
    <w:rPr>
      <w:rFonts w:ascii="Segoe UI" w:hAnsi="Segoe UI" w:cs="Segoe UI"/>
      <w:sz w:val="18"/>
      <w:szCs w:val="18"/>
    </w:rPr>
  </w:style>
  <w:style w:type="paragraph" w:styleId="NormalWeb">
    <w:name w:val="Normal (Web)"/>
    <w:basedOn w:val="Normal"/>
    <w:uiPriority w:val="99"/>
    <w:unhideWhenUsed/>
    <w:rsid w:val="00752F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52B0"/>
    <w:rPr>
      <w:b/>
      <w:bCs/>
    </w:rPr>
  </w:style>
  <w:style w:type="paragraph" w:customStyle="1" w:styleId="EndNoteBibliographyTitle">
    <w:name w:val="EndNote Bibliography Title"/>
    <w:basedOn w:val="Normal"/>
    <w:link w:val="EndNoteBibliographyTitleChar"/>
    <w:rsid w:val="00AB3E6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B3E6E"/>
    <w:rPr>
      <w:rFonts w:ascii="Calibri" w:hAnsi="Calibri" w:cs="Calibri"/>
      <w:noProof/>
    </w:rPr>
  </w:style>
  <w:style w:type="paragraph" w:customStyle="1" w:styleId="EndNoteBibliography">
    <w:name w:val="EndNote Bibliography"/>
    <w:basedOn w:val="Normal"/>
    <w:link w:val="EndNoteBibliographyChar"/>
    <w:rsid w:val="00AB3E6E"/>
    <w:pPr>
      <w:spacing w:line="240" w:lineRule="auto"/>
      <w:jc w:val="center"/>
    </w:pPr>
    <w:rPr>
      <w:rFonts w:ascii="Calibri" w:hAnsi="Calibri" w:cs="Calibri"/>
      <w:noProof/>
    </w:rPr>
  </w:style>
  <w:style w:type="character" w:customStyle="1" w:styleId="EndNoteBibliographyChar">
    <w:name w:val="EndNote Bibliography Char"/>
    <w:basedOn w:val="DefaultParagraphFont"/>
    <w:link w:val="EndNoteBibliography"/>
    <w:rsid w:val="00AB3E6E"/>
    <w:rPr>
      <w:rFonts w:ascii="Calibri" w:hAnsi="Calibri" w:cs="Calibri"/>
      <w:noProof/>
    </w:rPr>
  </w:style>
  <w:style w:type="character" w:customStyle="1" w:styleId="rynqvb">
    <w:name w:val="rynqvb"/>
    <w:basedOn w:val="DefaultParagraphFont"/>
    <w:rsid w:val="00701B59"/>
  </w:style>
  <w:style w:type="character" w:styleId="Hyperlink">
    <w:name w:val="Hyperlink"/>
    <w:basedOn w:val="DefaultParagraphFont"/>
    <w:uiPriority w:val="99"/>
    <w:unhideWhenUsed/>
    <w:rsid w:val="00D204D4"/>
    <w:rPr>
      <w:color w:val="0563C1" w:themeColor="hyperlink"/>
      <w:u w:val="single"/>
    </w:rPr>
  </w:style>
  <w:style w:type="character" w:styleId="UnresolvedMention">
    <w:name w:val="Unresolved Mention"/>
    <w:basedOn w:val="DefaultParagraphFont"/>
    <w:uiPriority w:val="99"/>
    <w:semiHidden/>
    <w:unhideWhenUsed/>
    <w:rsid w:val="00D204D4"/>
    <w:rPr>
      <w:color w:val="605E5C"/>
      <w:shd w:val="clear" w:color="auto" w:fill="E1DFDD"/>
    </w:rPr>
  </w:style>
  <w:style w:type="character" w:styleId="LineNumber">
    <w:name w:val="line number"/>
    <w:basedOn w:val="DefaultParagraphFont"/>
    <w:uiPriority w:val="99"/>
    <w:semiHidden/>
    <w:unhideWhenUsed/>
    <w:rsid w:val="00B01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798362">
      <w:bodyDiv w:val="1"/>
      <w:marLeft w:val="0"/>
      <w:marRight w:val="0"/>
      <w:marTop w:val="0"/>
      <w:marBottom w:val="0"/>
      <w:divBdr>
        <w:top w:val="none" w:sz="0" w:space="0" w:color="auto"/>
        <w:left w:val="none" w:sz="0" w:space="0" w:color="auto"/>
        <w:bottom w:val="none" w:sz="0" w:space="0" w:color="auto"/>
        <w:right w:val="none" w:sz="0" w:space="0" w:color="auto"/>
      </w:divBdr>
    </w:div>
    <w:div w:id="713621637">
      <w:bodyDiv w:val="1"/>
      <w:marLeft w:val="0"/>
      <w:marRight w:val="0"/>
      <w:marTop w:val="0"/>
      <w:marBottom w:val="0"/>
      <w:divBdr>
        <w:top w:val="none" w:sz="0" w:space="0" w:color="auto"/>
        <w:left w:val="none" w:sz="0" w:space="0" w:color="auto"/>
        <w:bottom w:val="none" w:sz="0" w:space="0" w:color="auto"/>
        <w:right w:val="none" w:sz="0" w:space="0" w:color="auto"/>
      </w:divBdr>
    </w:div>
    <w:div w:id="1875146519">
      <w:bodyDiv w:val="1"/>
      <w:marLeft w:val="0"/>
      <w:marRight w:val="0"/>
      <w:marTop w:val="0"/>
      <w:marBottom w:val="0"/>
      <w:divBdr>
        <w:top w:val="none" w:sz="0" w:space="0" w:color="auto"/>
        <w:left w:val="none" w:sz="0" w:space="0" w:color="auto"/>
        <w:bottom w:val="none" w:sz="0" w:space="0" w:color="auto"/>
        <w:right w:val="none" w:sz="0" w:space="0" w:color="auto"/>
      </w:divBdr>
      <w:divsChild>
        <w:div w:id="1537153717">
          <w:marLeft w:val="0"/>
          <w:marRight w:val="0"/>
          <w:marTop w:val="0"/>
          <w:marBottom w:val="0"/>
          <w:divBdr>
            <w:top w:val="none" w:sz="0" w:space="0" w:color="auto"/>
            <w:left w:val="none" w:sz="0" w:space="0" w:color="auto"/>
            <w:bottom w:val="none" w:sz="0" w:space="0" w:color="auto"/>
            <w:right w:val="none" w:sz="0" w:space="0" w:color="auto"/>
          </w:divBdr>
          <w:divsChild>
            <w:div w:id="642809066">
              <w:marLeft w:val="0"/>
              <w:marRight w:val="0"/>
              <w:marTop w:val="0"/>
              <w:marBottom w:val="0"/>
              <w:divBdr>
                <w:top w:val="none" w:sz="0" w:space="0" w:color="auto"/>
                <w:left w:val="none" w:sz="0" w:space="0" w:color="auto"/>
                <w:bottom w:val="none" w:sz="0" w:space="0" w:color="auto"/>
                <w:right w:val="none" w:sz="0" w:space="0" w:color="auto"/>
              </w:divBdr>
              <w:divsChild>
                <w:div w:id="963270226">
                  <w:marLeft w:val="0"/>
                  <w:marRight w:val="0"/>
                  <w:marTop w:val="0"/>
                  <w:marBottom w:val="0"/>
                  <w:divBdr>
                    <w:top w:val="none" w:sz="0" w:space="0" w:color="auto"/>
                    <w:left w:val="none" w:sz="0" w:space="0" w:color="auto"/>
                    <w:bottom w:val="none" w:sz="0" w:space="0" w:color="auto"/>
                    <w:right w:val="none" w:sz="0" w:space="0" w:color="auto"/>
                  </w:divBdr>
                  <w:divsChild>
                    <w:div w:id="38760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862004">
          <w:marLeft w:val="0"/>
          <w:marRight w:val="0"/>
          <w:marTop w:val="0"/>
          <w:marBottom w:val="0"/>
          <w:divBdr>
            <w:top w:val="none" w:sz="0" w:space="0" w:color="auto"/>
            <w:left w:val="none" w:sz="0" w:space="0" w:color="auto"/>
            <w:bottom w:val="none" w:sz="0" w:space="0" w:color="auto"/>
            <w:right w:val="none" w:sz="0" w:space="0" w:color="auto"/>
          </w:divBdr>
          <w:divsChild>
            <w:div w:id="782847566">
              <w:marLeft w:val="0"/>
              <w:marRight w:val="0"/>
              <w:marTop w:val="0"/>
              <w:marBottom w:val="0"/>
              <w:divBdr>
                <w:top w:val="none" w:sz="0" w:space="0" w:color="auto"/>
                <w:left w:val="none" w:sz="0" w:space="0" w:color="auto"/>
                <w:bottom w:val="none" w:sz="0" w:space="0" w:color="auto"/>
                <w:right w:val="none" w:sz="0" w:space="0" w:color="auto"/>
              </w:divBdr>
              <w:divsChild>
                <w:div w:id="720444929">
                  <w:marLeft w:val="0"/>
                  <w:marRight w:val="0"/>
                  <w:marTop w:val="0"/>
                  <w:marBottom w:val="0"/>
                  <w:divBdr>
                    <w:top w:val="none" w:sz="0" w:space="0" w:color="auto"/>
                    <w:left w:val="none" w:sz="0" w:space="0" w:color="auto"/>
                    <w:bottom w:val="none" w:sz="0" w:space="0" w:color="auto"/>
                    <w:right w:val="none" w:sz="0" w:space="0" w:color="auto"/>
                  </w:divBdr>
                  <w:divsChild>
                    <w:div w:id="334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nduran@mku.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7</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Shima Mohammadi</dc:creator>
  <cp:keywords/>
  <dc:description/>
  <cp:lastModifiedBy>Sony</cp:lastModifiedBy>
  <cp:revision>34</cp:revision>
  <dcterms:created xsi:type="dcterms:W3CDTF">2026-05-04T16:30:00Z</dcterms:created>
  <dcterms:modified xsi:type="dcterms:W3CDTF">2026-08-06T14:10:00Z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