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Supplementary table 1; Search strategy used in the study </w:t>
      </w:r>
    </w:p>
    <w:p w:rsidR="00000000" w:rsidDel="00000000" w:rsidP="00000000" w:rsidRDefault="00000000" w:rsidRPr="00000000" w14:paraId="00000002">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Databases used</w:t>
            </w:r>
          </w:p>
        </w:tc>
        <w:tc>
          <w:tcPr>
            <w:tcMar>
              <w:top w:w="100.0" w:type="dxa"/>
              <w:left w:w="100.0" w:type="dxa"/>
              <w:bottom w:w="100.0" w:type="dxa"/>
              <w:right w:w="100.0" w:type="dxa"/>
            </w:tcMar>
          </w:tcPr>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Search strategy used</w:t>
            </w:r>
          </w:p>
        </w:tc>
        <w:tc>
          <w:tcPr>
            <w:tcMar>
              <w:top w:w="100.0" w:type="dxa"/>
              <w:left w:w="100.0" w:type="dxa"/>
              <w:bottom w:w="100.0" w:type="dxa"/>
              <w:right w:w="100.0" w:type="dxa"/>
            </w:tcMar>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Filters used</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PubMed, Google Scholar, Scopus, Embase, EBSCO, Web of Science, Clinical Trials Registry India, the Trials Register of the Cochrane Oral Health Group, Cochrane Central Register of Controlled Trials (CENTRAL), PROSPERO and the National Institutes of Health Trials Register.</w:t>
            </w:r>
          </w:p>
        </w:tc>
        <w:tc>
          <w:tcP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"Facial Paralysis"[Mesh]</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"Facial Nerve Diseases"[Mesh]</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facial palsy[tiab]</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facial paralysis[tiab]</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facial nerve paralysis[tiab]</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facial nerve palsy[tiab])</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AND</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"Facial Reanimation"[tiab]</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facial reanimation[tiab]</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dynamic facial reanimation[tiab]</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facial nerve reconstruction[tiab]</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facial rehabilitation[tiab])</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AND</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masseteric nerve transfer[tiab]</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masseteric-to-facial nerve transfer[tiab]</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masseteric nerve transposition[tiab]</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masseter-to-facial nerve transfer[tiab]</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fifth-to-seventh nerve transfer[tiab]</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masseteric neurotization[tiab])</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AND</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cross-facial nerve graft[tiab]</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cross facial nerve graft[tiab]</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cross-face nerve graft[tiab]</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cross-facial nerve transfer[tiab]</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CFNG[tiab])</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AND</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smile[tiab]</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smile excursion[tiab]</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oral commissure[tiab]</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commissure movement[tiab]</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facial symmetry[tiab]</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spontaneous smile[tiab]</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emotional smile[tiab]</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facial movement[tiab]</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synkinesis[tiab]</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FaCE[tiab]</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OR eFACE[tiab])</w:t>
            </w:r>
          </w:p>
        </w:tc>
        <w:tc>
          <w:tcPr>
            <w:tcMar>
              <w:top w:w="100.0" w:type="dxa"/>
              <w:left w:w="100.0" w:type="dxa"/>
              <w:bottom w:w="100.0" w:type="dxa"/>
              <w:right w:w="100.0" w:type="dxa"/>
            </w:tcMar>
          </w:tcPr>
          <w:p w:rsidR="00000000" w:rsidDel="00000000" w:rsidP="00000000" w:rsidRDefault="00000000" w:rsidRPr="00000000" w14:paraId="0000002C">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Articles published between January 01, 2000, and March 31, 2025</w:t>
            </w:r>
          </w:p>
          <w:p w:rsidR="00000000" w:rsidDel="00000000" w:rsidP="00000000" w:rsidRDefault="00000000" w:rsidRPr="00000000" w14:paraId="0000002D">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pPr>
            <w:r w:rsidDel="00000000" w:rsidR="00000000" w:rsidRPr="00000000">
              <w:rPr>
                <w:rtl w:val="0"/>
              </w:rPr>
              <w:t xml:space="preserve">Cohort/comparative observational, Cross sectional studies</w:t>
            </w:r>
          </w:p>
        </w:tc>
      </w:tr>
    </w:tbl>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tblPr>
      <w:tblStyleRowBandSize w:val="1"/>
      <w:tblStyleColBandSize w:val="1"/>
    </w:tblPr>
  </w:style>
  <w:style w:type="table" w:styleId="a0"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1"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wMvfPB7vmcJNQuilteJ1nni3kg==">CgMxLjA4AHIhMUdRWWxJYWZJQnBmZF9JZkZlX0VDdWs5VEwtcWFMMkZP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2026-08-05T12:15:00Z</dcterms:created>
</cp:coreProperties>
</file>