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53DD5" w14:textId="3CABCF13" w:rsidR="001B2506" w:rsidRPr="004637E4" w:rsidRDefault="003236AD" w:rsidP="001B2506">
      <w:pPr>
        <w:spacing w:after="0" w:line="480" w:lineRule="auto"/>
        <w:jc w:val="both"/>
        <w:rPr>
          <w:rStyle w:val="bzpyqfadein"/>
          <w:rFonts w:ascii="Times New Roman" w:eastAsia="Times New Roman" w:hAnsi="Times New Roman" w:cs="Times New Roman"/>
          <w:sz w:val="24"/>
          <w:szCs w:val="24"/>
          <w:lang w:eastAsia="en-ER"/>
        </w:rPr>
      </w:pPr>
      <w:r w:rsidRPr="003236AD">
        <w:rPr>
          <w:rFonts w:ascii="Times New Roman" w:hAnsi="Times New Roman" w:cs="Times New Roman"/>
          <w:b/>
          <w:bCs/>
          <w:sz w:val="24"/>
          <w:szCs w:val="24"/>
        </w:rPr>
        <w:t xml:space="preserve">Additional file </w:t>
      </w:r>
      <w:r w:rsidR="001B2506" w:rsidRPr="004637E4">
        <w:rPr>
          <w:rStyle w:val="bzpyqfadein"/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>S2</w:t>
      </w:r>
      <w:r w:rsidR="001B2506" w:rsidRPr="004637E4"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="001B2506" w:rsidRPr="004637E4">
        <w:rPr>
          <w:rStyle w:val="bzpyqfadein"/>
          <w:rFonts w:ascii="Times New Roman" w:hAnsi="Times New Roman" w:cs="Times New Roman"/>
          <w:sz w:val="24"/>
          <w:szCs w:val="24"/>
        </w:rPr>
        <w:t xml:space="preserve"> </w:t>
      </w:r>
      <w:r w:rsidR="001B2506" w:rsidRPr="004637E4">
        <w:rPr>
          <w:rStyle w:val="bzpyqfadein"/>
          <w:rFonts w:ascii="Times New Roman" w:hAnsi="Times New Roman" w:cs="Times New Roman"/>
          <w:b/>
          <w:bCs/>
          <w:sz w:val="24"/>
          <w:szCs w:val="24"/>
        </w:rPr>
        <w:t xml:space="preserve">Management concordance between reference and primary hospital management among </w:t>
      </w:r>
      <w:r w:rsidR="001B2506"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>the overall study populations</w:t>
      </w:r>
      <w:r w:rsidR="001B2506" w:rsidRPr="004637E4">
        <w:rPr>
          <w:rStyle w:val="bzpyqfadein"/>
          <w:rFonts w:ascii="Times New Roman" w:hAnsi="Times New Roman" w:cs="Times New Roman"/>
          <w:b/>
          <w:bCs/>
          <w:sz w:val="24"/>
          <w:szCs w:val="24"/>
        </w:rPr>
        <w:t xml:space="preserve"> (n=</w:t>
      </w:r>
      <w:r w:rsidR="001B2506"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>1103</w:t>
      </w:r>
      <w:r w:rsidR="001B2506" w:rsidRPr="004637E4">
        <w:rPr>
          <w:rStyle w:val="bzpyqfadein"/>
          <w:rFonts w:ascii="Times New Roman" w:hAnsi="Times New Roman" w:cs="Times New Roman"/>
          <w:b/>
          <w:bCs/>
          <w:sz w:val="24"/>
          <w:szCs w:val="24"/>
        </w:rPr>
        <w:t>)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2269"/>
        <w:gridCol w:w="2444"/>
        <w:gridCol w:w="2354"/>
        <w:gridCol w:w="2431"/>
      </w:tblGrid>
      <w:tr w:rsidR="001B2506" w:rsidRPr="001B2506" w14:paraId="5635DF43" w14:textId="77777777" w:rsidTr="001B2506">
        <w:tc>
          <w:tcPr>
            <w:tcW w:w="2269" w:type="dxa"/>
            <w:hideMark/>
          </w:tcPr>
          <w:p w14:paraId="6022FB60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  <w:t>Management category</w:t>
            </w:r>
          </w:p>
        </w:tc>
        <w:tc>
          <w:tcPr>
            <w:tcW w:w="2444" w:type="dxa"/>
            <w:hideMark/>
          </w:tcPr>
          <w:p w14:paraId="391283C4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  <w:t>Primary hospital management n (%, 95% CI)</w:t>
            </w:r>
          </w:p>
        </w:tc>
        <w:tc>
          <w:tcPr>
            <w:tcW w:w="0" w:type="auto"/>
            <w:hideMark/>
          </w:tcPr>
          <w:p w14:paraId="1655D3A4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  <w:t>Reference management n (%, 95% CI)</w:t>
            </w:r>
          </w:p>
        </w:tc>
        <w:tc>
          <w:tcPr>
            <w:tcW w:w="2431" w:type="dxa"/>
            <w:hideMark/>
          </w:tcPr>
          <w:p w14:paraId="75A50175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  <w:t>Correct management n (%, 95% CI)</w:t>
            </w:r>
          </w:p>
        </w:tc>
      </w:tr>
      <w:tr w:rsidR="001B2506" w:rsidRPr="001B2506" w14:paraId="0C3EE6FD" w14:textId="77777777" w:rsidTr="001B2506">
        <w:tc>
          <w:tcPr>
            <w:tcW w:w="2269" w:type="dxa"/>
            <w:hideMark/>
          </w:tcPr>
          <w:p w14:paraId="6BC2ED9F" w14:textId="77777777" w:rsidR="001B2506" w:rsidRPr="001B2506" w:rsidRDefault="001B2506" w:rsidP="001B25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Anti-scabies</w:t>
            </w:r>
          </w:p>
        </w:tc>
        <w:tc>
          <w:tcPr>
            <w:tcW w:w="2444" w:type="dxa"/>
            <w:hideMark/>
          </w:tcPr>
          <w:p w14:paraId="3022D643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106 (9.6, 8.0–11.5)</w:t>
            </w:r>
          </w:p>
        </w:tc>
        <w:tc>
          <w:tcPr>
            <w:tcW w:w="0" w:type="auto"/>
            <w:hideMark/>
          </w:tcPr>
          <w:p w14:paraId="43829897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83 (7.5, 6.1–9.2)</w:t>
            </w:r>
          </w:p>
        </w:tc>
        <w:tc>
          <w:tcPr>
            <w:tcW w:w="2431" w:type="dxa"/>
            <w:hideMark/>
          </w:tcPr>
          <w:p w14:paraId="0424A0F1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73 (88.0, 79.1–93.8)</w:t>
            </w:r>
          </w:p>
        </w:tc>
      </w:tr>
      <w:tr w:rsidR="001B2506" w:rsidRPr="001B2506" w14:paraId="20DD3707" w14:textId="77777777" w:rsidTr="001B2506">
        <w:tc>
          <w:tcPr>
            <w:tcW w:w="2269" w:type="dxa"/>
            <w:hideMark/>
          </w:tcPr>
          <w:p w14:paraId="64303C8B" w14:textId="77777777" w:rsidR="001B2506" w:rsidRPr="001B2506" w:rsidRDefault="001B2506" w:rsidP="001B25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SSG</w:t>
            </w:r>
          </w:p>
        </w:tc>
        <w:tc>
          <w:tcPr>
            <w:tcW w:w="2444" w:type="dxa"/>
            <w:hideMark/>
          </w:tcPr>
          <w:p w14:paraId="298F8906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88 (8.0, 6.5–9.7)</w:t>
            </w:r>
          </w:p>
        </w:tc>
        <w:tc>
          <w:tcPr>
            <w:tcW w:w="0" w:type="auto"/>
            <w:hideMark/>
          </w:tcPr>
          <w:p w14:paraId="02886D92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98 (8.9, 7.3–10.8)</w:t>
            </w:r>
          </w:p>
        </w:tc>
        <w:tc>
          <w:tcPr>
            <w:tcW w:w="2431" w:type="dxa"/>
            <w:hideMark/>
          </w:tcPr>
          <w:p w14:paraId="46E02AF8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84 (85.7, 77.4–91.3)</w:t>
            </w:r>
          </w:p>
        </w:tc>
      </w:tr>
      <w:tr w:rsidR="001B2506" w:rsidRPr="001B2506" w14:paraId="2C677B2B" w14:textId="77777777" w:rsidTr="001B2506">
        <w:tc>
          <w:tcPr>
            <w:tcW w:w="2269" w:type="dxa"/>
            <w:hideMark/>
          </w:tcPr>
          <w:p w14:paraId="6194C43C" w14:textId="77777777" w:rsidR="001B2506" w:rsidRPr="001B2506" w:rsidRDefault="001B2506" w:rsidP="001B25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Antibiotics</w:t>
            </w:r>
          </w:p>
        </w:tc>
        <w:tc>
          <w:tcPr>
            <w:tcW w:w="2444" w:type="dxa"/>
            <w:hideMark/>
          </w:tcPr>
          <w:p w14:paraId="23391095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246 (22.3, 19.9–24.9)</w:t>
            </w:r>
          </w:p>
        </w:tc>
        <w:tc>
          <w:tcPr>
            <w:tcW w:w="0" w:type="auto"/>
            <w:hideMark/>
          </w:tcPr>
          <w:p w14:paraId="5F3DF559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187 (17.0, 14.8–19.3)</w:t>
            </w:r>
          </w:p>
        </w:tc>
        <w:tc>
          <w:tcPr>
            <w:tcW w:w="2431" w:type="dxa"/>
            <w:hideMark/>
          </w:tcPr>
          <w:p w14:paraId="66FA53A3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151 (80.7, 74.5–85.7)</w:t>
            </w:r>
          </w:p>
        </w:tc>
      </w:tr>
      <w:tr w:rsidR="001B2506" w:rsidRPr="001B2506" w14:paraId="475ADC98" w14:textId="77777777" w:rsidTr="001B2506">
        <w:tc>
          <w:tcPr>
            <w:tcW w:w="2269" w:type="dxa"/>
            <w:hideMark/>
          </w:tcPr>
          <w:p w14:paraId="18ECEA21" w14:textId="77777777" w:rsidR="001B2506" w:rsidRPr="001B2506" w:rsidRDefault="001B2506" w:rsidP="001B25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Antiviral</w:t>
            </w:r>
          </w:p>
        </w:tc>
        <w:tc>
          <w:tcPr>
            <w:tcW w:w="2444" w:type="dxa"/>
            <w:hideMark/>
          </w:tcPr>
          <w:p w14:paraId="53DEAEBB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88 (8.0, 6.5–9.7)</w:t>
            </w:r>
          </w:p>
        </w:tc>
        <w:tc>
          <w:tcPr>
            <w:tcW w:w="0" w:type="auto"/>
            <w:hideMark/>
          </w:tcPr>
          <w:p w14:paraId="20E2255C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100 (9.1, 7.5–10.9)</w:t>
            </w:r>
          </w:p>
        </w:tc>
        <w:tc>
          <w:tcPr>
            <w:tcW w:w="2431" w:type="dxa"/>
            <w:hideMark/>
          </w:tcPr>
          <w:p w14:paraId="1EC003B4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80 (80.0, 71.2–86.7)</w:t>
            </w:r>
          </w:p>
        </w:tc>
      </w:tr>
      <w:tr w:rsidR="001B2506" w:rsidRPr="001B2506" w14:paraId="66F65065" w14:textId="77777777" w:rsidTr="001B2506">
        <w:tc>
          <w:tcPr>
            <w:tcW w:w="2269" w:type="dxa"/>
            <w:hideMark/>
          </w:tcPr>
          <w:p w14:paraId="03CD82A6" w14:textId="77777777" w:rsidR="001B2506" w:rsidRPr="001B2506" w:rsidRDefault="001B2506" w:rsidP="001B25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Steroids</w:t>
            </w:r>
          </w:p>
        </w:tc>
        <w:tc>
          <w:tcPr>
            <w:tcW w:w="2444" w:type="dxa"/>
            <w:hideMark/>
          </w:tcPr>
          <w:p w14:paraId="7E19BC18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350 (31.7, 29.0–34.5)</w:t>
            </w:r>
          </w:p>
        </w:tc>
        <w:tc>
          <w:tcPr>
            <w:tcW w:w="0" w:type="auto"/>
            <w:hideMark/>
          </w:tcPr>
          <w:p w14:paraId="3C51E1D9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395 (35.8, 33.0–38.7)</w:t>
            </w:r>
          </w:p>
        </w:tc>
        <w:tc>
          <w:tcPr>
            <w:tcW w:w="2431" w:type="dxa"/>
            <w:hideMark/>
          </w:tcPr>
          <w:p w14:paraId="2C5228DC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266 (67.3, 62.5–71.8)</w:t>
            </w:r>
          </w:p>
        </w:tc>
      </w:tr>
      <w:tr w:rsidR="001B2506" w:rsidRPr="001B2506" w14:paraId="44F67719" w14:textId="77777777" w:rsidTr="001B2506">
        <w:tc>
          <w:tcPr>
            <w:tcW w:w="2269" w:type="dxa"/>
            <w:hideMark/>
          </w:tcPr>
          <w:p w14:paraId="12770FAE" w14:textId="77777777" w:rsidR="001B2506" w:rsidRPr="001B2506" w:rsidRDefault="001B2506" w:rsidP="001B25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Antifungals</w:t>
            </w:r>
          </w:p>
        </w:tc>
        <w:tc>
          <w:tcPr>
            <w:tcW w:w="2444" w:type="dxa"/>
            <w:hideMark/>
          </w:tcPr>
          <w:p w14:paraId="7CA149A5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175 (15.9, 13.8–18.2)</w:t>
            </w:r>
          </w:p>
        </w:tc>
        <w:tc>
          <w:tcPr>
            <w:tcW w:w="0" w:type="auto"/>
            <w:hideMark/>
          </w:tcPr>
          <w:p w14:paraId="52932B10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187 (17.0, 14.8–19.3)</w:t>
            </w:r>
          </w:p>
        </w:tc>
        <w:tc>
          <w:tcPr>
            <w:tcW w:w="2431" w:type="dxa"/>
            <w:hideMark/>
          </w:tcPr>
          <w:p w14:paraId="72E7E2D8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108 (57.8, 50.6–64.6)</w:t>
            </w:r>
          </w:p>
        </w:tc>
      </w:tr>
      <w:tr w:rsidR="001B2506" w:rsidRPr="001B2506" w14:paraId="03EE2DF2" w14:textId="77777777" w:rsidTr="001B2506">
        <w:tc>
          <w:tcPr>
            <w:tcW w:w="2269" w:type="dxa"/>
            <w:hideMark/>
          </w:tcPr>
          <w:p w14:paraId="3E43D306" w14:textId="77777777" w:rsidR="001B2506" w:rsidRPr="001B2506" w:rsidRDefault="001B2506" w:rsidP="001B25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Others</w:t>
            </w:r>
          </w:p>
        </w:tc>
        <w:tc>
          <w:tcPr>
            <w:tcW w:w="2444" w:type="dxa"/>
            <w:hideMark/>
          </w:tcPr>
          <w:p w14:paraId="4B0357F5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19 (1.7, 1.1–2.7)</w:t>
            </w:r>
          </w:p>
        </w:tc>
        <w:tc>
          <w:tcPr>
            <w:tcW w:w="0" w:type="auto"/>
            <w:hideMark/>
          </w:tcPr>
          <w:p w14:paraId="5A52367B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53 (4.8, 3.7–6.2)</w:t>
            </w:r>
          </w:p>
        </w:tc>
        <w:tc>
          <w:tcPr>
            <w:tcW w:w="2431" w:type="dxa"/>
            <w:hideMark/>
          </w:tcPr>
          <w:p w14:paraId="1F00FCC7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9 (17.0, 9.1–29.2)</w:t>
            </w:r>
          </w:p>
        </w:tc>
      </w:tr>
      <w:tr w:rsidR="001B2506" w:rsidRPr="001B2506" w14:paraId="44E75935" w14:textId="77777777" w:rsidTr="001B2506">
        <w:tc>
          <w:tcPr>
            <w:tcW w:w="2269" w:type="dxa"/>
            <w:hideMark/>
          </w:tcPr>
          <w:p w14:paraId="6365539C" w14:textId="77777777" w:rsidR="001B2506" w:rsidRPr="001B2506" w:rsidRDefault="001B2506" w:rsidP="001B25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No treatment</w:t>
            </w:r>
          </w:p>
        </w:tc>
        <w:tc>
          <w:tcPr>
            <w:tcW w:w="2444" w:type="dxa"/>
            <w:hideMark/>
          </w:tcPr>
          <w:p w14:paraId="41457870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7 (0.6, 0.3–1.3)</w:t>
            </w:r>
          </w:p>
        </w:tc>
        <w:tc>
          <w:tcPr>
            <w:tcW w:w="0" w:type="auto"/>
            <w:hideMark/>
          </w:tcPr>
          <w:p w14:paraId="212A48B1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0 (0.0, 0.0–0.3)</w:t>
            </w:r>
          </w:p>
        </w:tc>
        <w:tc>
          <w:tcPr>
            <w:tcW w:w="2431" w:type="dxa"/>
            <w:hideMark/>
          </w:tcPr>
          <w:p w14:paraId="6E336645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–</w:t>
            </w:r>
          </w:p>
        </w:tc>
      </w:tr>
      <w:tr w:rsidR="001B2506" w:rsidRPr="001B2506" w14:paraId="5157D09D" w14:textId="77777777" w:rsidTr="001B2506">
        <w:tc>
          <w:tcPr>
            <w:tcW w:w="2269" w:type="dxa"/>
            <w:hideMark/>
          </w:tcPr>
          <w:p w14:paraId="7A560EB5" w14:textId="77777777" w:rsidR="001B2506" w:rsidRPr="001B2506" w:rsidRDefault="001B2506" w:rsidP="001B25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Refer to Arba Minch</w:t>
            </w:r>
          </w:p>
        </w:tc>
        <w:tc>
          <w:tcPr>
            <w:tcW w:w="2444" w:type="dxa"/>
            <w:hideMark/>
          </w:tcPr>
          <w:p w14:paraId="527F2865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24 (2.2, 1.5–3.2)</w:t>
            </w:r>
          </w:p>
        </w:tc>
        <w:tc>
          <w:tcPr>
            <w:tcW w:w="0" w:type="auto"/>
            <w:hideMark/>
          </w:tcPr>
          <w:p w14:paraId="733D813B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0 (0.0, 0.0–0.3)</w:t>
            </w:r>
          </w:p>
        </w:tc>
        <w:tc>
          <w:tcPr>
            <w:tcW w:w="2431" w:type="dxa"/>
            <w:hideMark/>
          </w:tcPr>
          <w:p w14:paraId="1993ACC5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  <w:t>–</w:t>
            </w:r>
          </w:p>
        </w:tc>
      </w:tr>
      <w:tr w:rsidR="001B2506" w:rsidRPr="001B2506" w14:paraId="7FFCD1D4" w14:textId="77777777" w:rsidTr="001B2506">
        <w:tc>
          <w:tcPr>
            <w:tcW w:w="2269" w:type="dxa"/>
            <w:hideMark/>
          </w:tcPr>
          <w:p w14:paraId="30EB0914" w14:textId="77777777" w:rsidR="001B2506" w:rsidRPr="001B2506" w:rsidRDefault="001B2506" w:rsidP="001B25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  <w:t>Total</w:t>
            </w:r>
          </w:p>
        </w:tc>
        <w:tc>
          <w:tcPr>
            <w:tcW w:w="2444" w:type="dxa"/>
            <w:hideMark/>
          </w:tcPr>
          <w:p w14:paraId="43C80946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  <w:t>1103 (100)</w:t>
            </w:r>
          </w:p>
        </w:tc>
        <w:tc>
          <w:tcPr>
            <w:tcW w:w="0" w:type="auto"/>
            <w:hideMark/>
          </w:tcPr>
          <w:p w14:paraId="6C18A76E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  <w:t>1103 (100)</w:t>
            </w:r>
          </w:p>
        </w:tc>
        <w:tc>
          <w:tcPr>
            <w:tcW w:w="2431" w:type="dxa"/>
            <w:hideMark/>
          </w:tcPr>
          <w:p w14:paraId="08DC2179" w14:textId="77777777" w:rsidR="001B2506" w:rsidRPr="001B2506" w:rsidRDefault="001B2506" w:rsidP="001B25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ER"/>
              </w:rPr>
            </w:pPr>
            <w:r w:rsidRPr="001B2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ER"/>
              </w:rPr>
              <w:t>771 (69.9, 67.1–72.5)</w:t>
            </w:r>
          </w:p>
        </w:tc>
      </w:tr>
    </w:tbl>
    <w:p w14:paraId="1172F1F9" w14:textId="5B399D63" w:rsidR="00FC1105" w:rsidRDefault="00FC1105"/>
    <w:p w14:paraId="5D733BD5" w14:textId="77777777" w:rsidR="001B2506" w:rsidRPr="00DB62D4" w:rsidRDefault="001B2506" w:rsidP="001B2506">
      <w:pPr>
        <w:spacing w:after="0" w:line="480" w:lineRule="auto"/>
        <w:jc w:val="both"/>
        <w:rPr>
          <w:rStyle w:val="bzpyqfadein"/>
          <w:rFonts w:ascii="Times New Roman" w:hAnsi="Times New Roman" w:cs="Times New Roman"/>
          <w:sz w:val="24"/>
          <w:szCs w:val="24"/>
        </w:rPr>
      </w:pPr>
      <w:r w:rsidRPr="00DB62D4">
        <w:rPr>
          <w:rStyle w:val="bzpyqfadein"/>
          <w:rFonts w:ascii="Times New Roman" w:hAnsi="Times New Roman" w:cs="Times New Roman"/>
          <w:sz w:val="24"/>
          <w:szCs w:val="24"/>
          <w:lang w:val="en-US"/>
        </w:rPr>
        <w:t>SSG = sodium stibogluconate</w:t>
      </w:r>
    </w:p>
    <w:p w14:paraId="4C57C025" w14:textId="77777777" w:rsidR="001B2506" w:rsidRDefault="001B2506"/>
    <w:sectPr w:rsidR="001B2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506"/>
    <w:rsid w:val="001B2506"/>
    <w:rsid w:val="003236AD"/>
    <w:rsid w:val="004E3DC6"/>
    <w:rsid w:val="007667A4"/>
    <w:rsid w:val="00FC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89851"/>
  <w15:chartTrackingRefBased/>
  <w15:docId w15:val="{E3FBDC25-970D-4967-8783-255F9A46A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E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zpyqfadein">
    <w:name w:val="bz_pyq_fadein"/>
    <w:basedOn w:val="DefaultParagraphFont"/>
    <w:rsid w:val="001B2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2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Dagimawie Tadesse</dc:creator>
  <cp:keywords/>
  <dc:description/>
  <cp:lastModifiedBy>Dagimawie Tadesse</cp:lastModifiedBy>
  <cp:revision>2</cp:revision>
  <dcterms:created xsi:type="dcterms:W3CDTF">2026-07-14T21:40:00Z</dcterms:created>
  <dcterms:modified xsi:type="dcterms:W3CDTF">2026-07-16T22:51:00Z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d6e3d4be-c3ef-4aed-b78b-1d960f4cc174</vt:lpwstr>
  </property>
</Properties>
</file>