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8A65D" w14:textId="76634A26" w:rsidR="00206A99" w:rsidRPr="004637E4" w:rsidRDefault="005F2686" w:rsidP="009F791D">
      <w:pPr>
        <w:spacing w:after="0" w:line="480" w:lineRule="auto"/>
        <w:jc w:val="both"/>
        <w:rPr>
          <w:rStyle w:val="bzpyqfadein"/>
          <w:rFonts w:ascii="Times New Roman" w:eastAsia="Times New Roman" w:hAnsi="Times New Roman" w:cs="Times New Roman"/>
          <w:sz w:val="24"/>
          <w:szCs w:val="24"/>
          <w:lang w:eastAsia="en-ER"/>
        </w:rPr>
      </w:pPr>
      <w:r w:rsidRPr="005F2686">
        <w:rPr>
          <w:rFonts w:ascii="Times New Roman" w:hAnsi="Times New Roman" w:cs="Times New Roman"/>
          <w:b/>
          <w:bCs/>
          <w:sz w:val="24"/>
          <w:szCs w:val="24"/>
        </w:rPr>
        <w:t xml:space="preserve">Additional file </w:t>
      </w:r>
      <w:r w:rsidR="009F791D" w:rsidRPr="004637E4">
        <w:rPr>
          <w:rStyle w:val="bzpyqfadein"/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>S3</w:t>
      </w:r>
      <w:r w:rsidR="009F791D" w:rsidRPr="004637E4"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="009F791D" w:rsidRPr="004637E4">
        <w:rPr>
          <w:rStyle w:val="bzpyqfadein"/>
          <w:rFonts w:ascii="Times New Roman" w:hAnsi="Times New Roman" w:cs="Times New Roman"/>
          <w:sz w:val="24"/>
          <w:szCs w:val="24"/>
        </w:rPr>
        <w:t xml:space="preserve"> </w:t>
      </w:r>
      <w:r w:rsidR="004637E4" w:rsidRPr="004637E4">
        <w:rPr>
          <w:rStyle w:val="bzpyqfadein"/>
          <w:rFonts w:ascii="Times New Roman" w:hAnsi="Times New Roman" w:cs="Times New Roman"/>
          <w:b/>
          <w:bCs/>
          <w:sz w:val="24"/>
          <w:szCs w:val="24"/>
        </w:rPr>
        <w:t>Management concordance between reference and primary hospital management among correctly diagnosed cases (n=743)</w:t>
      </w:r>
    </w:p>
    <w:tbl>
      <w:tblPr>
        <w:tblStyle w:val="TableGrid"/>
        <w:tblW w:w="9416" w:type="dxa"/>
        <w:tblInd w:w="-147" w:type="dxa"/>
        <w:tblLook w:val="04A0" w:firstRow="1" w:lastRow="0" w:firstColumn="1" w:lastColumn="0" w:noHBand="0" w:noVBand="1"/>
      </w:tblPr>
      <w:tblGrid>
        <w:gridCol w:w="2269"/>
        <w:gridCol w:w="2409"/>
        <w:gridCol w:w="2410"/>
        <w:gridCol w:w="2328"/>
      </w:tblGrid>
      <w:tr w:rsidR="004637E4" w:rsidRPr="00433E00" w14:paraId="1C851A23" w14:textId="77777777" w:rsidTr="00433E00">
        <w:trPr>
          <w:trHeight w:val="1195"/>
        </w:trPr>
        <w:tc>
          <w:tcPr>
            <w:tcW w:w="2269" w:type="dxa"/>
            <w:hideMark/>
          </w:tcPr>
          <w:p w14:paraId="40B2740D" w14:textId="77777777" w:rsidR="00751BB6" w:rsidRPr="00433E00" w:rsidRDefault="00751BB6" w:rsidP="00751BB6">
            <w:pPr>
              <w:spacing w:line="375" w:lineRule="atLeast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  <w:t>Management category</w:t>
            </w:r>
          </w:p>
        </w:tc>
        <w:tc>
          <w:tcPr>
            <w:tcW w:w="2409" w:type="dxa"/>
            <w:hideMark/>
          </w:tcPr>
          <w:p w14:paraId="7393F4FA" w14:textId="0E2A0C44" w:rsidR="004637E4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  <w:t>Primary hospital management</w:t>
            </w:r>
          </w:p>
          <w:p w14:paraId="191AE912" w14:textId="4BF43B4E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  <w:t>n (%, 95% CI)</w:t>
            </w:r>
          </w:p>
        </w:tc>
        <w:tc>
          <w:tcPr>
            <w:tcW w:w="2410" w:type="dxa"/>
            <w:hideMark/>
          </w:tcPr>
          <w:p w14:paraId="39AF66FE" w14:textId="7E25407A" w:rsidR="004637E4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  <w:t>Reference management</w:t>
            </w:r>
          </w:p>
          <w:p w14:paraId="386C22EB" w14:textId="7161380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  <w:t>n (%, 95% CI)</w:t>
            </w:r>
          </w:p>
        </w:tc>
        <w:tc>
          <w:tcPr>
            <w:tcW w:w="2328" w:type="dxa"/>
            <w:hideMark/>
          </w:tcPr>
          <w:p w14:paraId="6FAFF26D" w14:textId="77777777" w:rsidR="004637E4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  <w:t>Correct management</w:t>
            </w:r>
          </w:p>
          <w:p w14:paraId="278460DF" w14:textId="762775DD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  <w:t>n (%, 95% CI)</w:t>
            </w:r>
          </w:p>
        </w:tc>
      </w:tr>
      <w:tr w:rsidR="004637E4" w:rsidRPr="00433E00" w14:paraId="00BBCB35" w14:textId="77777777" w:rsidTr="00433E00">
        <w:trPr>
          <w:trHeight w:val="394"/>
        </w:trPr>
        <w:tc>
          <w:tcPr>
            <w:tcW w:w="2269" w:type="dxa"/>
            <w:hideMark/>
          </w:tcPr>
          <w:p w14:paraId="3948835D" w14:textId="77777777" w:rsidR="00751BB6" w:rsidRPr="00433E00" w:rsidRDefault="00751BB6" w:rsidP="00751BB6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Anti-scabies</w:t>
            </w:r>
          </w:p>
        </w:tc>
        <w:tc>
          <w:tcPr>
            <w:tcW w:w="2409" w:type="dxa"/>
            <w:hideMark/>
          </w:tcPr>
          <w:p w14:paraId="2DE447AD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73 (6.6, 5.2–8.2)</w:t>
            </w:r>
          </w:p>
        </w:tc>
        <w:tc>
          <w:tcPr>
            <w:tcW w:w="2410" w:type="dxa"/>
            <w:hideMark/>
          </w:tcPr>
          <w:p w14:paraId="299E76DD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75 (6.7, 5.3–8.3)</w:t>
            </w:r>
          </w:p>
        </w:tc>
        <w:tc>
          <w:tcPr>
            <w:tcW w:w="2328" w:type="dxa"/>
            <w:hideMark/>
          </w:tcPr>
          <w:p w14:paraId="3F42CCE9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73 (97.3, 90.7–99.7)</w:t>
            </w:r>
          </w:p>
        </w:tc>
      </w:tr>
      <w:tr w:rsidR="004637E4" w:rsidRPr="00433E00" w14:paraId="2B10E7A5" w14:textId="77777777" w:rsidTr="00433E00">
        <w:trPr>
          <w:trHeight w:val="394"/>
        </w:trPr>
        <w:tc>
          <w:tcPr>
            <w:tcW w:w="2269" w:type="dxa"/>
            <w:hideMark/>
          </w:tcPr>
          <w:p w14:paraId="3F6F6B73" w14:textId="77777777" w:rsidR="00751BB6" w:rsidRPr="00433E00" w:rsidRDefault="00751BB6" w:rsidP="00751BB6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Antibiotics</w:t>
            </w:r>
          </w:p>
        </w:tc>
        <w:tc>
          <w:tcPr>
            <w:tcW w:w="2409" w:type="dxa"/>
            <w:hideMark/>
          </w:tcPr>
          <w:p w14:paraId="3079E14A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162 (14.6, 12.5–16.9)</w:t>
            </w:r>
          </w:p>
        </w:tc>
        <w:tc>
          <w:tcPr>
            <w:tcW w:w="2410" w:type="dxa"/>
            <w:hideMark/>
          </w:tcPr>
          <w:p w14:paraId="4EC48FE6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144 (13.9, 11.8–16.2)</w:t>
            </w:r>
          </w:p>
        </w:tc>
        <w:tc>
          <w:tcPr>
            <w:tcW w:w="2328" w:type="dxa"/>
            <w:hideMark/>
          </w:tcPr>
          <w:p w14:paraId="65D15759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136 (94.4, 89.3–97.5)</w:t>
            </w:r>
          </w:p>
        </w:tc>
      </w:tr>
      <w:tr w:rsidR="004637E4" w:rsidRPr="00433E00" w14:paraId="4CCFAD30" w14:textId="77777777" w:rsidTr="00433E00">
        <w:trPr>
          <w:trHeight w:val="394"/>
        </w:trPr>
        <w:tc>
          <w:tcPr>
            <w:tcW w:w="2269" w:type="dxa"/>
            <w:hideMark/>
          </w:tcPr>
          <w:p w14:paraId="42937783" w14:textId="77777777" w:rsidR="00751BB6" w:rsidRPr="00433E00" w:rsidRDefault="00751BB6" w:rsidP="00751BB6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Antiviral</w:t>
            </w:r>
          </w:p>
        </w:tc>
        <w:tc>
          <w:tcPr>
            <w:tcW w:w="2409" w:type="dxa"/>
            <w:hideMark/>
          </w:tcPr>
          <w:p w14:paraId="2E5CBCE0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81 (7.3, 5.8–9.1)</w:t>
            </w:r>
          </w:p>
        </w:tc>
        <w:tc>
          <w:tcPr>
            <w:tcW w:w="2410" w:type="dxa"/>
            <w:hideMark/>
          </w:tcPr>
          <w:p w14:paraId="36C6A083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84 (7.6, 6.1–9.3)</w:t>
            </w:r>
          </w:p>
        </w:tc>
        <w:tc>
          <w:tcPr>
            <w:tcW w:w="2328" w:type="dxa"/>
            <w:hideMark/>
          </w:tcPr>
          <w:p w14:paraId="7D0891D6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79 (94.0, 86.6–97.9)</w:t>
            </w:r>
          </w:p>
        </w:tc>
      </w:tr>
      <w:tr w:rsidR="004637E4" w:rsidRPr="00433E00" w14:paraId="4AFB30F4" w14:textId="77777777" w:rsidTr="00433E00">
        <w:trPr>
          <w:trHeight w:val="394"/>
        </w:trPr>
        <w:tc>
          <w:tcPr>
            <w:tcW w:w="2269" w:type="dxa"/>
            <w:hideMark/>
          </w:tcPr>
          <w:p w14:paraId="5633DA63" w14:textId="77777777" w:rsidR="00751BB6" w:rsidRPr="00433E00" w:rsidRDefault="00751BB6" w:rsidP="00751BB6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Steroids</w:t>
            </w:r>
          </w:p>
        </w:tc>
        <w:tc>
          <w:tcPr>
            <w:tcW w:w="2409" w:type="dxa"/>
            <w:hideMark/>
          </w:tcPr>
          <w:p w14:paraId="1E4DDA8A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204 (18.4, 16.1–21.0)</w:t>
            </w:r>
          </w:p>
        </w:tc>
        <w:tc>
          <w:tcPr>
            <w:tcW w:w="2410" w:type="dxa"/>
            <w:hideMark/>
          </w:tcPr>
          <w:p w14:paraId="2BC59A0E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213 (19.1, 16.7–21.7)</w:t>
            </w:r>
          </w:p>
        </w:tc>
        <w:tc>
          <w:tcPr>
            <w:tcW w:w="2328" w:type="dxa"/>
            <w:hideMark/>
          </w:tcPr>
          <w:p w14:paraId="56B3CE38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198 (93.0, 88.7–95.9)</w:t>
            </w:r>
          </w:p>
        </w:tc>
      </w:tr>
      <w:tr w:rsidR="004637E4" w:rsidRPr="00433E00" w14:paraId="6AF68496" w14:textId="77777777" w:rsidTr="00433E00">
        <w:trPr>
          <w:trHeight w:val="394"/>
        </w:trPr>
        <w:tc>
          <w:tcPr>
            <w:tcW w:w="2269" w:type="dxa"/>
            <w:hideMark/>
          </w:tcPr>
          <w:p w14:paraId="2191EF16" w14:textId="77777777" w:rsidR="00751BB6" w:rsidRPr="00433E00" w:rsidRDefault="00751BB6" w:rsidP="00751BB6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Antifungals</w:t>
            </w:r>
          </w:p>
        </w:tc>
        <w:tc>
          <w:tcPr>
            <w:tcW w:w="2409" w:type="dxa"/>
            <w:hideMark/>
          </w:tcPr>
          <w:p w14:paraId="768DEECA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106 (9.5, 7.9–11.4)</w:t>
            </w:r>
          </w:p>
        </w:tc>
        <w:tc>
          <w:tcPr>
            <w:tcW w:w="2410" w:type="dxa"/>
            <w:hideMark/>
          </w:tcPr>
          <w:p w14:paraId="3E0EA661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113 (10.2, 8.5–12.0)</w:t>
            </w:r>
          </w:p>
        </w:tc>
        <w:tc>
          <w:tcPr>
            <w:tcW w:w="2328" w:type="dxa"/>
            <w:hideMark/>
          </w:tcPr>
          <w:p w14:paraId="5311BFC3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104 (92.0, 85.3–95.8)</w:t>
            </w:r>
          </w:p>
        </w:tc>
      </w:tr>
      <w:tr w:rsidR="004637E4" w:rsidRPr="00433E00" w14:paraId="570101AD" w14:textId="77777777" w:rsidTr="00433E00">
        <w:trPr>
          <w:trHeight w:val="394"/>
        </w:trPr>
        <w:tc>
          <w:tcPr>
            <w:tcW w:w="2269" w:type="dxa"/>
            <w:hideMark/>
          </w:tcPr>
          <w:p w14:paraId="0E496C26" w14:textId="77777777" w:rsidR="00751BB6" w:rsidRPr="00433E00" w:rsidRDefault="00751BB6" w:rsidP="00751BB6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SSG</w:t>
            </w:r>
          </w:p>
        </w:tc>
        <w:tc>
          <w:tcPr>
            <w:tcW w:w="2409" w:type="dxa"/>
            <w:hideMark/>
          </w:tcPr>
          <w:p w14:paraId="31C6B8CF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83 (7.5, 6.1–9.3)</w:t>
            </w:r>
          </w:p>
        </w:tc>
        <w:tc>
          <w:tcPr>
            <w:tcW w:w="2410" w:type="dxa"/>
            <w:hideMark/>
          </w:tcPr>
          <w:p w14:paraId="2FACB039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92 (8.3, 6.7–10.1)</w:t>
            </w:r>
          </w:p>
        </w:tc>
        <w:tc>
          <w:tcPr>
            <w:tcW w:w="2328" w:type="dxa"/>
            <w:hideMark/>
          </w:tcPr>
          <w:p w14:paraId="0EF13814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82 (89.1, 80.8–94.1)</w:t>
            </w:r>
          </w:p>
        </w:tc>
      </w:tr>
      <w:tr w:rsidR="004637E4" w:rsidRPr="00433E00" w14:paraId="0004CF3A" w14:textId="77777777" w:rsidTr="00433E00">
        <w:trPr>
          <w:trHeight w:val="394"/>
        </w:trPr>
        <w:tc>
          <w:tcPr>
            <w:tcW w:w="2269" w:type="dxa"/>
            <w:hideMark/>
          </w:tcPr>
          <w:p w14:paraId="5CAA1C58" w14:textId="77777777" w:rsidR="00751BB6" w:rsidRPr="00433E00" w:rsidRDefault="00751BB6" w:rsidP="00751BB6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Others</w:t>
            </w:r>
          </w:p>
        </w:tc>
        <w:tc>
          <w:tcPr>
            <w:tcW w:w="2409" w:type="dxa"/>
            <w:hideMark/>
          </w:tcPr>
          <w:p w14:paraId="050E354A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11 (1.0, 0.5–1.7)</w:t>
            </w:r>
          </w:p>
        </w:tc>
        <w:tc>
          <w:tcPr>
            <w:tcW w:w="2410" w:type="dxa"/>
            <w:hideMark/>
          </w:tcPr>
          <w:p w14:paraId="0D1EF8C8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22 (2.0, 1.2–3.0)</w:t>
            </w:r>
          </w:p>
        </w:tc>
        <w:tc>
          <w:tcPr>
            <w:tcW w:w="2328" w:type="dxa"/>
            <w:hideMark/>
          </w:tcPr>
          <w:p w14:paraId="783ABA2A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6 (27.3, 12.8–48.8)</w:t>
            </w:r>
          </w:p>
        </w:tc>
      </w:tr>
      <w:tr w:rsidR="004637E4" w:rsidRPr="00433E00" w14:paraId="6C51582A" w14:textId="77777777" w:rsidTr="00433E00">
        <w:trPr>
          <w:trHeight w:val="394"/>
        </w:trPr>
        <w:tc>
          <w:tcPr>
            <w:tcW w:w="2269" w:type="dxa"/>
            <w:hideMark/>
          </w:tcPr>
          <w:p w14:paraId="538EA22F" w14:textId="77777777" w:rsidR="00751BB6" w:rsidRPr="00433E00" w:rsidRDefault="00751BB6" w:rsidP="00751BB6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Refer to Arba Minch</w:t>
            </w:r>
          </w:p>
        </w:tc>
        <w:tc>
          <w:tcPr>
            <w:tcW w:w="2409" w:type="dxa"/>
            <w:hideMark/>
          </w:tcPr>
          <w:p w14:paraId="21F0D52C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20 (1.8, 1.1–2.7)</w:t>
            </w:r>
          </w:p>
        </w:tc>
        <w:tc>
          <w:tcPr>
            <w:tcW w:w="2410" w:type="dxa"/>
            <w:hideMark/>
          </w:tcPr>
          <w:p w14:paraId="2F2EB022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3 (0.3, 0.1–0.8)</w:t>
            </w:r>
          </w:p>
        </w:tc>
        <w:tc>
          <w:tcPr>
            <w:tcW w:w="2328" w:type="dxa"/>
            <w:hideMark/>
          </w:tcPr>
          <w:p w14:paraId="2D27D634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–</w:t>
            </w:r>
          </w:p>
        </w:tc>
      </w:tr>
      <w:tr w:rsidR="004637E4" w:rsidRPr="00433E00" w14:paraId="22492686" w14:textId="77777777" w:rsidTr="00433E00">
        <w:trPr>
          <w:trHeight w:val="394"/>
        </w:trPr>
        <w:tc>
          <w:tcPr>
            <w:tcW w:w="2269" w:type="dxa"/>
            <w:hideMark/>
          </w:tcPr>
          <w:p w14:paraId="07B023D8" w14:textId="77777777" w:rsidR="00751BB6" w:rsidRPr="00433E00" w:rsidRDefault="00751BB6" w:rsidP="00751BB6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No treatment</w:t>
            </w:r>
          </w:p>
        </w:tc>
        <w:tc>
          <w:tcPr>
            <w:tcW w:w="2409" w:type="dxa"/>
            <w:hideMark/>
          </w:tcPr>
          <w:p w14:paraId="0B5BCE31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3 (0.3, 0.1–0.8)</w:t>
            </w:r>
          </w:p>
        </w:tc>
        <w:tc>
          <w:tcPr>
            <w:tcW w:w="2410" w:type="dxa"/>
            <w:hideMark/>
          </w:tcPr>
          <w:p w14:paraId="5C01F488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0 (0, 0–0.5)</w:t>
            </w:r>
          </w:p>
        </w:tc>
        <w:tc>
          <w:tcPr>
            <w:tcW w:w="2328" w:type="dxa"/>
            <w:hideMark/>
          </w:tcPr>
          <w:p w14:paraId="520EF13A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  <w:t>–</w:t>
            </w:r>
          </w:p>
        </w:tc>
      </w:tr>
      <w:tr w:rsidR="004637E4" w:rsidRPr="00433E00" w14:paraId="57D92A77" w14:textId="77777777" w:rsidTr="00433E00">
        <w:trPr>
          <w:trHeight w:val="394"/>
        </w:trPr>
        <w:tc>
          <w:tcPr>
            <w:tcW w:w="2269" w:type="dxa"/>
            <w:hideMark/>
          </w:tcPr>
          <w:p w14:paraId="6B579E18" w14:textId="77777777" w:rsidR="00751BB6" w:rsidRPr="00433E00" w:rsidRDefault="00751BB6" w:rsidP="00751BB6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  <w:t>Total</w:t>
            </w:r>
          </w:p>
        </w:tc>
        <w:tc>
          <w:tcPr>
            <w:tcW w:w="2409" w:type="dxa"/>
            <w:hideMark/>
          </w:tcPr>
          <w:p w14:paraId="1B59007F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  <w:t>743 (100)</w:t>
            </w:r>
          </w:p>
        </w:tc>
        <w:tc>
          <w:tcPr>
            <w:tcW w:w="2410" w:type="dxa"/>
            <w:hideMark/>
          </w:tcPr>
          <w:p w14:paraId="4074D2B1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  <w:t>743 (100)</w:t>
            </w:r>
          </w:p>
        </w:tc>
        <w:tc>
          <w:tcPr>
            <w:tcW w:w="2328" w:type="dxa"/>
            <w:hideMark/>
          </w:tcPr>
          <w:p w14:paraId="5CC39FE0" w14:textId="77777777" w:rsidR="00751BB6" w:rsidRPr="00433E00" w:rsidRDefault="00751BB6" w:rsidP="004637E4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en-ER"/>
              </w:rPr>
            </w:pPr>
            <w:r w:rsidRPr="00433E0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en-ER"/>
              </w:rPr>
              <w:t>678 (91.3, 88.9–93.2)</w:t>
            </w:r>
          </w:p>
        </w:tc>
      </w:tr>
    </w:tbl>
    <w:p w14:paraId="4AD624BB" w14:textId="77777777" w:rsidR="00671A0A" w:rsidRDefault="00671A0A" w:rsidP="00DB62D4">
      <w:pPr>
        <w:spacing w:after="0" w:line="480" w:lineRule="auto"/>
        <w:jc w:val="both"/>
        <w:rPr>
          <w:rStyle w:val="bzpyqfadein"/>
          <w:rFonts w:ascii="Times New Roman" w:hAnsi="Times New Roman" w:cs="Times New Roman"/>
          <w:sz w:val="24"/>
          <w:szCs w:val="24"/>
          <w:lang w:val="en-US"/>
        </w:rPr>
      </w:pPr>
    </w:p>
    <w:p w14:paraId="36EEDF3E" w14:textId="292D5301" w:rsidR="00206A99" w:rsidRPr="00DB62D4" w:rsidRDefault="00DB62D4" w:rsidP="00DB62D4">
      <w:pPr>
        <w:spacing w:after="0" w:line="480" w:lineRule="auto"/>
        <w:jc w:val="both"/>
        <w:rPr>
          <w:rStyle w:val="bzpyqfadein"/>
          <w:rFonts w:ascii="Times New Roman" w:hAnsi="Times New Roman" w:cs="Times New Roman"/>
          <w:sz w:val="24"/>
          <w:szCs w:val="24"/>
        </w:rPr>
      </w:pPr>
      <w:r w:rsidRPr="00DB62D4">
        <w:rPr>
          <w:rStyle w:val="bzpyqfadein"/>
          <w:rFonts w:ascii="Times New Roman" w:hAnsi="Times New Roman" w:cs="Times New Roman"/>
          <w:sz w:val="24"/>
          <w:szCs w:val="24"/>
          <w:lang w:val="en-US"/>
        </w:rPr>
        <w:t>SSG = sodium stibogluconate</w:t>
      </w:r>
    </w:p>
    <w:p w14:paraId="2533F51A" w14:textId="77777777" w:rsidR="00F46CD4" w:rsidRDefault="00F46CD4"/>
    <w:sectPr w:rsidR="00F46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1D"/>
    <w:rsid w:val="00043DA1"/>
    <w:rsid w:val="00206A99"/>
    <w:rsid w:val="002B704E"/>
    <w:rsid w:val="003B1F1E"/>
    <w:rsid w:val="0041531D"/>
    <w:rsid w:val="00433E00"/>
    <w:rsid w:val="004637E4"/>
    <w:rsid w:val="00463DB8"/>
    <w:rsid w:val="004E3DC6"/>
    <w:rsid w:val="005F2686"/>
    <w:rsid w:val="00671A0A"/>
    <w:rsid w:val="00751BB6"/>
    <w:rsid w:val="007667A4"/>
    <w:rsid w:val="00861E6E"/>
    <w:rsid w:val="009F791D"/>
    <w:rsid w:val="00DB62D4"/>
    <w:rsid w:val="00DE0164"/>
    <w:rsid w:val="00F4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91C93"/>
  <w15:chartTrackingRefBased/>
  <w15:docId w15:val="{4DD0F0A0-351B-4430-A3EA-83CD740B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E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9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zpyqfadein">
    <w:name w:val="bz_pyq_fadein"/>
    <w:basedOn w:val="DefaultParagraphFont"/>
    <w:rsid w:val="009F791D"/>
  </w:style>
  <w:style w:type="table" w:styleId="TableGrid">
    <w:name w:val="Table Grid"/>
    <w:basedOn w:val="TableNormal"/>
    <w:uiPriority w:val="39"/>
    <w:rsid w:val="00463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0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Dagimawie Tadesse</dc:creator>
  <cp:keywords/>
  <dc:description/>
  <cp:lastModifiedBy>Dagimawie Tadesse</cp:lastModifiedBy>
  <cp:revision>12</cp:revision>
  <dcterms:created xsi:type="dcterms:W3CDTF">2026-03-30T00:43:00Z</dcterms:created>
  <dcterms:modified xsi:type="dcterms:W3CDTF">2026-07-16T22:51:00Z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2529be8c-9612-4b93-ae84-284aef1bbf65</vt:lpwstr>
  </property>
</Properties>
</file>