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39C34"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r w:rsidRPr="00E72823">
        <w:rPr>
          <w:rFonts w:ascii="Times New Roman" w:eastAsia="SimSun" w:hAnsi="Times New Roman" w:cs="Times New Roman"/>
          <w:b/>
          <w:bCs/>
          <w:color w:val="000000"/>
          <w:kern w:val="0"/>
          <w:sz w:val="24"/>
          <w:szCs w:val="24"/>
          <w:lang w:eastAsia="en-IE"/>
          <w14:ligatures w14:val="none"/>
        </w:rPr>
        <w:t xml:space="preserve">Supplementary Table 1. </w:t>
      </w:r>
      <w:r w:rsidRPr="00E72823">
        <w:rPr>
          <w:rFonts w:ascii="Times New Roman" w:eastAsia="SimSun" w:hAnsi="Times New Roman" w:cs="Times New Roman"/>
          <w:color w:val="000000"/>
          <w:kern w:val="0"/>
          <w:sz w:val="24"/>
          <w:szCs w:val="24"/>
          <w:lang w:eastAsia="en-IE"/>
          <w14:ligatures w14:val="none"/>
        </w:rPr>
        <w:t>Characteristics of included studies</w:t>
      </w:r>
    </w:p>
    <w:p w14:paraId="0E1C5B73"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tbl>
      <w:tblPr>
        <w:tblStyle w:val="TableGrid1"/>
        <w:tblW w:w="14977" w:type="dxa"/>
        <w:tblInd w:w="-856" w:type="dxa"/>
        <w:tblLook w:val="04A0" w:firstRow="1" w:lastRow="0" w:firstColumn="1" w:lastColumn="0" w:noHBand="0" w:noVBand="1"/>
      </w:tblPr>
      <w:tblGrid>
        <w:gridCol w:w="1856"/>
        <w:gridCol w:w="2823"/>
        <w:gridCol w:w="1294"/>
        <w:gridCol w:w="1701"/>
        <w:gridCol w:w="1316"/>
        <w:gridCol w:w="2472"/>
        <w:gridCol w:w="1263"/>
        <w:gridCol w:w="1089"/>
        <w:gridCol w:w="1163"/>
      </w:tblGrid>
      <w:tr w:rsidR="00E72823" w:rsidRPr="00E72823" w14:paraId="089E6029" w14:textId="77777777" w:rsidTr="005E61D2">
        <w:trPr>
          <w:trHeight w:val="561"/>
          <w:tblHeader/>
        </w:trPr>
        <w:tc>
          <w:tcPr>
            <w:tcW w:w="1856" w:type="dxa"/>
            <w:hideMark/>
          </w:tcPr>
          <w:p w14:paraId="70ECF51C" w14:textId="77777777" w:rsidR="00E72823" w:rsidRPr="00E72823" w:rsidRDefault="00E72823" w:rsidP="00E72823">
            <w:pPr>
              <w:spacing w:line="480" w:lineRule="auto"/>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Study (Author, Year)</w:t>
            </w:r>
          </w:p>
        </w:tc>
        <w:tc>
          <w:tcPr>
            <w:tcW w:w="2823" w:type="dxa"/>
            <w:hideMark/>
          </w:tcPr>
          <w:p w14:paraId="4D842510" w14:textId="77777777" w:rsidR="00E72823" w:rsidRPr="00E72823" w:rsidRDefault="00E72823" w:rsidP="00E72823">
            <w:pPr>
              <w:spacing w:line="480" w:lineRule="auto"/>
              <w:jc w:val="center"/>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Disease</w:t>
            </w:r>
          </w:p>
        </w:tc>
        <w:tc>
          <w:tcPr>
            <w:tcW w:w="1194" w:type="dxa"/>
            <w:hideMark/>
          </w:tcPr>
          <w:p w14:paraId="618EB43F" w14:textId="77777777" w:rsidR="00E72823" w:rsidRPr="00E72823" w:rsidRDefault="00E72823" w:rsidP="00E72823">
            <w:pPr>
              <w:spacing w:line="480" w:lineRule="auto"/>
              <w:jc w:val="center"/>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Number of observations in the estimation sample</w:t>
            </w:r>
          </w:p>
        </w:tc>
        <w:tc>
          <w:tcPr>
            <w:tcW w:w="1701" w:type="dxa"/>
            <w:hideMark/>
          </w:tcPr>
          <w:p w14:paraId="3AA5C222" w14:textId="77777777" w:rsidR="00E72823" w:rsidRPr="00E72823" w:rsidRDefault="00E72823" w:rsidP="00E72823">
            <w:pPr>
              <w:spacing w:line="480" w:lineRule="auto"/>
              <w:jc w:val="center"/>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Source Instrument</w:t>
            </w:r>
          </w:p>
        </w:tc>
        <w:tc>
          <w:tcPr>
            <w:tcW w:w="1316" w:type="dxa"/>
            <w:hideMark/>
          </w:tcPr>
          <w:p w14:paraId="041565C0" w14:textId="77777777" w:rsidR="00E72823" w:rsidRPr="00E72823" w:rsidRDefault="00E72823" w:rsidP="00E72823">
            <w:pPr>
              <w:spacing w:line="480" w:lineRule="auto"/>
              <w:jc w:val="center"/>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Target Instrument</w:t>
            </w:r>
          </w:p>
        </w:tc>
        <w:tc>
          <w:tcPr>
            <w:tcW w:w="2472" w:type="dxa"/>
            <w:hideMark/>
          </w:tcPr>
          <w:p w14:paraId="43ED3098" w14:textId="77777777" w:rsidR="00E72823" w:rsidRPr="00E72823" w:rsidRDefault="00E72823" w:rsidP="00E72823">
            <w:pPr>
              <w:spacing w:line="480" w:lineRule="auto"/>
              <w:jc w:val="center"/>
              <w:rPr>
                <w:rFonts w:ascii="Times New Roman" w:eastAsia="Times New Roman" w:hAnsi="Times New Roman" w:cs="Times New Roman"/>
                <w:b/>
                <w:bCs/>
                <w:color w:val="000000"/>
                <w:sz w:val="20"/>
                <w:szCs w:val="20"/>
              </w:rPr>
            </w:pPr>
            <w:r w:rsidRPr="00E72823">
              <w:rPr>
                <w:rFonts w:ascii="Times New Roman" w:eastAsia="Times New Roman" w:hAnsi="Times New Roman" w:cs="Times New Roman"/>
                <w:b/>
                <w:bCs/>
                <w:color w:val="000000"/>
                <w:sz w:val="20"/>
                <w:szCs w:val="20"/>
              </w:rPr>
              <w:t>Mapping Model(s)</w:t>
            </w:r>
          </w:p>
        </w:tc>
        <w:tc>
          <w:tcPr>
            <w:tcW w:w="1263" w:type="dxa"/>
            <w:hideMark/>
          </w:tcPr>
          <w:p w14:paraId="7D6E19BF" w14:textId="77777777" w:rsidR="00E72823" w:rsidRPr="00E72823" w:rsidRDefault="00E72823" w:rsidP="00E72823">
            <w:pPr>
              <w:spacing w:line="480" w:lineRule="auto"/>
              <w:jc w:val="center"/>
              <w:rPr>
                <w:rFonts w:ascii="Times New Roman" w:eastAsia="Times New Roman" w:hAnsi="Times New Roman" w:cs="Times New Roman"/>
                <w:b/>
                <w:bCs/>
                <w:sz w:val="20"/>
                <w:szCs w:val="20"/>
              </w:rPr>
            </w:pPr>
            <w:r w:rsidRPr="00E72823">
              <w:rPr>
                <w:rFonts w:ascii="Times New Roman" w:eastAsia="Times New Roman" w:hAnsi="Times New Roman" w:cs="Times New Roman"/>
                <w:b/>
                <w:bCs/>
                <w:sz w:val="20"/>
                <w:szCs w:val="20"/>
              </w:rPr>
              <w:t>Estimation sample</w:t>
            </w:r>
          </w:p>
        </w:tc>
        <w:tc>
          <w:tcPr>
            <w:tcW w:w="1176" w:type="dxa"/>
          </w:tcPr>
          <w:p w14:paraId="03DEAF20" w14:textId="77777777" w:rsidR="00E72823" w:rsidRPr="00E72823" w:rsidRDefault="00E72823" w:rsidP="00E72823">
            <w:pPr>
              <w:spacing w:line="480" w:lineRule="auto"/>
              <w:jc w:val="center"/>
              <w:rPr>
                <w:rFonts w:ascii="Times New Roman" w:eastAsia="Times New Roman" w:hAnsi="Times New Roman" w:cs="Times New Roman"/>
                <w:b/>
                <w:bCs/>
                <w:sz w:val="20"/>
                <w:szCs w:val="20"/>
              </w:rPr>
            </w:pPr>
            <w:r w:rsidRPr="00E72823">
              <w:rPr>
                <w:rFonts w:ascii="Times New Roman" w:eastAsia="Times New Roman" w:hAnsi="Times New Roman" w:cs="Times New Roman"/>
                <w:b/>
                <w:bCs/>
                <w:sz w:val="20"/>
                <w:szCs w:val="20"/>
              </w:rPr>
              <w:t>Internal validation</w:t>
            </w:r>
          </w:p>
        </w:tc>
        <w:tc>
          <w:tcPr>
            <w:tcW w:w="1176" w:type="dxa"/>
          </w:tcPr>
          <w:p w14:paraId="10F1001F" w14:textId="77777777" w:rsidR="00E72823" w:rsidRPr="00E72823" w:rsidRDefault="00E72823" w:rsidP="00E72823">
            <w:pPr>
              <w:spacing w:line="480" w:lineRule="auto"/>
              <w:jc w:val="center"/>
              <w:rPr>
                <w:rFonts w:ascii="Times New Roman" w:eastAsia="Times New Roman" w:hAnsi="Times New Roman" w:cs="Times New Roman"/>
                <w:b/>
                <w:bCs/>
                <w:sz w:val="20"/>
                <w:szCs w:val="20"/>
              </w:rPr>
            </w:pPr>
            <w:r w:rsidRPr="00E72823">
              <w:rPr>
                <w:rFonts w:ascii="Times New Roman" w:eastAsia="Times New Roman" w:hAnsi="Times New Roman" w:cs="Times New Roman"/>
                <w:b/>
                <w:bCs/>
                <w:sz w:val="20"/>
                <w:szCs w:val="20"/>
              </w:rPr>
              <w:t>External validation (study if applicable)</w:t>
            </w:r>
          </w:p>
        </w:tc>
      </w:tr>
      <w:tr w:rsidR="00E72823" w:rsidRPr="00E72823" w14:paraId="2D92F2F2" w14:textId="77777777" w:rsidTr="005E61D2">
        <w:trPr>
          <w:trHeight w:val="393"/>
        </w:trPr>
        <w:tc>
          <w:tcPr>
            <w:tcW w:w="1856" w:type="dxa"/>
            <w:vAlign w:val="center"/>
          </w:tcPr>
          <w:p w14:paraId="3EDBAF87"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Fishman et al. (2023)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{"citationID":"iaFE9LGN","properties":{"formattedCitation":"\\super 29\\nosupersub{}","plainCitation":"29","noteIndex":0},"citationItems":[{"id":622,"uris":["http://zotero.org/users/local/9pQthM68/items/6A38GCR2"],"itemData":{"id":622,"type":"article-journal","abstract":"BACKGROUND: Nonalcoholic steatohepatitis (NASH) is a chronic progression of nonalcoholic fatty liver disease, which can negatively impact the health-related quality of life (HRQoL) of affected individuals. HRQoL in NASH has been assessed using the disease-specific Chronic Liver Disease Questionnaire for NASH (CLDQ-NASH) and the generic EuroQol EQ-5D-5L. As the performance of these instruments relative to each other is unknown, we performed a cross-walk analysis of CLDQ-NASH to EQ-5D-5L using data from a real-world NASH population. METHODS: Data were drawn from the Adelphi Real World 2019 NASH Disease Specific Programme, a cross-sectional survey of physicians and their patients in the United States. Patients with physician-diagnosed NASH completed a questionnaire that included the CLDQ-NASH and EQ-5D-5L. Mapping from CLDQ-NASH to EQ-5D-5L was done using tenfold cross-validation; performance was assessed using root-mean squared error as accuracy measure. Subgroup analyses compared performance of the models in obese versus non-obese patients and patients with versus without type 2 diabetes (T2D). RESULTS: Data from 347 patients were included in this analysis. Overall, 2172 models were tested for predicting EQ-5D-5L index score from CLDQ-NASH score. The best model for this mapping was a generalized linear model using Gaussian distribution and a power link. The best model for mapping from CLDQ-NASH domains to the EQ-5D-5L was a fractional logistic model. Models performed better at predicting upper versus lower values of EQ-5D-5L, for non-obese versus obese patients, and for patients without versus with T2D. CONCLUSION: We describe a scoring algorithm for cross-walking the CLDQ-NASH to the EQ-5D-5L enabling health status comparisons of HRQoL across studies.","container-title":"Health Qual Life Outcomes","DOI":"10.1186/s12955-023-02195-x","ISSN":"1477-7525","issue":"1","language":"eng","page":"113","PMCID":"PMC10576276","title":"Cross-walk of the Chronic Liver Disease Questionnaire for Nonalcoholic Steatohepatitis (CLDQ-NASH) and the EuroQol EQ-5D-5L in patients with NASH","volume":"21","author":[{"family":"Fishman","given":"J."},{"family":"Higgins","given":"V."},{"family":"Piercy","given":"J."},{"family":"Pike","given":"J."}],"issued":{"date-parts":[["2023",10,14]]}}}],"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29</w:t>
            </w:r>
            <w:r w:rsidRPr="00E72823">
              <w:rPr>
                <w:rFonts w:ascii="Times New Roman" w:eastAsia="Times New Roman" w:hAnsi="Times New Roman" w:cs="Times New Roman"/>
                <w:color w:val="000000"/>
                <w:sz w:val="20"/>
                <w:szCs w:val="20"/>
              </w:rPr>
              <w:fldChar w:fldCharType="end"/>
            </w:r>
          </w:p>
        </w:tc>
        <w:tc>
          <w:tcPr>
            <w:tcW w:w="2823" w:type="dxa"/>
            <w:vAlign w:val="center"/>
          </w:tcPr>
          <w:p w14:paraId="0CE9B57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Non-alcoholic Steatohepatitis</w:t>
            </w:r>
          </w:p>
        </w:tc>
        <w:tc>
          <w:tcPr>
            <w:tcW w:w="1194" w:type="dxa"/>
            <w:noWrap/>
            <w:vAlign w:val="center"/>
          </w:tcPr>
          <w:p w14:paraId="7CE2A35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347</w:t>
            </w:r>
          </w:p>
        </w:tc>
        <w:tc>
          <w:tcPr>
            <w:tcW w:w="1701" w:type="dxa"/>
            <w:noWrap/>
            <w:vAlign w:val="center"/>
          </w:tcPr>
          <w:p w14:paraId="1DA2158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Chronic Liver Disease Questionnaire for Non-alcoholic Steatohepatitis (CLDQ-NASH) </w:t>
            </w:r>
          </w:p>
        </w:tc>
        <w:tc>
          <w:tcPr>
            <w:tcW w:w="1316" w:type="dxa"/>
            <w:noWrap/>
            <w:vAlign w:val="center"/>
          </w:tcPr>
          <w:p w14:paraId="6E20C7D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noWrap/>
            <w:vAlign w:val="center"/>
          </w:tcPr>
          <w:p w14:paraId="7AA051B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GLM, fractional logistic regression</w:t>
            </w:r>
          </w:p>
        </w:tc>
        <w:tc>
          <w:tcPr>
            <w:tcW w:w="1263" w:type="dxa"/>
            <w:noWrap/>
            <w:vAlign w:val="center"/>
          </w:tcPr>
          <w:p w14:paraId="736C7B3A"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No</w:t>
            </w:r>
          </w:p>
        </w:tc>
        <w:tc>
          <w:tcPr>
            <w:tcW w:w="1176" w:type="dxa"/>
            <w:vAlign w:val="center"/>
          </w:tcPr>
          <w:p w14:paraId="23C0497F"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Yes</w:t>
            </w:r>
          </w:p>
        </w:tc>
        <w:tc>
          <w:tcPr>
            <w:tcW w:w="1176" w:type="dxa"/>
            <w:vAlign w:val="center"/>
          </w:tcPr>
          <w:p w14:paraId="22D0567E"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No</w:t>
            </w:r>
          </w:p>
        </w:tc>
      </w:tr>
      <w:tr w:rsidR="00E72823" w:rsidRPr="00E72823" w14:paraId="7A9DD994" w14:textId="77777777" w:rsidTr="005E61D2">
        <w:trPr>
          <w:trHeight w:val="1840"/>
        </w:trPr>
        <w:tc>
          <w:tcPr>
            <w:tcW w:w="1856" w:type="dxa"/>
            <w:vAlign w:val="center"/>
            <w:hideMark/>
          </w:tcPr>
          <w:p w14:paraId="797EF937"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Franken et al. (2020)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{"citationID":"aPgE7YBn","properties":{"formattedCitation":"\\super 22\\nosupersub{}","plainCitation":"22","noteIndex":0},"citationItems":[{"id":1329,"uris":["http://zotero.org/users/local/9pQthM68/items/FPWE9ETQ"],"itemData":{"id":1329,"type":"article-journal","abstract":"Cost-effectiveness models require quality of life utilities calculated from generic preference-based questionnaires, such as EQ-5D. We evaluated the performance of available algorithms for QLQ-C30 conversion into EQ-5D-3L based utilities in a metastatic colorectal cancer (mCRC) patient population and subsequently developed a mCRC specific algorithm. Influence of mapping on cost-effectiveness was evaluated.","container-title":"Health and Quality of Life Outcomes","DOI":"10.1186/s12955-020-01481-2","ISSN":"1477-7525","issue":"1","journalAbbreviation":"Health and Quality of Life Outcomes","page":"240","source":"BioMed Central","title":"Evaluation of the performance of algorithms mapping EORTC QLQ-C30 onto the EQ-5D index in a metastatic colorectal cancer cost-effectiveness model","volume":"18","author":[{"family":"Franken","given":"Mira D."},{"family":"Hond","given":"Anne","non-dropping-particle":"de"},{"family":"Degeling","given":"Koen"},{"family":"Punt","given":"Cornelis J. A."},{"family":"Koopman","given":"Miriam"},{"family":"Uyl-de Groot","given":"Carin A."},{"family":"Versteegh","given":"Matthijs M."},{"family":"Oijen","given":"Martijn G. H.","non-dropping-particle":"van"}],"issued":{"date-parts":[["2020",7,20]]}}}],"schema":"https://github.com/citation-style-language/schema/raw/master/csl-citation.json"}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22</w:t>
            </w:r>
            <w:r w:rsidRPr="00E72823">
              <w:rPr>
                <w:rFonts w:ascii="Times New Roman" w:eastAsia="Times New Roman" w:hAnsi="Times New Roman" w:cs="Times New Roman"/>
                <w:color w:val="000000"/>
                <w:sz w:val="20"/>
                <w:szCs w:val="20"/>
              </w:rPr>
              <w:fldChar w:fldCharType="end"/>
            </w:r>
          </w:p>
        </w:tc>
        <w:tc>
          <w:tcPr>
            <w:tcW w:w="2823" w:type="dxa"/>
            <w:vAlign w:val="center"/>
            <w:hideMark/>
          </w:tcPr>
          <w:p w14:paraId="172BA1E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Colorectal Cancer</w:t>
            </w:r>
          </w:p>
        </w:tc>
        <w:tc>
          <w:tcPr>
            <w:tcW w:w="1194" w:type="dxa"/>
            <w:noWrap/>
            <w:vAlign w:val="center"/>
            <w:hideMark/>
          </w:tcPr>
          <w:p w14:paraId="7FEDE19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473</w:t>
            </w:r>
          </w:p>
        </w:tc>
        <w:tc>
          <w:tcPr>
            <w:tcW w:w="1701" w:type="dxa"/>
            <w:noWrap/>
            <w:vAlign w:val="center"/>
            <w:hideMark/>
          </w:tcPr>
          <w:p w14:paraId="63F5630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p w14:paraId="57E514D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316" w:type="dxa"/>
            <w:noWrap/>
            <w:vAlign w:val="center"/>
            <w:hideMark/>
          </w:tcPr>
          <w:p w14:paraId="0A5CEA9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p w14:paraId="299FCFE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2472" w:type="dxa"/>
            <w:noWrap/>
            <w:vAlign w:val="center"/>
            <w:hideMark/>
          </w:tcPr>
          <w:p w14:paraId="72F7F48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Random effects, ordered logit, beta regression, separate equations</w:t>
            </w:r>
          </w:p>
        </w:tc>
        <w:tc>
          <w:tcPr>
            <w:tcW w:w="1263" w:type="dxa"/>
            <w:noWrap/>
            <w:vAlign w:val="center"/>
            <w:hideMark/>
          </w:tcPr>
          <w:p w14:paraId="2D6E06C4"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Yes</w:t>
            </w:r>
          </w:p>
        </w:tc>
        <w:tc>
          <w:tcPr>
            <w:tcW w:w="1176" w:type="dxa"/>
            <w:vAlign w:val="center"/>
          </w:tcPr>
          <w:p w14:paraId="71064792"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No</w:t>
            </w:r>
          </w:p>
        </w:tc>
        <w:tc>
          <w:tcPr>
            <w:tcW w:w="1176" w:type="dxa"/>
            <w:vAlign w:val="center"/>
          </w:tcPr>
          <w:p w14:paraId="18F498FD" w14:textId="77777777" w:rsidR="00E72823" w:rsidRPr="00E72823" w:rsidRDefault="00E72823" w:rsidP="00E72823">
            <w:pPr>
              <w:spacing w:line="480" w:lineRule="auto"/>
              <w:jc w:val="center"/>
              <w:rPr>
                <w:rFonts w:ascii="Times New Roman" w:eastAsia="Times New Roman" w:hAnsi="Times New Roman" w:cs="Times New Roman"/>
                <w:sz w:val="20"/>
                <w:szCs w:val="20"/>
              </w:rPr>
            </w:pPr>
            <w:r w:rsidRPr="00E72823">
              <w:rPr>
                <w:rFonts w:ascii="Times New Roman" w:eastAsia="Times New Roman" w:hAnsi="Times New Roman" w:cs="Times New Roman"/>
                <w:sz w:val="20"/>
                <w:szCs w:val="20"/>
              </w:rPr>
              <w:t>No</w:t>
            </w:r>
          </w:p>
        </w:tc>
      </w:tr>
      <w:tr w:rsidR="00E72823" w:rsidRPr="00E72823" w14:paraId="34AA0D62" w14:textId="77777777" w:rsidTr="005E61D2">
        <w:trPr>
          <w:trHeight w:val="284"/>
        </w:trPr>
        <w:tc>
          <w:tcPr>
            <w:tcW w:w="1856" w:type="dxa"/>
            <w:vMerge w:val="restart"/>
            <w:vAlign w:val="center"/>
            <w:hideMark/>
          </w:tcPr>
          <w:p w14:paraId="14B10166"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Hatswell et al. (2016)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{"citationID":"TLGbigOS","properties":{"formattedCitation":"\\super 27\\nosupersub{}","plainCitation":"27","noteIndex":0},"citationItems":[{"id":1332,"uris":["http://zotero.org/users/local/9pQthM68/items/8EH32ATH"],"itemData":{"id":1332,"type":"article-journal","abstract":"In health economic evaluations, quality of life should be measured with preference-based utilities, such as the EuroQol 5 Dimension 3-level (EQ-5D-3 L). Non-preference-based instruments (often disease-specific questionnaires) are commonly mapped to utilities. We investigated if the relationship observed between the Patient Assessment of Constipation Quality of Life (PAC-QOL) and the EQ-5D-3 L in patients with chronic idiopathic constipation (CIC) also applies in opioid-induced constipation (OIC).","container-title":"Health Economics Review","DOI":"10.1186/s13561-016-0091-9","ISSN":"2191-1991","issue":"1","journalAbbreviation":"Health Economics Review","page":"14","source":"BioMed Central","title":"Measuring quality of life in opioid-induced constipation: mapping EQ-5D-3 L and PAC-QOL","title-short":"Measuring quality of life in opioid-induced constipation","volume":"6","author":[{"family":"Hatswell","given":"Anthony James"},{"family":"Vegter","given":"Stefan"}],"issued":{"date-parts":[["2016",4,21]]}}}],"schema":"https://github.com/citation-style-language/schema/raw/master/csl-citation.json"}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27</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hideMark/>
          </w:tcPr>
          <w:p w14:paraId="658F58A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Opioid-Induced Constipation</w:t>
            </w:r>
          </w:p>
        </w:tc>
        <w:tc>
          <w:tcPr>
            <w:tcW w:w="1194" w:type="dxa"/>
            <w:vAlign w:val="center"/>
            <w:hideMark/>
          </w:tcPr>
          <w:p w14:paraId="474809A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439</w:t>
            </w:r>
          </w:p>
        </w:tc>
        <w:tc>
          <w:tcPr>
            <w:tcW w:w="1701" w:type="dxa"/>
            <w:noWrap/>
            <w:vAlign w:val="center"/>
            <w:hideMark/>
          </w:tcPr>
          <w:p w14:paraId="31A649F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PAC-QOL</w:t>
            </w:r>
          </w:p>
        </w:tc>
        <w:tc>
          <w:tcPr>
            <w:tcW w:w="1316" w:type="dxa"/>
            <w:noWrap/>
            <w:vAlign w:val="center"/>
            <w:hideMark/>
          </w:tcPr>
          <w:p w14:paraId="537078D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1CD8064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2676950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2E4044A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7297627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r>
      <w:tr w:rsidR="00E72823" w:rsidRPr="00E72823" w14:paraId="593D4300" w14:textId="77777777" w:rsidTr="005E61D2">
        <w:trPr>
          <w:trHeight w:val="284"/>
        </w:trPr>
        <w:tc>
          <w:tcPr>
            <w:tcW w:w="1856" w:type="dxa"/>
            <w:vMerge/>
            <w:hideMark/>
          </w:tcPr>
          <w:p w14:paraId="7AD03673"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hideMark/>
          </w:tcPr>
          <w:p w14:paraId="20C5CF6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vAlign w:val="center"/>
            <w:hideMark/>
          </w:tcPr>
          <w:p w14:paraId="5FB2F63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439</w:t>
            </w:r>
          </w:p>
        </w:tc>
        <w:tc>
          <w:tcPr>
            <w:tcW w:w="1701" w:type="dxa"/>
            <w:noWrap/>
            <w:vAlign w:val="center"/>
            <w:hideMark/>
          </w:tcPr>
          <w:p w14:paraId="6F9D6F1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PAC-QOL</w:t>
            </w:r>
          </w:p>
        </w:tc>
        <w:tc>
          <w:tcPr>
            <w:tcW w:w="1316" w:type="dxa"/>
            <w:noWrap/>
            <w:vAlign w:val="center"/>
            <w:hideMark/>
          </w:tcPr>
          <w:p w14:paraId="05BC3CB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vAlign w:val="center"/>
            <w:hideMark/>
          </w:tcPr>
          <w:p w14:paraId="2171431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1126CB2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184D5BA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6AC3165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7971A697" w14:textId="77777777" w:rsidTr="005E61D2">
        <w:trPr>
          <w:trHeight w:val="284"/>
        </w:trPr>
        <w:tc>
          <w:tcPr>
            <w:tcW w:w="1856" w:type="dxa"/>
            <w:vMerge/>
            <w:hideMark/>
          </w:tcPr>
          <w:p w14:paraId="1E403BB5"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hideMark/>
          </w:tcPr>
          <w:p w14:paraId="213F4707"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vAlign w:val="center"/>
            <w:hideMark/>
          </w:tcPr>
          <w:p w14:paraId="13949AD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439</w:t>
            </w:r>
          </w:p>
        </w:tc>
        <w:tc>
          <w:tcPr>
            <w:tcW w:w="1701" w:type="dxa"/>
            <w:noWrap/>
            <w:vAlign w:val="center"/>
            <w:hideMark/>
          </w:tcPr>
          <w:p w14:paraId="4704953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PAC-QOL</w:t>
            </w:r>
          </w:p>
        </w:tc>
        <w:tc>
          <w:tcPr>
            <w:tcW w:w="1316" w:type="dxa"/>
            <w:noWrap/>
            <w:vAlign w:val="center"/>
            <w:hideMark/>
          </w:tcPr>
          <w:p w14:paraId="15DCABB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vAlign w:val="center"/>
            <w:hideMark/>
          </w:tcPr>
          <w:p w14:paraId="4DB4F57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323A53A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02A779E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6DFC0C5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0DD79EB5" w14:textId="77777777" w:rsidTr="005E61D2">
        <w:trPr>
          <w:trHeight w:val="3534"/>
        </w:trPr>
        <w:tc>
          <w:tcPr>
            <w:tcW w:w="1856" w:type="dxa"/>
            <w:vMerge w:val="restart"/>
            <w:vAlign w:val="center"/>
            <w:hideMark/>
          </w:tcPr>
          <w:p w14:paraId="1810E8EB"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lastRenderedPageBreak/>
              <w:t xml:space="preserve">Kim et al. (2012)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{"citationID":"WlyNBVFA","properties":{"formattedCitation":"\\super 23\\nosupersub{}","plainCitation":"23","noteIndex":0},"citationItems":[{"id":1335,"uris":["http://zotero.org/users/local/9pQthM68/items/32P6UYXE"],"itemData":{"id":1335,"type":"article-journal","abstract":"The European Organisation for Research and Treatment of Cancer Quality of Life Questionnaire Core 30 (EORTC QLQ-C30) is the instrument most frequently used to measure quality of life in cancer patients, whereas the EQ-5D is widely used to measure and evaluate general health status. Although the EORTC QLQ-C30 has been mapped to EQ-5D utilities, those studies were limited to patients with a single type of cancer. The present study aimed to develop a mapping relationship between the EORTC QLQ-C30 and EQ-5D-based utility values at the individual level.","container-title":"Health and Quality of Life Outcomes","DOI":"10.1186/1477-7525-10-151","ISSN":"1477-7525","issue":"1","journalAbbreviation":"Health and Quality of Life Outcomes","page":"151","source":"BioMed Central","title":"Mapping EORTC QLQ-C30 onto EQ-5D for the assessment of cancer patients","volume":"10","author":[{"family":"Kim","given":"Seon Ha"},{"family":"Jo","given":"Min-Woo"},{"family":"Kim","given":"Hwa-Jung"},{"family":"Ahn","given":"Jin-Hee"}],"issued":{"date-parts":[["2012",12,17]]}}}],"schema":"https://github.com/citation-style-language/schema/raw/master/csl-citation.json"}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23</w:t>
            </w:r>
            <w:r w:rsidRPr="00E72823">
              <w:rPr>
                <w:rFonts w:ascii="Times New Roman" w:eastAsia="Times New Roman" w:hAnsi="Times New Roman" w:cs="Times New Roman"/>
                <w:color w:val="000000"/>
                <w:sz w:val="20"/>
                <w:szCs w:val="20"/>
              </w:rPr>
              <w:fldChar w:fldCharType="end"/>
            </w:r>
          </w:p>
        </w:tc>
        <w:tc>
          <w:tcPr>
            <w:tcW w:w="2823" w:type="dxa"/>
            <w:vAlign w:val="center"/>
            <w:hideMark/>
          </w:tcPr>
          <w:p w14:paraId="5BC42EC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(Estimation sample: n=177 colorectal cancer; n=89 stomach cancer; n=39 pancreas cancer; n=31 liver cancer; n=20 oesophageal cancer; n=14 gallbladder cancer)</w:t>
            </w:r>
          </w:p>
        </w:tc>
        <w:tc>
          <w:tcPr>
            <w:tcW w:w="1194" w:type="dxa"/>
            <w:noWrap/>
            <w:vAlign w:val="center"/>
            <w:hideMark/>
          </w:tcPr>
          <w:p w14:paraId="1044477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893</w:t>
            </w:r>
          </w:p>
        </w:tc>
        <w:tc>
          <w:tcPr>
            <w:tcW w:w="1701" w:type="dxa"/>
            <w:noWrap/>
            <w:vAlign w:val="center"/>
            <w:hideMark/>
          </w:tcPr>
          <w:p w14:paraId="2677582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4B7DD6E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35A9B2E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p w14:paraId="4A4246F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263" w:type="dxa"/>
            <w:noWrap/>
            <w:vAlign w:val="center"/>
            <w:hideMark/>
          </w:tcPr>
          <w:p w14:paraId="6BA8C71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44EAD65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002E5DF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2F36A3C0" w14:textId="77777777" w:rsidTr="005E61D2">
        <w:trPr>
          <w:trHeight w:val="284"/>
        </w:trPr>
        <w:tc>
          <w:tcPr>
            <w:tcW w:w="1856" w:type="dxa"/>
            <w:vMerge/>
            <w:vAlign w:val="center"/>
            <w:hideMark/>
          </w:tcPr>
          <w:p w14:paraId="23F02E4B"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Align w:val="center"/>
            <w:hideMark/>
          </w:tcPr>
          <w:p w14:paraId="502CBF5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Colon cancer</w:t>
            </w:r>
          </w:p>
          <w:p w14:paraId="5FB5D66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hideMark/>
          </w:tcPr>
          <w:p w14:paraId="5DEE3CA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123</w:t>
            </w:r>
          </w:p>
        </w:tc>
        <w:tc>
          <w:tcPr>
            <w:tcW w:w="1701" w:type="dxa"/>
            <w:noWrap/>
            <w:vAlign w:val="center"/>
            <w:hideMark/>
          </w:tcPr>
          <w:p w14:paraId="17999E5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7B5C815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vAlign w:val="center"/>
            <w:hideMark/>
          </w:tcPr>
          <w:p w14:paraId="26DACB9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32C1F3D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55B37217"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602CBC0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r>
      <w:tr w:rsidR="00E72823" w:rsidRPr="00E72823" w14:paraId="0D8614BA" w14:textId="77777777" w:rsidTr="005E61D2">
        <w:trPr>
          <w:trHeight w:val="284"/>
        </w:trPr>
        <w:tc>
          <w:tcPr>
            <w:tcW w:w="1856" w:type="dxa"/>
            <w:vMerge w:val="restart"/>
            <w:vAlign w:val="center"/>
            <w:hideMark/>
          </w:tcPr>
          <w:p w14:paraId="5E34C79A"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Kontodimopoulos et al. (2009)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{"citationID":"CvoF9Mf7","properties":{"formattedCitation":"\\super 20\\nosupersub{}","plainCitation":"20","noteIndex":0},"citationItems":[{"id":1338,"uris":["http://zotero.org/users/local/9pQthM68/items/UEEZCL9S"],"itemData":{"id":1338,"type":"article-journal","abstract":"OBJECTIVES: To estimate models, via ordinary least squares regression, for predicting Euro Qol 5D (EQ-5D), Short Form 6D (SF-6D), and 15D utilities from scale scores of the European Organization for Research and Treatment of Cancer Quality of Life Questionnaire (EORTC QLQ-C30).\nMETHODS: Forty-eight gastric cancer patients, split up into equal subgroups by age, sex, and chemotherapy scheme, were interviewed, and the survey included the QLQ-C30, SF-36, EQ-5D, and 15D instruments, along with sociodemographic and clinical data. Model predictive ability and explanatory power were assessed by root mean square error (RMSE) and adjusted R(2) values, respectively. Pearson's r between predicted and reported utility indices was compared. Three random subsamples, half in size the initial sample, were created and used for \"external\" validation of the modeling equations.\nRESULTS: Explanatory power was high, with adjusted R(2) reaching 0.909, 0.833, and 0.611 for 15D, SF-6D, and EQ-5D, respectively. After normalization of RMSE to the range of possible values, the prediction errors were 12.0, 5.4, and 5.6% for EQ-5D, SF-6D, and 15D, respectively. The estimation equations produced a range of utility scores similar to those achievable by the standard scoring algorithms. Predicted and reported indices from the validation samples were comparable thus confirming the previous results.\nCONCLUSIONS: Evidence on the ability of QLQ-C30 scale scores to validly predict 15D and SF-6D utilities, and to a lesser extent, EQ-5D, has been provided. The modeling equations must be tried in future studies with larger and more diverse samples to confirm their appropriateness for estimating quality-adjusted life-year in cancer-patient trials including only the QLQ-C30.","container-title":"Value in Health: The Journal of the International Society for Pharmacoeconomics and Outcomes Research","DOI":"10.1111/j.1524-4733.2009.00569.x","ISSN":"1524-4733","issue":"8","journalAbbreviation":"Value Health","language":"eng","page":"1151-1157","PMID":"19558372","source":"PubMed","title":"Mapping the cancer-specific EORTC QLQ-C30 to the preference-based EQ-5D, SF-6D, and 15D instruments","volume":"12","author":[{"family":"Kontodimopoulos","given":"Nick"},{"family":"Aletras","given":"Vassilis H."},{"family":"Paliouras","given":"Dimitris"},{"family":"Niakas","given":"Dimitris"}],"issued":{"date-parts":[["2009"]]}}}],"schema":"https://github.com/citation-style-language/schema/raw/master/csl-citation.json"}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20</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hideMark/>
          </w:tcPr>
          <w:p w14:paraId="29DA4A6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Gastric Cancer</w:t>
            </w:r>
          </w:p>
        </w:tc>
        <w:tc>
          <w:tcPr>
            <w:tcW w:w="1194" w:type="dxa"/>
            <w:noWrap/>
            <w:vAlign w:val="center"/>
            <w:hideMark/>
          </w:tcPr>
          <w:p w14:paraId="3664CA4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48</w:t>
            </w:r>
          </w:p>
        </w:tc>
        <w:tc>
          <w:tcPr>
            <w:tcW w:w="1701" w:type="dxa"/>
            <w:noWrap/>
            <w:vAlign w:val="center"/>
            <w:hideMark/>
          </w:tcPr>
          <w:p w14:paraId="53B1BBF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6485FF2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039B3D8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p w14:paraId="75938E1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263" w:type="dxa"/>
            <w:noWrap/>
            <w:vAlign w:val="center"/>
            <w:hideMark/>
          </w:tcPr>
          <w:p w14:paraId="38BF482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1D4099D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76" w:type="dxa"/>
            <w:vAlign w:val="center"/>
          </w:tcPr>
          <w:p w14:paraId="525A055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628B1A8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364841B5" w14:textId="77777777" w:rsidTr="005E61D2">
        <w:trPr>
          <w:trHeight w:val="284"/>
        </w:trPr>
        <w:tc>
          <w:tcPr>
            <w:tcW w:w="1856" w:type="dxa"/>
            <w:vMerge/>
            <w:hideMark/>
          </w:tcPr>
          <w:p w14:paraId="6BD5C8F5"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hideMark/>
          </w:tcPr>
          <w:p w14:paraId="038B515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hideMark/>
          </w:tcPr>
          <w:p w14:paraId="12BC7E0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48</w:t>
            </w:r>
          </w:p>
        </w:tc>
        <w:tc>
          <w:tcPr>
            <w:tcW w:w="1701" w:type="dxa"/>
            <w:noWrap/>
            <w:vAlign w:val="center"/>
            <w:hideMark/>
          </w:tcPr>
          <w:p w14:paraId="643AA87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395D5DE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15D</w:t>
            </w:r>
          </w:p>
        </w:tc>
        <w:tc>
          <w:tcPr>
            <w:tcW w:w="2472" w:type="dxa"/>
            <w:vMerge w:val="restart"/>
            <w:vAlign w:val="center"/>
            <w:hideMark/>
          </w:tcPr>
          <w:p w14:paraId="4DE8591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65AF5A1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p w14:paraId="13210DA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7615E14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vMerge w:val="restart"/>
            <w:vAlign w:val="center"/>
            <w:hideMark/>
          </w:tcPr>
          <w:p w14:paraId="4070A60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3C9D513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7A40ED6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27DFE35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5320EAC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76" w:type="dxa"/>
            <w:vAlign w:val="center"/>
          </w:tcPr>
          <w:p w14:paraId="30DC99C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lastRenderedPageBreak/>
              <w:t>No</w:t>
            </w:r>
          </w:p>
        </w:tc>
        <w:tc>
          <w:tcPr>
            <w:tcW w:w="1176" w:type="dxa"/>
            <w:vAlign w:val="center"/>
          </w:tcPr>
          <w:p w14:paraId="1A04694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02AE4F37" w14:textId="77777777" w:rsidTr="005E61D2">
        <w:trPr>
          <w:trHeight w:val="284"/>
        </w:trPr>
        <w:tc>
          <w:tcPr>
            <w:tcW w:w="1856" w:type="dxa"/>
            <w:vMerge/>
            <w:hideMark/>
          </w:tcPr>
          <w:p w14:paraId="0D0D7FF8"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hideMark/>
          </w:tcPr>
          <w:p w14:paraId="59F2FDF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hideMark/>
          </w:tcPr>
          <w:p w14:paraId="5A05173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48</w:t>
            </w:r>
          </w:p>
        </w:tc>
        <w:tc>
          <w:tcPr>
            <w:tcW w:w="1701" w:type="dxa"/>
            <w:noWrap/>
            <w:vAlign w:val="center"/>
            <w:hideMark/>
          </w:tcPr>
          <w:p w14:paraId="10594F5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4D45575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SF-6D</w:t>
            </w:r>
          </w:p>
        </w:tc>
        <w:tc>
          <w:tcPr>
            <w:tcW w:w="2472" w:type="dxa"/>
            <w:vMerge/>
            <w:hideMark/>
          </w:tcPr>
          <w:p w14:paraId="783511FA"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263" w:type="dxa"/>
            <w:vMerge/>
            <w:vAlign w:val="center"/>
            <w:hideMark/>
          </w:tcPr>
          <w:p w14:paraId="26FF8E7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76" w:type="dxa"/>
            <w:vAlign w:val="center"/>
          </w:tcPr>
          <w:p w14:paraId="3508712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1FEA82F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49BC13F4" w14:textId="77777777" w:rsidTr="005E61D2">
        <w:trPr>
          <w:trHeight w:val="889"/>
        </w:trPr>
        <w:tc>
          <w:tcPr>
            <w:tcW w:w="1856" w:type="dxa"/>
            <w:vAlign w:val="center"/>
            <w:hideMark/>
          </w:tcPr>
          <w:p w14:paraId="7421A787"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Kontodimopoulos et al. (2009)</w:t>
            </w:r>
          </w:p>
        </w:tc>
        <w:tc>
          <w:tcPr>
            <w:tcW w:w="2823" w:type="dxa"/>
            <w:vAlign w:val="center"/>
            <w:hideMark/>
          </w:tcPr>
          <w:p w14:paraId="4A24C8E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(n=370 colorectal; n=131 oesophago-gastric)</w:t>
            </w:r>
          </w:p>
        </w:tc>
        <w:tc>
          <w:tcPr>
            <w:tcW w:w="1194" w:type="dxa"/>
            <w:noWrap/>
            <w:vAlign w:val="center"/>
            <w:hideMark/>
          </w:tcPr>
          <w:p w14:paraId="003B1A4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1,727</w:t>
            </w:r>
          </w:p>
        </w:tc>
        <w:tc>
          <w:tcPr>
            <w:tcW w:w="1701" w:type="dxa"/>
            <w:noWrap/>
            <w:vAlign w:val="center"/>
            <w:hideMark/>
          </w:tcPr>
          <w:p w14:paraId="766B2A7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084A1FC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1EB2153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30E3FB5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52D8907"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tcPr>
          <w:p w14:paraId="2EEE9E4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133A96E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(External validation by Doble &amp; Lorgelly. (2016)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{"citationID":"H78rzMsm","properties":{"formattedCitation":"\\super 19\\nosupersub{}","plainCitation":"19","noteIndex":0},"citationItems":[{"id":1341,"uris":["http://zotero.org/users/local/9pQthM68/items/VD2KTICE"],"itemData":{"id":1341,"type":"article-journal","abstract":"To determine the external validity of existing mapping algorithms for predicting EQ-5D-3L utility values from EORTC QLQ-C30 responses and to establish their generalizability in different types of cancer.","container-title":"Quality of Life Research","DOI":"10.1007/s11136-015-1116-2","ISSN":"1573-2649","issue":"4","journalAbbreviation":"Qual Life Res","language":"en","page":"891-911","source":"Springer Link","title":"Mapping the EORTC QLQ-C30 onto the EQ-5D-3L: assessing the external validity of existing mapping algorithms","title-short":"Mapping the EORTC QLQ-C30 onto the EQ-5D-3L","volume":"25","author":[{"family":"Doble","given":"Brett"},{"family":"Lorgelly","given":"Paula"}],"issued":{"date-parts":[["2016",4,1]]}}}],"schema":"https://github.com/citation-style-language/schema/raw/master/csl-citation.json"}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19</w:t>
            </w:r>
            <w:r w:rsidRPr="00E72823">
              <w:rPr>
                <w:rFonts w:ascii="Times New Roman" w:eastAsia="Times New Roman" w:hAnsi="Times New Roman" w:cs="Times New Roman"/>
                <w:color w:val="000000"/>
                <w:sz w:val="20"/>
                <w:szCs w:val="20"/>
              </w:rPr>
              <w:fldChar w:fldCharType="end"/>
            </w:r>
          </w:p>
        </w:tc>
      </w:tr>
      <w:tr w:rsidR="00E72823" w:rsidRPr="00E72823" w14:paraId="6B6C8119" w14:textId="77777777" w:rsidTr="005E61D2">
        <w:trPr>
          <w:trHeight w:val="374"/>
        </w:trPr>
        <w:tc>
          <w:tcPr>
            <w:tcW w:w="1856" w:type="dxa"/>
            <w:noWrap/>
            <w:vAlign w:val="center"/>
            <w:hideMark/>
          </w:tcPr>
          <w:p w14:paraId="4F565108"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Marriot et al. (2017)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{"citationID":"x2JaPxSu","properties":{"formattedCitation":"\\super 21\\nosupersub{}","plainCitation":"21","noteIndex":0},"citationItems":[{"id":1345,"uris":["http://zotero.org/users/local/9pQthM68/items/4NH8E8KD"],"itemData":{"id":1345,"type":"article-journal","abstract":"AIMS: The primary aim of this study was to perform a mapping of the EORTC-QLQ-C30 scores to EQ-5D-3L for the SIRFLOX study; a large dataset of patients with previously untreated liver-only or liver-dominant metastatic colorectal cancer (mCRC). A secondary aim was to compare the predictive validity of existing mappings from EORTC-QLQ-C30 to EQ-5D-3L conducted in other cancers.\nMETHODS AND MATERIALS: Questionnaires (completed within 529 patients) were used in a linear mixed regression to model EQ-5D-3L utility values (scored using the UK tariff) as a function of the five function scores, nine symptom scores, and the global score from the EORTC-QLQ-C30 questionnaire. A Tobit regression was also performed. The mean EQ-5D-3L values for the SIRFLOX trial were calculated and compared with predicted EQ-5D-3L values derived using published mapping algorithms.\nRESULTS: The linear mixed regression model provided a satisfactory mapping between the EORTC-QLQ-C30 and the EQ-5D-3L, whilst the Tobit model did not perform as well. When utilities from the SIRFLOX data were calculated with previously published mapping studies, three out of five studies performed well (&lt; 10% mean difference).\nLIMITATIONS: The main limitation of the study was the lack of meaningful observations post-progression (67 paired observations). For this reason, this study was unable to test whether the mapping holds by disease stage. Additionally, although the study adds to the literature of mappings to the EQ-5D-3L, it is not known how results would differ using the EQ-5D-5L.\nCONCLUSION: This study is the first of its kind in liver-only or liver-dominant mCRC, and mCRC in general. The mapping constructed showed a good fit to the data and provides practitioners with an additional mapping between EORTC-QLQ-C30 to EQ-5D-3L using a large dataset (529 patients, 707 paired observations). The study also confirmed the generalizability of mappings published by Proskorovsky, Kontodimopoulos, and Longworth to liver-only or liver-dominant mCRC.","container-title":"Journal of Medical Economics","DOI":"10.1080/13696998.2016.1241788","ISSN":"1941-837X","issue":"2","journalAbbreviation":"J Med Econ","language":"eng","page":"193-199","PMID":"27676291","source":"PubMed","title":"Mapping EORTC-QLQ-C30 to EQ-5D-3L in patients with colorectal cancer","volume":"20","author":[{"family":"Marriott","given":"Emily-Ruth"},{"family":"Hazel","given":"Guy","non-dropping-particle":"van"},{"family":"Gibbs","given":"Peter"},{"family":"Hatswell","given":"Anthony J."}],"issued":{"date-parts":[["2017",2]]}}}],"schema":"https://github.com/citation-style-language/schema/raw/master/csl-citation.json"}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21</w:t>
            </w:r>
            <w:r w:rsidRPr="00E72823">
              <w:rPr>
                <w:rFonts w:ascii="Times New Roman" w:eastAsia="Times New Roman" w:hAnsi="Times New Roman" w:cs="Times New Roman"/>
                <w:color w:val="000000"/>
                <w:sz w:val="20"/>
                <w:szCs w:val="20"/>
              </w:rPr>
              <w:fldChar w:fldCharType="end"/>
            </w:r>
            <w:r w:rsidRPr="00E72823">
              <w:rPr>
                <w:rFonts w:ascii="Times New Roman" w:eastAsia="Times New Roman" w:hAnsi="Times New Roman" w:cs="Times New Roman"/>
                <w:color w:val="000000"/>
                <w:sz w:val="20"/>
                <w:szCs w:val="20"/>
              </w:rPr>
              <w:t xml:space="preserve">       </w:t>
            </w:r>
          </w:p>
        </w:tc>
        <w:tc>
          <w:tcPr>
            <w:tcW w:w="2823" w:type="dxa"/>
            <w:noWrap/>
            <w:vAlign w:val="center"/>
            <w:hideMark/>
          </w:tcPr>
          <w:p w14:paraId="3D6F6E2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Colorectal Cancer</w:t>
            </w:r>
          </w:p>
        </w:tc>
        <w:tc>
          <w:tcPr>
            <w:tcW w:w="1194" w:type="dxa"/>
            <w:noWrap/>
            <w:vAlign w:val="center"/>
            <w:hideMark/>
          </w:tcPr>
          <w:p w14:paraId="76E0DA1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529</w:t>
            </w:r>
          </w:p>
        </w:tc>
        <w:tc>
          <w:tcPr>
            <w:tcW w:w="1701" w:type="dxa"/>
            <w:noWrap/>
            <w:vAlign w:val="center"/>
            <w:hideMark/>
          </w:tcPr>
          <w:p w14:paraId="2B1C09C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6DB0450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1E55E62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Linear mixed model, Tobit</w:t>
            </w:r>
          </w:p>
        </w:tc>
        <w:tc>
          <w:tcPr>
            <w:tcW w:w="1263" w:type="dxa"/>
            <w:noWrap/>
            <w:vAlign w:val="center"/>
            <w:hideMark/>
          </w:tcPr>
          <w:p w14:paraId="606C404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33EA241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877EA8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4061DB45" w14:textId="77777777" w:rsidTr="005E61D2">
        <w:trPr>
          <w:trHeight w:val="334"/>
        </w:trPr>
        <w:tc>
          <w:tcPr>
            <w:tcW w:w="1856" w:type="dxa"/>
            <w:vMerge w:val="restart"/>
            <w:vAlign w:val="center"/>
            <w:hideMark/>
          </w:tcPr>
          <w:p w14:paraId="3CA1904C"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Marriot et al. (2017)</w:t>
            </w:r>
          </w:p>
        </w:tc>
        <w:tc>
          <w:tcPr>
            <w:tcW w:w="2823" w:type="dxa"/>
            <w:noWrap/>
            <w:vAlign w:val="center"/>
            <w:hideMark/>
          </w:tcPr>
          <w:p w14:paraId="1D2982F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(n=179 colorectal; n=59 oesophago-gastric)</w:t>
            </w:r>
          </w:p>
        </w:tc>
        <w:tc>
          <w:tcPr>
            <w:tcW w:w="1194" w:type="dxa"/>
            <w:noWrap/>
            <w:vAlign w:val="center"/>
            <w:hideMark/>
          </w:tcPr>
          <w:p w14:paraId="5C91D88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1,719</w:t>
            </w:r>
          </w:p>
        </w:tc>
        <w:tc>
          <w:tcPr>
            <w:tcW w:w="1701" w:type="dxa"/>
            <w:noWrap/>
            <w:vAlign w:val="center"/>
            <w:hideMark/>
          </w:tcPr>
          <w:p w14:paraId="622D9A7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0A8BFA7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371446E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Mixed effects linear regression, Tobit</w:t>
            </w:r>
          </w:p>
        </w:tc>
        <w:tc>
          <w:tcPr>
            <w:tcW w:w="1263" w:type="dxa"/>
            <w:noWrap/>
            <w:vAlign w:val="center"/>
            <w:hideMark/>
          </w:tcPr>
          <w:p w14:paraId="1FF1C59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193532D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28ECB39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1BB3160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(External validation by </w:t>
            </w:r>
            <w:r w:rsidRPr="00E72823">
              <w:rPr>
                <w:rFonts w:ascii="Times New Roman" w:eastAsia="Times New Roman" w:hAnsi="Times New Roman" w:cs="Times New Roman"/>
                <w:color w:val="000000"/>
                <w:sz w:val="20"/>
                <w:szCs w:val="20"/>
              </w:rPr>
              <w:lastRenderedPageBreak/>
              <w:t xml:space="preserve">Woodcock &amp; Doble. 2018)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{"citationID":"r4EitsEy","properties":{"formattedCitation":"\\super 18\\nosupersub{}","plainCitation":"18","noteIndex":0},"citationItems":[{"id":1348,"uris":["http://zotero.org/users/local/9pQthM68/items/34XLZ3NV"],"itemData":{"id":1348,"type":"article-journal","abstract":"OBJECTIVES: To assess the external validity of mapping algorithms for predicting EQ-5D-3L utility values from EORTC QLQ-C30 responses not previously validated and to assess whether statistical models not previously applied are better suited for mapping the EORTC QLQ-C30 to the EQ-5D-3L.\nMETHODS: In total, 3866 observations for 1719 patients from a longitudinal study (Cancer 2015) were used to validate existing algorithms. Predictive accuracy was compared to previously validated algorithms using root mean squared error, mean absolute error across the EQ-5D-3L range, and for 10 tumor-type specific samples as well as using differences between estimated quality-adjusted life years. Thirteen new algorithms were estimated using a subset of the Cancer 2015 data (3203 observations for 1419 patients) applying various linear, response mapping, beta, and mixture models. Validation was performed using 2 data sets composed of patients with varying disease severity not used in the estimation and all available algorithms ranked on their performance.\nRESULTS: None of the 5 existing algorithms offer an improvement in predictive accuracy over preferred algorithms from previous validation studies. Of the newly estimated algorithms, a 2-part beta model performed the best across the validation criteria and in data sets composed of patients with different levels of disease severity. Validation results did, however, vary widely between the 2 data sets, and the most accurate algorithm appears to depend on health state severity as the distribution of observed EQ-5D-3L values varies. Linear models performed better for patients in relatively good health, whereas beta, mixture, and response mapping models performed better for patients in worse health.\nCONCLUSION: The most appropriate mapping algorithm to apply in practice may depend on the disease severity of the patient sample whose utility values are being predicted.","container-title":"Medical Decision Making: An International Journal of the Society for Medical Decision Making","DOI":"10.1177/0272989X18797588","ISSN":"1552-681X","issue":"8","journalAbbreviation":"Med Decis Making","language":"eng","page":"954-967","PMID":"30226101","source":"PubMed","title":"Mapping the EORTC-QLQ-C30 to the EQ-5D-3L: An Assessment of Existing and Newly Developed Algorithms","title-short":"Mapping the EORTC-QLQ-C30 to the EQ-5D-3L","volume":"38","author":[{"family":"Woodcock","given":"Fionn"},{"family":"Doble","given":"Brett"},{"literal":"CANCER 2015 Consortium"}],"issued":{"date-parts":[["2018",11]]}}}],"schema":"https://github.com/citation-style-language/schema/raw/master/csl-citation.json"}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18</w:t>
            </w:r>
            <w:r w:rsidRPr="00E72823">
              <w:rPr>
                <w:rFonts w:ascii="Times New Roman" w:eastAsia="Times New Roman" w:hAnsi="Times New Roman" w:cs="Times New Roman"/>
                <w:color w:val="000000"/>
                <w:sz w:val="20"/>
                <w:szCs w:val="20"/>
              </w:rPr>
              <w:fldChar w:fldCharType="end"/>
            </w:r>
          </w:p>
        </w:tc>
      </w:tr>
      <w:tr w:rsidR="00E72823" w:rsidRPr="00E72823" w14:paraId="73409844" w14:textId="77777777" w:rsidTr="005E61D2">
        <w:trPr>
          <w:trHeight w:val="284"/>
        </w:trPr>
        <w:tc>
          <w:tcPr>
            <w:tcW w:w="1856" w:type="dxa"/>
            <w:vMerge/>
            <w:vAlign w:val="center"/>
            <w:hideMark/>
          </w:tcPr>
          <w:p w14:paraId="0525CB26"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Align w:val="center"/>
            <w:hideMark/>
          </w:tcPr>
          <w:p w14:paraId="15EF258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(n=13 colorectal; n=5 oesophago-gastric)</w:t>
            </w:r>
          </w:p>
        </w:tc>
        <w:tc>
          <w:tcPr>
            <w:tcW w:w="1194" w:type="dxa"/>
            <w:noWrap/>
            <w:vAlign w:val="center"/>
            <w:hideMark/>
          </w:tcPr>
          <w:p w14:paraId="12808DA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144</w:t>
            </w:r>
          </w:p>
        </w:tc>
        <w:tc>
          <w:tcPr>
            <w:tcW w:w="1701" w:type="dxa"/>
            <w:vAlign w:val="center"/>
            <w:hideMark/>
          </w:tcPr>
          <w:p w14:paraId="68C6398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vAlign w:val="center"/>
            <w:hideMark/>
          </w:tcPr>
          <w:p w14:paraId="179A847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1DD832C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Fixed effects, Tobit</w:t>
            </w:r>
          </w:p>
        </w:tc>
        <w:tc>
          <w:tcPr>
            <w:tcW w:w="1263" w:type="dxa"/>
            <w:vAlign w:val="center"/>
            <w:hideMark/>
          </w:tcPr>
          <w:p w14:paraId="0A1FDD1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0370D5E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1ACADB0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 (Woodcock &amp; Doble. 2018)</w:t>
            </w:r>
          </w:p>
        </w:tc>
      </w:tr>
      <w:tr w:rsidR="00E72823" w:rsidRPr="00E72823" w14:paraId="32BABAE3" w14:textId="77777777" w:rsidTr="005E61D2">
        <w:trPr>
          <w:trHeight w:val="284"/>
        </w:trPr>
        <w:tc>
          <w:tcPr>
            <w:tcW w:w="1856" w:type="dxa"/>
            <w:vMerge/>
            <w:vAlign w:val="center"/>
            <w:hideMark/>
          </w:tcPr>
          <w:p w14:paraId="101E5FEB"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Align w:val="center"/>
            <w:hideMark/>
          </w:tcPr>
          <w:p w14:paraId="78526D8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(n=18 colorectal; n=9 oesophago-gastric)</w:t>
            </w:r>
          </w:p>
        </w:tc>
        <w:tc>
          <w:tcPr>
            <w:tcW w:w="1194" w:type="dxa"/>
            <w:noWrap/>
            <w:vAlign w:val="center"/>
            <w:hideMark/>
          </w:tcPr>
          <w:p w14:paraId="0D41700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156</w:t>
            </w:r>
          </w:p>
        </w:tc>
        <w:tc>
          <w:tcPr>
            <w:tcW w:w="1701" w:type="dxa"/>
            <w:vAlign w:val="center"/>
            <w:hideMark/>
          </w:tcPr>
          <w:p w14:paraId="227359D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vAlign w:val="center"/>
            <w:hideMark/>
          </w:tcPr>
          <w:p w14:paraId="3E4A67C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477BC22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Fixed effects, Tobit</w:t>
            </w:r>
          </w:p>
        </w:tc>
        <w:tc>
          <w:tcPr>
            <w:tcW w:w="1263" w:type="dxa"/>
            <w:vAlign w:val="center"/>
            <w:hideMark/>
          </w:tcPr>
          <w:p w14:paraId="71D497A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03CBC09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AA6F967"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 (Woodcock &amp; Doble. 2018)</w:t>
            </w:r>
          </w:p>
        </w:tc>
      </w:tr>
      <w:tr w:rsidR="00E72823" w:rsidRPr="00E72823" w14:paraId="2EFD54A2" w14:textId="77777777" w:rsidTr="005E61D2">
        <w:trPr>
          <w:trHeight w:val="284"/>
        </w:trPr>
        <w:tc>
          <w:tcPr>
            <w:tcW w:w="1856" w:type="dxa"/>
            <w:vAlign w:val="center"/>
          </w:tcPr>
          <w:p w14:paraId="40A06178"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Marriot et al. (2017)</w:t>
            </w:r>
          </w:p>
        </w:tc>
        <w:tc>
          <w:tcPr>
            <w:tcW w:w="2823" w:type="dxa"/>
            <w:vAlign w:val="center"/>
          </w:tcPr>
          <w:p w14:paraId="63C80B9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Colorectal Cancer </w:t>
            </w:r>
          </w:p>
        </w:tc>
        <w:tc>
          <w:tcPr>
            <w:tcW w:w="1194" w:type="dxa"/>
            <w:noWrap/>
            <w:vAlign w:val="center"/>
          </w:tcPr>
          <w:p w14:paraId="0C7269C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473</w:t>
            </w:r>
          </w:p>
        </w:tc>
        <w:tc>
          <w:tcPr>
            <w:tcW w:w="1701" w:type="dxa"/>
            <w:vAlign w:val="center"/>
          </w:tcPr>
          <w:p w14:paraId="1C5054F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vAlign w:val="center"/>
          </w:tcPr>
          <w:p w14:paraId="50D8CD5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tcPr>
          <w:p w14:paraId="284975B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Mixed effects linear</w:t>
            </w:r>
          </w:p>
        </w:tc>
        <w:tc>
          <w:tcPr>
            <w:tcW w:w="1263" w:type="dxa"/>
            <w:vAlign w:val="center"/>
          </w:tcPr>
          <w:p w14:paraId="2536C14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40A1B70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16F7798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 (Franken et al. 2020)</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{"citationID":"o8OczJjD","properties":{"formattedCitation":"\\super 22\\nosupersub{}","plainCitation":"22","noteIndex":0},"citationItems":[{"id":1329,"uris":["http://zotero.org/users/local/9pQthM68/items/FPWE9ETQ"],"itemData":{"id":1329,"type":"article-journal","abstract":"Cost-effectiveness models require quality of life utilities calculated from generic preference-based questionnaires, such as EQ-5D. We evaluated the performance of available algorithms for QLQ-C30 conversion into EQ-5D-3L based utilities in a metastatic colorectal cancer (mCRC) patient population and subsequently developed a mCRC specific algorithm. Influence of mapping on cost-effectiveness was evaluated.","container-title":"Health and Quality of Life Outcomes","DOI":"10.1186/s12955-020-01481-2","ISSN":"1477-7525","issue":"1","journalAbbreviation":"Health and Quality of Life Outcomes","page":"240","source":"BioMed Central","title":"Evaluation of the performance of algorithms mapping EORTC QLQ-C30 onto the EQ-5D index in a metastatic colorectal cancer cost-effectiveness model","volume":"18","author":[{"family":"Franken","given":"Mira D."},{"family":"Hond","given":"Anne","non-dropping-particle":"de"},{"family":"Degeling","given":"Koen"},{"family":"Punt","given":"Cornelis J. A."},{"family":"Koopman","given":"Miriam"},{"family":"Uyl-de Groot","given":"Carin A."},{"family":"Versteegh","given":"Matthijs M."},{"family":"Oijen","given":"Martijn G. H.","non-dropping-particle":"van"}],"issued":{"date-parts":[["2020",7,20]]}}}],"schema":"https://github.com/citation-style-language/schema/raw/master/csl-citation.json"}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22</w:t>
            </w:r>
            <w:r w:rsidRPr="00E72823">
              <w:rPr>
                <w:rFonts w:ascii="Times New Roman" w:eastAsia="Times New Roman" w:hAnsi="Times New Roman" w:cs="Times New Roman"/>
                <w:color w:val="000000"/>
                <w:sz w:val="20"/>
                <w:szCs w:val="20"/>
              </w:rPr>
              <w:fldChar w:fldCharType="end"/>
            </w:r>
          </w:p>
        </w:tc>
      </w:tr>
      <w:tr w:rsidR="00E72823" w:rsidRPr="00E72823" w14:paraId="4ED88BEA" w14:textId="77777777" w:rsidTr="005E61D2">
        <w:trPr>
          <w:trHeight w:val="374"/>
        </w:trPr>
        <w:tc>
          <w:tcPr>
            <w:tcW w:w="1856" w:type="dxa"/>
            <w:noWrap/>
            <w:vAlign w:val="center"/>
            <w:hideMark/>
          </w:tcPr>
          <w:p w14:paraId="47A48D9D"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lastRenderedPageBreak/>
              <w:t xml:space="preserve">Meunier et al. (2022)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{"citationID":"l1rP6kSM","properties":{"formattedCitation":"\\super 31\\nosupersub{}","plainCitation":"31","noteIndex":0},"citationItems":[{"id":1351,"uris":["http://zotero.org/users/local/9pQthM68/items/CC39GINL"],"itemData":{"id":1351,"type":"article-journal","abstract":"OBJECTIVE: The aim of this study was to develop a response mapping algorithm to predict EQ-5D-5L utilities from European Organisation for Research and Treatment Quality of Life Questionnaire Core 30 (EORTC QLQ-C30) scores and compare performance with direct mapping approaches to identify the best performing algorithm.\nMETHODS: The Multi-Instrument Comparison dataset contains responses to both the EQ-5D-5L and QLQ-C30 questionnaires from 692 individuals with a broad range of cancers. Response mapping was conducted, fitting ordered logistic regressions to predict response levels for each of the five EQ-5D dimensions and utilities were predicted using the US and Japanese EQ-5D-5L value sets to test the algorithm performance. Various direct mapping models were fitted: ordinary least squares, tobit, two-part (TPM), adjusted limited dependent variable mixture and beta mixture models. Model assessment and recommendations regarding the best mapping algorithm was based on goodness-of-fit statistics, predictive ability (measures of error, distribution of predicted utilities) and in sample cross-validation.\nRESULTS: The response mapping model performed well in terms of predictive ability and measurement error using the US or Japanese value set, with mean absolute error ranging from 0.0708 to 0.0988, and comparably to the TPM, which was the best performing direct algorithm.\nCONCLUSION: The developed mapping algorithms enable the prediction of EQ-5D-5L utilities from QLQ-C30 scores when EQ-5D-5L data have not been directly collected in clinical trials. The response mapping model offers the possibility of predicting EQ-5D-5L utility values using any national value set and can be generalised to multiple countries and oncology settings.","container-title":"Applied Health Economics and Health Policy","DOI":"10.1007/s40258-021-00682-0","ISSN":"1179-1896","issue":"1","journalAbbreviation":"Appl Health Econ Health Policy","language":"eng","page":"119-131","PMID":"34554442","source":"PubMed","title":"Indirect and Direct Mapping of the Cancer-Specific EORTC QLQ-C30 onto EQ-5D-5L Utility Scores","volume":"20","author":[{"family":"Meunier","given":"Aurelie"},{"family":"Soare","given":"Alexandra"},{"family":"Chevrou-Severac","given":"Helene"},{"family":"Myren","given":"Karl-Johan"},{"family":"Murata","given":"Tatsunori"},{"family":"Longworth","given":"Louise"}],"issued":{"date-parts":[["2022",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31</w:t>
            </w:r>
            <w:r w:rsidRPr="00E72823">
              <w:rPr>
                <w:rFonts w:ascii="Times New Roman" w:eastAsia="Times New Roman" w:hAnsi="Times New Roman" w:cs="Times New Roman"/>
                <w:color w:val="000000"/>
                <w:sz w:val="20"/>
                <w:szCs w:val="20"/>
              </w:rPr>
              <w:fldChar w:fldCharType="end"/>
            </w:r>
          </w:p>
        </w:tc>
        <w:tc>
          <w:tcPr>
            <w:tcW w:w="2823" w:type="dxa"/>
            <w:vAlign w:val="center"/>
            <w:hideMark/>
          </w:tcPr>
          <w:p w14:paraId="0ED993C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 n=, not specified)</w:t>
            </w:r>
          </w:p>
        </w:tc>
        <w:tc>
          <w:tcPr>
            <w:tcW w:w="1194" w:type="dxa"/>
            <w:noWrap/>
            <w:vAlign w:val="center"/>
            <w:hideMark/>
          </w:tcPr>
          <w:p w14:paraId="4C08228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692</w:t>
            </w:r>
          </w:p>
        </w:tc>
        <w:tc>
          <w:tcPr>
            <w:tcW w:w="1701" w:type="dxa"/>
            <w:noWrap/>
            <w:vAlign w:val="center"/>
            <w:hideMark/>
          </w:tcPr>
          <w:p w14:paraId="6F213C9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691EDC8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noWrap/>
            <w:vAlign w:val="center"/>
            <w:hideMark/>
          </w:tcPr>
          <w:p w14:paraId="5FFFE9C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 Tobit, TPM, betamix, ALDVMM, response mapping</w:t>
            </w:r>
          </w:p>
        </w:tc>
        <w:tc>
          <w:tcPr>
            <w:tcW w:w="1263" w:type="dxa"/>
            <w:noWrap/>
            <w:vAlign w:val="center"/>
            <w:hideMark/>
          </w:tcPr>
          <w:p w14:paraId="77B79DD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5A2EAC8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4B9C864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5FA5BB3F" w14:textId="77777777" w:rsidTr="005E61D2">
        <w:trPr>
          <w:trHeight w:val="521"/>
        </w:trPr>
        <w:tc>
          <w:tcPr>
            <w:tcW w:w="1856" w:type="dxa"/>
            <w:noWrap/>
            <w:vAlign w:val="center"/>
            <w:hideMark/>
          </w:tcPr>
          <w:p w14:paraId="647C7156"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Parker et al. (2011)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{"citationID":"Nd6BSHc1","properties":{"formattedCitation":"\\super 28\\nosupersub{}","plainCitation":"28","noteIndex":0},"citationItems":[{"id":1353,"uris":["http://zotero.org/users/local/9pQthM68/items/IMA5UHGR"],"itemData":{"id":1353,"type":"article-journal","abstract":"BACKGROUND: Many clinical trials that generate evidence on the quality-of-life (QOL) improvements provided by new health technologies do not incorporate a preference-based generic measure, but generate only disease-specific data. However, in order to meet the information needs of regulators such as the UK National Institute for Health and Clinical Excellence (NICE), such disease-specific data need to be converted into a broader generic measure; for NICE, the preferred instrument is the EQ-5D. The process of converting QOL data from one instrument to another is known as 'mapping'.\nOBJECTIVE: The objective of this study was to examine the extent to which disease-specific measures generated in the clinical trials for a new treatment for chronic constipation (prucalopride) can be 'mapped' onto a preference-based generic measure (EQ-5D and SF-6D) to generate robust and reliable utility estimates.\nMETHODS: Disease-specific QOL data generated in the clinical trials of prucalopride (PAC-QOL scores) were converted into utility values estimated using the preference-based generic measure EQ-5D. SF-36 data were also collected in the clinical trials and used to generate SF-6D estimates for comparative purposes. Regression analysis was used to derive a range of mapping functions to identify the extent to which increasing the complexity of the hypothesized underlying mapping function enhanced the robustness and reliability of the obtained mapping relationship.\nRESULTS: The mean utility observed at baseline for chronic constipation, based on SF-36 data, was 0.813 with the EQ-5D and 0.723 with the SF-6D. An examination of the differences between predicted and observed values generally found that the mapping functions generated were robust and reliable, with little evidence of bias across the range of the dependent variable. However, the nature of the symptoms explored in the PAC-QOL measure was, in general, less severe than those explored in the EQ-5D. For example, the condition-specific measures explored the degree to which patients experienced 'discomfort', rather than 'pain' as evaluated in the EQ-5D. Given this limitation in the severity range covered in the disease-specific measures, it is perhaps not surprising that a 'floor effect' was identified, with certain health dimensions mapping only to the upper range of the EQ-5D measure.\nCONCLUSIONS: In circumstances where direct utility measurement is not available, mapping provides a valuable method by which to estimate utility data for incorporation into cost-effectiveness analyses. Our findings emphasize the importance of the structure and nature of the mapping analysis undertaken as being a fundamental determinant of the utility estimates generated. Unfortunately, the theoretical guidance available to steer such analyses is still comparatively underdeveloped and this remains an area of health economic analysis in which empiricism largely rules. Ensuring that such mapping is undertaken and interpreted in as transparent and robust a manner as possible is therefore crucial in allowing regulators to accurately compare the clinical and cost effectiveness of new drugs across therapeutic areas.","container-title":"PharmacoEconomics","DOI":"10.2165/11588360-000000000-00000","ISSN":"1179-2027","issue":"8","journalAbbreviation":"Pharmacoeconomics","language":"eng","page":"719-730","PMID":"21635017","source":"PubMed","title":"Estimating the relationship between preference-based generic utility instruments and disease-specific quality-of-life measures in severe chronic constipation: challenges in practice","title-short":"Estimating the relationship between preference-based generic utility instruments and disease-specific quality-of-life measures in severe chronic constipation","volume":"29","author":[{"family":"Parker","given":"Mark"},{"family":"Haycox","given":"Alan"},{"family":"Graves","given":"Jane"}],"issued":{"date-parts":[["2011",8]]}}}],"schema":"https://github.com/citation-style-language/schema/raw/master/csl-citation.json"}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28</w:t>
            </w:r>
            <w:r w:rsidRPr="00E72823">
              <w:rPr>
                <w:rFonts w:ascii="Times New Roman" w:eastAsia="Times New Roman" w:hAnsi="Times New Roman" w:cs="Times New Roman"/>
                <w:color w:val="000000"/>
                <w:sz w:val="20"/>
                <w:szCs w:val="20"/>
              </w:rPr>
              <w:fldChar w:fldCharType="end"/>
            </w:r>
          </w:p>
        </w:tc>
        <w:tc>
          <w:tcPr>
            <w:tcW w:w="2823" w:type="dxa"/>
            <w:vAlign w:val="center"/>
            <w:hideMark/>
          </w:tcPr>
          <w:p w14:paraId="1514EE9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Severe chronic constipation</w:t>
            </w:r>
          </w:p>
        </w:tc>
        <w:tc>
          <w:tcPr>
            <w:tcW w:w="1194" w:type="dxa"/>
            <w:noWrap/>
            <w:vAlign w:val="center"/>
            <w:hideMark/>
          </w:tcPr>
          <w:p w14:paraId="5F113A5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5,421</w:t>
            </w:r>
          </w:p>
        </w:tc>
        <w:tc>
          <w:tcPr>
            <w:tcW w:w="1701" w:type="dxa"/>
            <w:noWrap/>
            <w:vAlign w:val="center"/>
            <w:hideMark/>
          </w:tcPr>
          <w:p w14:paraId="32F7291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PAC-QOL</w:t>
            </w:r>
          </w:p>
        </w:tc>
        <w:tc>
          <w:tcPr>
            <w:tcW w:w="1316" w:type="dxa"/>
            <w:noWrap/>
            <w:vAlign w:val="center"/>
            <w:hideMark/>
          </w:tcPr>
          <w:p w14:paraId="4EF128C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noWrap/>
            <w:vAlign w:val="center"/>
            <w:hideMark/>
          </w:tcPr>
          <w:p w14:paraId="14B5718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0FD1BDE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7C6E5F8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15331A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68342E43" w14:textId="77777777" w:rsidTr="005E61D2">
        <w:trPr>
          <w:trHeight w:val="284"/>
        </w:trPr>
        <w:tc>
          <w:tcPr>
            <w:tcW w:w="1856" w:type="dxa"/>
            <w:vMerge w:val="restart"/>
            <w:noWrap/>
            <w:vAlign w:val="center"/>
            <w:hideMark/>
          </w:tcPr>
          <w:p w14:paraId="740D5453"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Perwitasari et al. (2023)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{"citationID":"n5tEFI3R","properties":{"formattedCitation":"\\super 24\\nosupersub{}","plainCitation":"24","noteIndex":0},"citationItems":[{"id":724,"uris":["http://zotero.org/users/local/9pQthM68/items/IL3NPXF2"],"itemData":{"id":724,"type":"article-journal","abstract":"OBJECTIVE: This study aims to develop a mapping algorithm for EORTC QLQ-C30 to EQ-5D-5L which can produce utility values in patients with cancer. METHODS: We used a cross sectional study design with 300 cancer patients. The research instruments used were EORTC QLQ-C30 and EQ-5D-5L. Data were collected by interviewing cancer patients who were hospitalized in the Kasuari Installation of Dr Kariadi Hospital Semarang, Indonesia. The Ordinary Least Squares (OLS) regression method was used to predict the utility value of EQ-5D-5L. This study uses two models to predict utility values, namely model 1 with all domains, and model 2 with domains that affect the EQ-5D-5L. The predictive power of regression on the model is evaluated by calculating the mean absolute error (MAE) and root mean square error (RMSE) values. RESULT: The highest score in the functional domain is the 'emotional function' domain (mean: 85.89; SD: 16.04) and the highest symptom domain is 'weakness' (mean: 36.21; SD:21.69). The predicted utility values of models 1 and 2 are 0.683. The mean absolute error (MAE) and root mean square error (RMSE) values of model 1 are 0.128 and 0.173, while in model 2 the MAE and RMSE values obtained are 0.125 and 0.168. CONCLUSION: The development of the mapping algorithm from the EORTC QLQ-C30 to EQ-5D-5L instrument shows a predictive value of utility in a sample of patients with cancer at Dr. Kariadi Hospital, Semarang, Indonesia. The utility prediction in both model is similar, however model 2 involves fewer domains and symptoms.&lt;br /&gt;.","container-title":"Asian Pac J Cancer Prev","DOI":"10.31557/apjcp.2023.24.4.1125","ISSN":"1513-7368 (Print) 1513-7368","issue":"4","language":"eng","page":"1125-1130","PMCID":"PMC10352743","title":"Mapping EORTC-QLQ-C30 onto EQ-5D-5L Index in Indonesian Cancer Patients","volume":"24","author":[{"family":"Perwitasari","given":"D. A."},{"family":"Purba","given":"F. D."},{"family":"Candradewi","given":"S. F."},{"family":"Marwin","given":"M."},{"family":"Permata","given":"A."},{"family":"Ulfa Faza","given":"M. B."},{"family":"Septiantoro","given":"B. P."},{"family":"Kaptein","given":"A. A."}],"issued":{"date-parts":[["2023",4,1]]}}}],"schema":"https://github.com/citation-style-language/schema/raw/master/csl-citation.json"}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24</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hideMark/>
          </w:tcPr>
          <w:p w14:paraId="3E68D85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(n=41 colorectal cancer)</w:t>
            </w:r>
          </w:p>
        </w:tc>
        <w:tc>
          <w:tcPr>
            <w:tcW w:w="1194" w:type="dxa"/>
            <w:noWrap/>
            <w:vAlign w:val="center"/>
            <w:hideMark/>
          </w:tcPr>
          <w:p w14:paraId="5740092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266</w:t>
            </w:r>
          </w:p>
        </w:tc>
        <w:tc>
          <w:tcPr>
            <w:tcW w:w="1701" w:type="dxa"/>
            <w:vMerge w:val="restart"/>
            <w:vAlign w:val="center"/>
            <w:hideMark/>
          </w:tcPr>
          <w:p w14:paraId="4EACC41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EORTC-QLQ-C30</w:t>
            </w:r>
          </w:p>
        </w:tc>
        <w:tc>
          <w:tcPr>
            <w:tcW w:w="1316" w:type="dxa"/>
            <w:vMerge w:val="restart"/>
            <w:vAlign w:val="center"/>
            <w:hideMark/>
          </w:tcPr>
          <w:p w14:paraId="54EB576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vMerge w:val="restart"/>
            <w:vAlign w:val="center"/>
            <w:hideMark/>
          </w:tcPr>
          <w:p w14:paraId="6386163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w:t>
            </w:r>
          </w:p>
        </w:tc>
        <w:tc>
          <w:tcPr>
            <w:tcW w:w="1263" w:type="dxa"/>
            <w:noWrap/>
            <w:vAlign w:val="center"/>
            <w:hideMark/>
          </w:tcPr>
          <w:p w14:paraId="2A0E199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79F95E4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6EA26CC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790F0114" w14:textId="77777777" w:rsidTr="005E61D2">
        <w:trPr>
          <w:trHeight w:val="284"/>
        </w:trPr>
        <w:tc>
          <w:tcPr>
            <w:tcW w:w="1856" w:type="dxa"/>
            <w:vMerge/>
            <w:vAlign w:val="center"/>
            <w:hideMark/>
          </w:tcPr>
          <w:p w14:paraId="34DFB90D"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hideMark/>
          </w:tcPr>
          <w:p w14:paraId="05CAF31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hideMark/>
          </w:tcPr>
          <w:p w14:paraId="55DCFBF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34</w:t>
            </w:r>
          </w:p>
        </w:tc>
        <w:tc>
          <w:tcPr>
            <w:tcW w:w="1701" w:type="dxa"/>
            <w:vMerge/>
            <w:hideMark/>
          </w:tcPr>
          <w:p w14:paraId="19BA420A"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316" w:type="dxa"/>
            <w:vMerge/>
            <w:hideMark/>
          </w:tcPr>
          <w:p w14:paraId="19844C48"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472" w:type="dxa"/>
            <w:vMerge/>
            <w:vAlign w:val="center"/>
            <w:hideMark/>
          </w:tcPr>
          <w:p w14:paraId="036F270C"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263" w:type="dxa"/>
            <w:noWrap/>
            <w:vAlign w:val="center"/>
            <w:hideMark/>
          </w:tcPr>
          <w:p w14:paraId="5A39B65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7316517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3A41600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41F19C4B" w14:textId="77777777" w:rsidTr="005E61D2">
        <w:trPr>
          <w:trHeight w:val="284"/>
        </w:trPr>
        <w:tc>
          <w:tcPr>
            <w:tcW w:w="1856" w:type="dxa"/>
            <w:vMerge/>
            <w:vAlign w:val="center"/>
            <w:hideMark/>
          </w:tcPr>
          <w:p w14:paraId="4FA9501B"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hideMark/>
          </w:tcPr>
          <w:p w14:paraId="2D72EEC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hideMark/>
          </w:tcPr>
          <w:p w14:paraId="2D3E3EE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34</w:t>
            </w:r>
          </w:p>
        </w:tc>
        <w:tc>
          <w:tcPr>
            <w:tcW w:w="1701" w:type="dxa"/>
            <w:vMerge/>
            <w:hideMark/>
          </w:tcPr>
          <w:p w14:paraId="47FEEC45"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316" w:type="dxa"/>
            <w:vMerge/>
            <w:hideMark/>
          </w:tcPr>
          <w:p w14:paraId="19BAE531"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472" w:type="dxa"/>
            <w:vMerge/>
            <w:vAlign w:val="center"/>
            <w:hideMark/>
          </w:tcPr>
          <w:p w14:paraId="31F73F46"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263" w:type="dxa"/>
            <w:noWrap/>
            <w:vAlign w:val="center"/>
            <w:hideMark/>
          </w:tcPr>
          <w:p w14:paraId="75433C4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2F6CD73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7D8A692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572481F9" w14:textId="77777777" w:rsidTr="005E61D2">
        <w:trPr>
          <w:trHeight w:val="284"/>
        </w:trPr>
        <w:tc>
          <w:tcPr>
            <w:tcW w:w="1856" w:type="dxa"/>
            <w:vMerge w:val="restart"/>
            <w:vAlign w:val="center"/>
          </w:tcPr>
          <w:p w14:paraId="6D05C4E2"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Sturkenboom et al. (2022)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{"citationID":"a1qlomlarb4","properties":{"unsorted":false,"formattedCitation":"\\super 30\\nosupersub{}","plainCitation":"30","noteIndex":0},"citationItems":[{"id":2116,"uris":["http://zotero.org/users/local/9pQthM68/items/Q843LSV9"],"itemData":{"id":2116,"type":"article-journal","abstract":"The Irritable Bowel Syndrome Quality of Life (IBS-QoL) questionnaire is a commonly used and validated IBS-specific QoL instrument. However, this questionnaire is in contrast to the EQ-5D-5L, not preference-based and as such does not allow calculation of QALYs. The objective of this study was to describe the convergent- and known-group validity of both questionnaires and to develop a mapping algorithm from EQ-5D-5L which enable IBS-QoL scores to be transformed into utility scores for use in economic evaluations.","container-title":"Quality of Life Research","DOI":"10.1007/s11136-021-02995-y","ISSN":"1573-2649","issue":"4","journalAbbreviation":"Qual Life Res","language":"en","page":"1209-1221","source":"Springer Link","title":"The estimation of a preference-based single index for the IBS-QoL by mapping to the EQ-5D-5L in patients with irritable bowel syndrome","volume":"31","author":[{"family":"Sturkenboom","given":"Rosel"},{"family":"Keszthelyi","given":"Daniel"},{"family":"Brandts","given":"Lloyd"},{"family":"Weerts","given":"Zsa Zsa R. M."},{"family":"Snijkers","given":"Johanna T. W."},{"family":"Masclee","given":"Ad A. M."},{"family":"Essers","given":"Brigitte A. B."}],"issued":{"date-parts":[["2022",4,1]]}}}],"schema":"https://github.com/citation-style-language/schema/raw/master/csl-citation.json"}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hAnsi="Times New Roman" w:cs="Times New Roman"/>
                <w:kern w:val="0"/>
                <w:sz w:val="20"/>
                <w:vertAlign w:val="superscript"/>
                <w:lang w:eastAsia="en-IE"/>
                <w14:ligatures w14:val="none"/>
              </w:rPr>
              <w:t>30</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tcPr>
          <w:p w14:paraId="115EF19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Irritable Bowel Syndrome (IBS)</w:t>
            </w:r>
          </w:p>
        </w:tc>
        <w:tc>
          <w:tcPr>
            <w:tcW w:w="1194" w:type="dxa"/>
            <w:noWrap/>
            <w:vAlign w:val="center"/>
          </w:tcPr>
          <w:p w14:paraId="0265E4A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189</w:t>
            </w:r>
          </w:p>
        </w:tc>
        <w:tc>
          <w:tcPr>
            <w:tcW w:w="1701" w:type="dxa"/>
            <w:vAlign w:val="center"/>
          </w:tcPr>
          <w:p w14:paraId="1A027FA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IBS-QOL</w:t>
            </w:r>
          </w:p>
        </w:tc>
        <w:tc>
          <w:tcPr>
            <w:tcW w:w="1316" w:type="dxa"/>
            <w:vAlign w:val="center"/>
          </w:tcPr>
          <w:p w14:paraId="6CE7724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vMerge w:val="restart"/>
            <w:vAlign w:val="center"/>
          </w:tcPr>
          <w:p w14:paraId="0618B58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 CLAD, ALDVMM</w:t>
            </w:r>
          </w:p>
        </w:tc>
        <w:tc>
          <w:tcPr>
            <w:tcW w:w="1263" w:type="dxa"/>
            <w:noWrap/>
            <w:vAlign w:val="center"/>
          </w:tcPr>
          <w:p w14:paraId="7CF92035"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c>
          <w:tcPr>
            <w:tcW w:w="1176" w:type="dxa"/>
            <w:vAlign w:val="center"/>
          </w:tcPr>
          <w:p w14:paraId="7C55907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7994A90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61034F5E" w14:textId="77777777" w:rsidTr="005E61D2">
        <w:trPr>
          <w:trHeight w:val="284"/>
        </w:trPr>
        <w:tc>
          <w:tcPr>
            <w:tcW w:w="1856" w:type="dxa"/>
            <w:vMerge/>
            <w:vAlign w:val="center"/>
          </w:tcPr>
          <w:p w14:paraId="2E9B1BFA"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vAlign w:val="center"/>
          </w:tcPr>
          <w:p w14:paraId="0F8D1C97"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94" w:type="dxa"/>
            <w:noWrap/>
            <w:vAlign w:val="center"/>
          </w:tcPr>
          <w:p w14:paraId="338E8D5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84</w:t>
            </w:r>
          </w:p>
        </w:tc>
        <w:tc>
          <w:tcPr>
            <w:tcW w:w="1701" w:type="dxa"/>
            <w:vAlign w:val="center"/>
          </w:tcPr>
          <w:p w14:paraId="7ED2380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IBS-QOL</w:t>
            </w:r>
          </w:p>
        </w:tc>
        <w:tc>
          <w:tcPr>
            <w:tcW w:w="1316" w:type="dxa"/>
            <w:vAlign w:val="center"/>
          </w:tcPr>
          <w:p w14:paraId="61BD099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vMerge/>
            <w:vAlign w:val="center"/>
          </w:tcPr>
          <w:p w14:paraId="2C25A89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263" w:type="dxa"/>
            <w:noWrap/>
            <w:vAlign w:val="center"/>
          </w:tcPr>
          <w:p w14:paraId="3BC2892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115134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10928BA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tc>
      </w:tr>
      <w:tr w:rsidR="00E72823" w:rsidRPr="00E72823" w14:paraId="220B2A80" w14:textId="77777777" w:rsidTr="005E61D2">
        <w:trPr>
          <w:trHeight w:val="675"/>
        </w:trPr>
        <w:tc>
          <w:tcPr>
            <w:tcW w:w="1856" w:type="dxa"/>
            <w:vMerge w:val="restart"/>
            <w:noWrap/>
            <w:vAlign w:val="center"/>
            <w:hideMark/>
          </w:tcPr>
          <w:p w14:paraId="5708A59C"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Teckle et al. (2013)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{"citationID":"t4SVs54p","properties":{"formattedCitation":"\\super 25\\nosupersub{}","plainCitation":"25","noteIndex":0},"citationItems":[{"id":1358,"uris":["http://zotero.org/users/local/9pQthM68/items/PIAT2QFU"],"itemData":{"id":1358,"type":"article-journal","abstract":"To help facilitate economic evaluations of oncology treatments, we mapped responses on cancer-specific instrument to generic preference-based measures.","container-title":"Health and Quality of Life Outcomes","DOI":"10.1186/1477-7525-11-203","ISSN":"1477-7525","issue":"1","journalAbbreviation":"Health and Quality of Life Outcomes","page":"203","source":"BioMed Central","title":"Mapping the FACT-G cancer-specific quality of life instrument to the EQ-5D and SF-6D","volume":"11","author":[{"family":"Teckle","given":"Paulos"},{"family":"McTaggart-Cowan","given":"Helen"},{"family":"Van der Hoek","given":"Kim"},{"family":"Chia","given":"Stephen"},{"family":"Melosky","given":"Barb"},{"family":"Gelmon","given":"Karen"},{"family":"Peacock","given":"Stuart"}],"issued":{"date-parts":[["2013",12,1]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25</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hideMark/>
          </w:tcPr>
          <w:p w14:paraId="01C6310F"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Various cancers, including GI cancers (n=113 colorectal cancer)</w:t>
            </w:r>
          </w:p>
        </w:tc>
        <w:tc>
          <w:tcPr>
            <w:tcW w:w="1194" w:type="dxa"/>
            <w:noWrap/>
            <w:vAlign w:val="center"/>
            <w:hideMark/>
          </w:tcPr>
          <w:p w14:paraId="2B54C8B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184</w:t>
            </w:r>
          </w:p>
        </w:tc>
        <w:tc>
          <w:tcPr>
            <w:tcW w:w="1701" w:type="dxa"/>
            <w:noWrap/>
            <w:vAlign w:val="center"/>
            <w:hideMark/>
          </w:tcPr>
          <w:p w14:paraId="6EA409A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FACT-G</w:t>
            </w:r>
          </w:p>
        </w:tc>
        <w:tc>
          <w:tcPr>
            <w:tcW w:w="1316" w:type="dxa"/>
            <w:noWrap/>
            <w:vAlign w:val="center"/>
            <w:hideMark/>
          </w:tcPr>
          <w:p w14:paraId="2612B32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w:t>
            </w:r>
          </w:p>
        </w:tc>
        <w:tc>
          <w:tcPr>
            <w:tcW w:w="2472" w:type="dxa"/>
            <w:vMerge w:val="restart"/>
            <w:noWrap/>
            <w:vAlign w:val="center"/>
            <w:hideMark/>
          </w:tcPr>
          <w:p w14:paraId="3670435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 GLM, CLAD</w:t>
            </w:r>
          </w:p>
        </w:tc>
        <w:tc>
          <w:tcPr>
            <w:tcW w:w="1263" w:type="dxa"/>
            <w:vMerge w:val="restart"/>
            <w:noWrap/>
            <w:vAlign w:val="center"/>
            <w:hideMark/>
          </w:tcPr>
          <w:p w14:paraId="0BD3A4A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 xml:space="preserve"> Yes</w:t>
            </w:r>
          </w:p>
        </w:tc>
        <w:tc>
          <w:tcPr>
            <w:tcW w:w="1176" w:type="dxa"/>
            <w:vAlign w:val="center"/>
          </w:tcPr>
          <w:p w14:paraId="5160DB9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0BD5BEF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24E86F3D" w14:textId="77777777" w:rsidTr="005E61D2">
        <w:trPr>
          <w:trHeight w:val="284"/>
        </w:trPr>
        <w:tc>
          <w:tcPr>
            <w:tcW w:w="1856" w:type="dxa"/>
            <w:vMerge/>
            <w:vAlign w:val="center"/>
            <w:hideMark/>
          </w:tcPr>
          <w:p w14:paraId="216A2926"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hideMark/>
          </w:tcPr>
          <w:p w14:paraId="00B95693"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194" w:type="dxa"/>
            <w:vAlign w:val="center"/>
            <w:hideMark/>
          </w:tcPr>
          <w:p w14:paraId="613AE89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184</w:t>
            </w:r>
          </w:p>
        </w:tc>
        <w:tc>
          <w:tcPr>
            <w:tcW w:w="1701" w:type="dxa"/>
            <w:noWrap/>
            <w:vAlign w:val="center"/>
            <w:hideMark/>
          </w:tcPr>
          <w:p w14:paraId="2BFADD7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FACT-G</w:t>
            </w:r>
          </w:p>
        </w:tc>
        <w:tc>
          <w:tcPr>
            <w:tcW w:w="1316" w:type="dxa"/>
            <w:noWrap/>
            <w:vAlign w:val="center"/>
            <w:hideMark/>
          </w:tcPr>
          <w:p w14:paraId="520F5BB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SF-6D</w:t>
            </w:r>
          </w:p>
        </w:tc>
        <w:tc>
          <w:tcPr>
            <w:tcW w:w="2472" w:type="dxa"/>
            <w:vMerge/>
            <w:hideMark/>
          </w:tcPr>
          <w:p w14:paraId="323EB035"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263" w:type="dxa"/>
            <w:vMerge/>
            <w:hideMark/>
          </w:tcPr>
          <w:p w14:paraId="29FABF97"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176" w:type="dxa"/>
            <w:vAlign w:val="center"/>
          </w:tcPr>
          <w:p w14:paraId="1394D1A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4F3AFC28"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78F526B7" w14:textId="77777777" w:rsidTr="005E61D2">
        <w:trPr>
          <w:trHeight w:val="660"/>
        </w:trPr>
        <w:tc>
          <w:tcPr>
            <w:tcW w:w="1856" w:type="dxa"/>
            <w:vMerge w:val="restart"/>
            <w:noWrap/>
            <w:vAlign w:val="center"/>
            <w:hideMark/>
          </w:tcPr>
          <w:p w14:paraId="04002F6F" w14:textId="77777777" w:rsidR="00E72823" w:rsidRPr="00E72823" w:rsidRDefault="00E72823" w:rsidP="00E72823">
            <w:pPr>
              <w:spacing w:line="480" w:lineRule="auto"/>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lastRenderedPageBreak/>
              <w:t xml:space="preserve">Yousefi et al. (2021) </w:t>
            </w:r>
            <w:r w:rsidRPr="00E72823">
              <w:rPr>
                <w:rFonts w:ascii="Times New Roman" w:eastAsia="Times New Roman" w:hAnsi="Times New Roman" w:cs="Times New Roman"/>
                <w:color w:val="000000"/>
                <w:sz w:val="20"/>
                <w:szCs w:val="20"/>
              </w:rPr>
              <w:fldChar w:fldCharType="begin"/>
            </w:r>
            <w:r w:rsidRPr="00E72823">
              <w:rPr>
                <w:rFonts w:ascii="Times New Roman" w:eastAsia="Times New Roman" w:hAnsi="Times New Roman" w:cs="Times New Roman"/>
                <w:color w:val="000000"/>
                <w:sz w:val="20"/>
                <w:szCs w:val="20"/>
              </w:rPr>
              <w:instrText xml:space="preserve"> ADDIN ZOTERO_ITEM CSL_CITATION {"citationID":"RXC80I6l","properties":{"formattedCitation":"\\super 26\\nosupersub{}","plainCitation":"26","noteIndex":0},"citationItems":[{"id":1362,"uris":["http://zotero.org/users/local/9pQthM68/items/3IW753XG"],"itemData":{"id":1362,"type":"article-journal","abstract":"Objectives\nMany studies have mapped the QLQ-C30 onto the EQ-5D or the SF-6D utilities; however, these studies were limited to developed countries. So this study aimed to map QLQ-C30 onto the SF-6D version 2 (SF-6D-v2) and EQ-5D-5L using the data collected from patients with colorectal and breast cancer in a developing country.\nMethods\nA cross-sectional data set of 668 inpatient and outpatient patients with cancer was gathered from 4 teaching hospitals of cancer treatment in Tehran and Yazd from May 2017 to November 2018. The ordinary least squares (OLS) and censored least absolute deviations (CLAD) models were applied to estimate the utility values of both EQ-5D-5L and SF-6D-V2 using the QLQ-C30. Predicted R2 and adjusted R2 were used to evaluate the goodness of fit of the models. Moreover, the predictive performance of 2 models was assessed through estimating the mean absolute error (MAE), root mean square error (RMSE), intraclass correlation coefficients (ICC), and Spearman’s rho. The 10-fold cross-validation method was also applied for validation of models.\nResults\nThe OLS Model E4 was the best-performing model for EQ-5D-5L (Adj R2 = 71.7%, Pred R2 = 71.15%, MAE = 0.0770, RMSE = 0.1026), and the OLS Model S4 performed best for SF-6D-V2 (Adj R2 = 74.64%, Pred R2 = 73.86%, MAE = 0.0465, RMSE = 0.0621).\nConclusion\nThe OLS Model E4 for EQ-5D-5L and the OLS Model S4 for SF-6D-V2 were the best models for policy makers to have more accurate evaluation of the healthcare interventions when the data are gathered through non-preference-based instruments.","container-title":"Value in Health Regional Issues","DOI":"10.1016/j.vhri.2020.06.006","ISSN":"2212-1099","journalAbbreviation":"Value in Health Regional Issues","page":"57-66","source":"ScienceDirect","title":"Mapping QLQ-C30 Onto EQ-5D-5L and SF-6D-V2 in Patients With Colorectal and Breast Cancer From a Developing Country","volume":"24","author":[{"family":"Yousefi","given":"Mahmood"},{"family":"Nahvijou","given":"Azin"},{"family":"Sari","given":"Ali Akbari"},{"family":"Ameri","given":"Hosein"}],"issued":{"date-parts":[["2021",5,1]]}}}],"schema":"https://github.com/citation-style-language/schema/raw/master/csl-citation.json"} </w:instrText>
            </w:r>
            <w:r w:rsidRPr="00E72823">
              <w:rPr>
                <w:rFonts w:ascii="Times New Roman" w:eastAsia="Times New Roman" w:hAnsi="Times New Roman" w:cs="Times New Roman"/>
                <w:color w:val="000000"/>
                <w:sz w:val="20"/>
                <w:szCs w:val="20"/>
              </w:rPr>
              <w:fldChar w:fldCharType="separate"/>
            </w:r>
            <w:r w:rsidRPr="00E72823">
              <w:rPr>
                <w:rFonts w:ascii="Times New Roman" w:eastAsia="Aptos" w:hAnsi="Times New Roman" w:cs="Times New Roman"/>
                <w:sz w:val="20"/>
                <w:vertAlign w:val="superscript"/>
              </w:rPr>
              <w:t>26</w:t>
            </w:r>
            <w:r w:rsidRPr="00E72823">
              <w:rPr>
                <w:rFonts w:ascii="Times New Roman" w:eastAsia="Times New Roman" w:hAnsi="Times New Roman" w:cs="Times New Roman"/>
                <w:color w:val="000000"/>
                <w:sz w:val="20"/>
                <w:szCs w:val="20"/>
              </w:rPr>
              <w:fldChar w:fldCharType="end"/>
            </w:r>
          </w:p>
        </w:tc>
        <w:tc>
          <w:tcPr>
            <w:tcW w:w="2823" w:type="dxa"/>
            <w:vMerge w:val="restart"/>
            <w:vAlign w:val="center"/>
            <w:hideMark/>
          </w:tcPr>
          <w:p w14:paraId="1628789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Colorectal (n=264) and Breast Cancer</w:t>
            </w:r>
          </w:p>
        </w:tc>
        <w:tc>
          <w:tcPr>
            <w:tcW w:w="1194" w:type="dxa"/>
            <w:vMerge w:val="restart"/>
            <w:noWrap/>
            <w:vAlign w:val="center"/>
            <w:hideMark/>
          </w:tcPr>
          <w:p w14:paraId="29A7D6D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668</w:t>
            </w:r>
          </w:p>
        </w:tc>
        <w:tc>
          <w:tcPr>
            <w:tcW w:w="1701" w:type="dxa"/>
            <w:noWrap/>
            <w:vAlign w:val="center"/>
            <w:hideMark/>
          </w:tcPr>
          <w:p w14:paraId="26EA75C3"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0BB48A6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EQ-5D-5L</w:t>
            </w:r>
          </w:p>
        </w:tc>
        <w:tc>
          <w:tcPr>
            <w:tcW w:w="2472" w:type="dxa"/>
            <w:vMerge w:val="restart"/>
            <w:noWrap/>
            <w:vAlign w:val="center"/>
            <w:hideMark/>
          </w:tcPr>
          <w:p w14:paraId="282DDBE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OLS, CLAD</w:t>
            </w:r>
          </w:p>
        </w:tc>
        <w:tc>
          <w:tcPr>
            <w:tcW w:w="1263" w:type="dxa"/>
            <w:vMerge w:val="restart"/>
            <w:noWrap/>
            <w:vAlign w:val="center"/>
            <w:hideMark/>
          </w:tcPr>
          <w:p w14:paraId="025AAC0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6B8734DA"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Yes</w:t>
            </w:r>
          </w:p>
          <w:p w14:paraId="3D039000"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4CB823B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4F3E3962"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212C36A6"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3839542C"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0A5EFBF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r w:rsidR="00E72823" w:rsidRPr="00E72823" w14:paraId="694C7A77" w14:textId="77777777" w:rsidTr="005E61D2">
        <w:trPr>
          <w:trHeight w:val="294"/>
        </w:trPr>
        <w:tc>
          <w:tcPr>
            <w:tcW w:w="1856" w:type="dxa"/>
            <w:vMerge/>
            <w:hideMark/>
          </w:tcPr>
          <w:p w14:paraId="6FDB4193"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2823" w:type="dxa"/>
            <w:vMerge/>
            <w:hideMark/>
          </w:tcPr>
          <w:p w14:paraId="496F916C"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194" w:type="dxa"/>
            <w:vMerge/>
            <w:hideMark/>
          </w:tcPr>
          <w:p w14:paraId="582AC129"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701" w:type="dxa"/>
            <w:noWrap/>
            <w:vAlign w:val="center"/>
            <w:hideMark/>
          </w:tcPr>
          <w:p w14:paraId="7B41356E"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EORTC QLQ-C30</w:t>
            </w:r>
          </w:p>
        </w:tc>
        <w:tc>
          <w:tcPr>
            <w:tcW w:w="1316" w:type="dxa"/>
            <w:noWrap/>
            <w:vAlign w:val="center"/>
            <w:hideMark/>
          </w:tcPr>
          <w:p w14:paraId="0FABC09D"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SF-6Dv2</w:t>
            </w:r>
          </w:p>
        </w:tc>
        <w:tc>
          <w:tcPr>
            <w:tcW w:w="2472" w:type="dxa"/>
            <w:vMerge/>
            <w:hideMark/>
          </w:tcPr>
          <w:p w14:paraId="4B09000E" w14:textId="77777777" w:rsidR="00E72823" w:rsidRPr="00E72823" w:rsidRDefault="00E72823" w:rsidP="00E72823">
            <w:pPr>
              <w:spacing w:line="480" w:lineRule="auto"/>
              <w:rPr>
                <w:rFonts w:ascii="Times New Roman" w:eastAsia="Times New Roman" w:hAnsi="Times New Roman" w:cs="Times New Roman"/>
                <w:color w:val="000000"/>
                <w:sz w:val="20"/>
                <w:szCs w:val="20"/>
              </w:rPr>
            </w:pPr>
          </w:p>
        </w:tc>
        <w:tc>
          <w:tcPr>
            <w:tcW w:w="1263" w:type="dxa"/>
            <w:vMerge/>
            <w:vAlign w:val="center"/>
            <w:hideMark/>
          </w:tcPr>
          <w:p w14:paraId="3353FBB1"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tc>
        <w:tc>
          <w:tcPr>
            <w:tcW w:w="1176" w:type="dxa"/>
            <w:vAlign w:val="center"/>
          </w:tcPr>
          <w:p w14:paraId="37EB90A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6318A729"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c>
          <w:tcPr>
            <w:tcW w:w="1176" w:type="dxa"/>
            <w:vAlign w:val="center"/>
          </w:tcPr>
          <w:p w14:paraId="43D1C9F4"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p>
          <w:p w14:paraId="623D6B5B" w14:textId="77777777" w:rsidR="00E72823" w:rsidRPr="00E72823" w:rsidRDefault="00E72823" w:rsidP="00E72823">
            <w:pPr>
              <w:spacing w:line="480" w:lineRule="auto"/>
              <w:jc w:val="center"/>
              <w:rPr>
                <w:rFonts w:ascii="Times New Roman" w:eastAsia="Times New Roman" w:hAnsi="Times New Roman" w:cs="Times New Roman"/>
                <w:color w:val="000000"/>
                <w:sz w:val="20"/>
                <w:szCs w:val="20"/>
              </w:rPr>
            </w:pPr>
            <w:r w:rsidRPr="00E72823">
              <w:rPr>
                <w:rFonts w:ascii="Times New Roman" w:eastAsia="Times New Roman" w:hAnsi="Times New Roman" w:cs="Times New Roman"/>
                <w:color w:val="000000"/>
                <w:sz w:val="20"/>
                <w:szCs w:val="20"/>
              </w:rPr>
              <w:t>No</w:t>
            </w:r>
          </w:p>
        </w:tc>
      </w:tr>
    </w:tbl>
    <w:p w14:paraId="36032376"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317445DA"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54A889D2"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60BC1E05"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2BD892C4"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2E8320BA"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778B49E5"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359EDD96"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2AA7A606"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7C99088C"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15E9D0EF"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46010DDB" w14:textId="77777777" w:rsidR="00E72823" w:rsidRPr="00E72823" w:rsidRDefault="00E72823" w:rsidP="00E72823">
      <w:pPr>
        <w:spacing w:after="0" w:line="240" w:lineRule="auto"/>
        <w:rPr>
          <w:rFonts w:ascii="Times New Roman" w:eastAsia="SimSun" w:hAnsi="Times New Roman" w:cs="Times New Roman"/>
          <w:b/>
          <w:bCs/>
          <w:color w:val="000000"/>
          <w:kern w:val="0"/>
          <w:sz w:val="24"/>
          <w:szCs w:val="24"/>
          <w:lang w:eastAsia="en-IE"/>
          <w14:ligatures w14:val="none"/>
        </w:rPr>
      </w:pPr>
    </w:p>
    <w:p w14:paraId="021B20A8" w14:textId="77777777" w:rsidR="00611F8A" w:rsidRDefault="00611F8A"/>
    <w:sectPr w:rsidR="00611F8A" w:rsidSect="00E7282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23"/>
    <w:rsid w:val="00002454"/>
    <w:rsid w:val="000E6455"/>
    <w:rsid w:val="00116553"/>
    <w:rsid w:val="00174F98"/>
    <w:rsid w:val="001B01F0"/>
    <w:rsid w:val="00281961"/>
    <w:rsid w:val="00283511"/>
    <w:rsid w:val="003D50FC"/>
    <w:rsid w:val="004750E7"/>
    <w:rsid w:val="00600298"/>
    <w:rsid w:val="00611F8A"/>
    <w:rsid w:val="00770F73"/>
    <w:rsid w:val="00BC2F61"/>
    <w:rsid w:val="00C36A9F"/>
    <w:rsid w:val="00C643B1"/>
    <w:rsid w:val="00D142DB"/>
    <w:rsid w:val="00D145B0"/>
    <w:rsid w:val="00E3007A"/>
    <w:rsid w:val="00E72823"/>
    <w:rsid w:val="00F26F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7E390"/>
  <w15:chartTrackingRefBased/>
  <w15:docId w15:val="{2A8E3D33-5044-4815-A250-C1D03798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2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2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2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2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2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28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8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8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8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2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2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2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2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2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823"/>
    <w:rPr>
      <w:rFonts w:eastAsiaTheme="majorEastAsia" w:cstheme="majorBidi"/>
      <w:color w:val="272727" w:themeColor="text1" w:themeTint="D8"/>
    </w:rPr>
  </w:style>
  <w:style w:type="paragraph" w:styleId="Title">
    <w:name w:val="Title"/>
    <w:basedOn w:val="Normal"/>
    <w:next w:val="Normal"/>
    <w:link w:val="TitleChar"/>
    <w:uiPriority w:val="10"/>
    <w:qFormat/>
    <w:rsid w:val="00E72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823"/>
    <w:pPr>
      <w:spacing w:before="160"/>
      <w:jc w:val="center"/>
    </w:pPr>
    <w:rPr>
      <w:i/>
      <w:iCs/>
      <w:color w:val="404040" w:themeColor="text1" w:themeTint="BF"/>
    </w:rPr>
  </w:style>
  <w:style w:type="character" w:customStyle="1" w:styleId="QuoteChar">
    <w:name w:val="Quote Char"/>
    <w:basedOn w:val="DefaultParagraphFont"/>
    <w:link w:val="Quote"/>
    <w:uiPriority w:val="29"/>
    <w:rsid w:val="00E72823"/>
    <w:rPr>
      <w:i/>
      <w:iCs/>
      <w:color w:val="404040" w:themeColor="text1" w:themeTint="BF"/>
    </w:rPr>
  </w:style>
  <w:style w:type="paragraph" w:styleId="ListParagraph">
    <w:name w:val="List Paragraph"/>
    <w:basedOn w:val="Normal"/>
    <w:uiPriority w:val="34"/>
    <w:qFormat/>
    <w:rsid w:val="00E72823"/>
    <w:pPr>
      <w:ind w:left="720"/>
      <w:contextualSpacing/>
    </w:pPr>
  </w:style>
  <w:style w:type="character" w:styleId="IntenseEmphasis">
    <w:name w:val="Intense Emphasis"/>
    <w:basedOn w:val="DefaultParagraphFont"/>
    <w:uiPriority w:val="21"/>
    <w:qFormat/>
    <w:rsid w:val="00E72823"/>
    <w:rPr>
      <w:i/>
      <w:iCs/>
      <w:color w:val="0F4761" w:themeColor="accent1" w:themeShade="BF"/>
    </w:rPr>
  </w:style>
  <w:style w:type="paragraph" w:styleId="IntenseQuote">
    <w:name w:val="Intense Quote"/>
    <w:basedOn w:val="Normal"/>
    <w:next w:val="Normal"/>
    <w:link w:val="IntenseQuoteChar"/>
    <w:uiPriority w:val="30"/>
    <w:qFormat/>
    <w:rsid w:val="00E72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823"/>
    <w:rPr>
      <w:i/>
      <w:iCs/>
      <w:color w:val="0F4761" w:themeColor="accent1" w:themeShade="BF"/>
    </w:rPr>
  </w:style>
  <w:style w:type="character" w:styleId="IntenseReference">
    <w:name w:val="Intense Reference"/>
    <w:basedOn w:val="DefaultParagraphFont"/>
    <w:uiPriority w:val="32"/>
    <w:qFormat/>
    <w:rsid w:val="00E72823"/>
    <w:rPr>
      <w:b/>
      <w:bCs/>
      <w:smallCaps/>
      <w:color w:val="0F4761" w:themeColor="accent1" w:themeShade="BF"/>
      <w:spacing w:val="5"/>
    </w:rPr>
  </w:style>
  <w:style w:type="paragraph" w:styleId="CommentText">
    <w:name w:val="annotation text"/>
    <w:basedOn w:val="Normal"/>
    <w:link w:val="CommentTextChar"/>
    <w:uiPriority w:val="99"/>
    <w:semiHidden/>
    <w:unhideWhenUsed/>
    <w:rsid w:val="00E72823"/>
    <w:pPr>
      <w:spacing w:line="240" w:lineRule="auto"/>
    </w:pPr>
    <w:rPr>
      <w:sz w:val="20"/>
      <w:szCs w:val="20"/>
    </w:rPr>
  </w:style>
  <w:style w:type="character" w:customStyle="1" w:styleId="CommentTextChar">
    <w:name w:val="Comment Text Char"/>
    <w:basedOn w:val="DefaultParagraphFont"/>
    <w:link w:val="CommentText"/>
    <w:uiPriority w:val="99"/>
    <w:semiHidden/>
    <w:rsid w:val="00E72823"/>
    <w:rPr>
      <w:sz w:val="20"/>
      <w:szCs w:val="20"/>
    </w:rPr>
  </w:style>
  <w:style w:type="character" w:styleId="CommentReference">
    <w:name w:val="annotation reference"/>
    <w:basedOn w:val="DefaultParagraphFont"/>
    <w:uiPriority w:val="99"/>
    <w:semiHidden/>
    <w:unhideWhenUsed/>
    <w:rsid w:val="00E72823"/>
    <w:rPr>
      <w:sz w:val="16"/>
      <w:szCs w:val="16"/>
    </w:rPr>
  </w:style>
  <w:style w:type="table" w:customStyle="1" w:styleId="TableGrid1">
    <w:name w:val="Table Grid1"/>
    <w:basedOn w:val="TableNormal"/>
    <w:next w:val="TableGrid"/>
    <w:uiPriority w:val="39"/>
    <w:rsid w:val="00E72823"/>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2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5528</Words>
  <Characters>31515</Characters>
  <Application>Microsoft Office Word</Application>
  <DocSecurity>0</DocSecurity>
  <Lines>262</Lines>
  <Paragraphs>73</Paragraphs>
  <ScaleCrop>false</ScaleCrop>
  <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Mallon - RESEARCH</dc:creator>
  <cp:keywords/>
  <dc:description/>
  <cp:lastModifiedBy>Kristian Mallon - RESEARCH</cp:lastModifiedBy>
  <cp:revision>2</cp:revision>
  <dcterms:created xsi:type="dcterms:W3CDTF">2026-07-14T12:57:00Z</dcterms:created>
  <dcterms:modified xsi:type="dcterms:W3CDTF">2026-07-20T10:35:00Z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b47c82fb-c7bf-4c47-b418-e7fbb246f0f6</vt:lpwstr>
  </property>
</Properties>
</file>