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002F4" w14:textId="77777777" w:rsidR="005B114F" w:rsidRPr="00274202" w:rsidRDefault="005B114F" w:rsidP="005B114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</w:pPr>
      <w:r w:rsidRPr="00274202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szCs w:val="24"/>
          <w:lang w:eastAsia="en-IE"/>
          <w14:ligatures w14:val="none"/>
        </w:rPr>
        <w:t xml:space="preserve">Supplementary Table 3. </w:t>
      </w:r>
      <w:r w:rsidRPr="0027420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  <w:t>Predictive performance of mapping algorithms in the estimation sample by study characteristics</w:t>
      </w:r>
    </w:p>
    <w:p w14:paraId="4BAE084E" w14:textId="77777777" w:rsidR="005B114F" w:rsidRPr="00274202" w:rsidRDefault="005B114F" w:rsidP="005B114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</w:pPr>
    </w:p>
    <w:tbl>
      <w:tblPr>
        <w:tblpPr w:leftFromText="180" w:rightFromText="180" w:vertAnchor="page" w:horzAnchor="margin" w:tblpXSpec="center" w:tblpY="2182"/>
        <w:tblW w:w="14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8"/>
        <w:gridCol w:w="3291"/>
        <w:gridCol w:w="1635"/>
        <w:gridCol w:w="1635"/>
        <w:gridCol w:w="1635"/>
        <w:gridCol w:w="1640"/>
        <w:gridCol w:w="1636"/>
      </w:tblGrid>
      <w:tr w:rsidR="005B114F" w:rsidRPr="00274202" w14:paraId="6F0F13D0" w14:textId="77777777" w:rsidTr="005E61D2">
        <w:trPr>
          <w:trHeight w:val="397"/>
        </w:trPr>
        <w:tc>
          <w:tcPr>
            <w:tcW w:w="3018" w:type="dxa"/>
          </w:tcPr>
          <w:p w14:paraId="6E8184FB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Characteristic</w:t>
            </w:r>
          </w:p>
        </w:tc>
        <w:tc>
          <w:tcPr>
            <w:tcW w:w="3291" w:type="dxa"/>
            <w:noWrap/>
            <w:vAlign w:val="bottom"/>
            <w:hideMark/>
          </w:tcPr>
          <w:p w14:paraId="79D7798E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6545" w:type="dxa"/>
            <w:gridSpan w:val="4"/>
            <w:noWrap/>
            <w:vAlign w:val="center"/>
            <w:hideMark/>
          </w:tcPr>
          <w:p w14:paraId="5A5F3DD6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Q-squared</w:t>
            </w: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 </w:t>
            </w:r>
            <w:r w:rsidRPr="0027420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interpretation</w:t>
            </w:r>
          </w:p>
        </w:tc>
        <w:tc>
          <w:tcPr>
            <w:tcW w:w="1636" w:type="dxa"/>
            <w:noWrap/>
            <w:vAlign w:val="bottom"/>
            <w:hideMark/>
          </w:tcPr>
          <w:p w14:paraId="12D42152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="005B114F" w:rsidRPr="00274202" w14:paraId="16194247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30780847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Model type</w:t>
            </w:r>
          </w:p>
        </w:tc>
        <w:tc>
          <w:tcPr>
            <w:tcW w:w="3291" w:type="dxa"/>
            <w:noWrap/>
            <w:vAlign w:val="center"/>
            <w:hideMark/>
          </w:tcPr>
          <w:p w14:paraId="07E24D0F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Category</w:t>
            </w:r>
          </w:p>
        </w:tc>
        <w:tc>
          <w:tcPr>
            <w:tcW w:w="1635" w:type="dxa"/>
            <w:noWrap/>
            <w:vAlign w:val="center"/>
            <w:hideMark/>
          </w:tcPr>
          <w:p w14:paraId="0FB2F3F2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≥0.75</w:t>
            </w:r>
          </w:p>
        </w:tc>
        <w:tc>
          <w:tcPr>
            <w:tcW w:w="1635" w:type="dxa"/>
            <w:noWrap/>
            <w:vAlign w:val="center"/>
            <w:hideMark/>
          </w:tcPr>
          <w:p w14:paraId="5F4546EE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0.50–0.74</w:t>
            </w:r>
          </w:p>
        </w:tc>
        <w:tc>
          <w:tcPr>
            <w:tcW w:w="1635" w:type="dxa"/>
            <w:noWrap/>
            <w:vAlign w:val="center"/>
            <w:hideMark/>
          </w:tcPr>
          <w:p w14:paraId="7FBF0541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0.25–0.49</w:t>
            </w:r>
          </w:p>
        </w:tc>
        <w:tc>
          <w:tcPr>
            <w:tcW w:w="1640" w:type="dxa"/>
            <w:noWrap/>
            <w:vAlign w:val="center"/>
            <w:hideMark/>
          </w:tcPr>
          <w:p w14:paraId="5E3984EC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&lt;0.25</w:t>
            </w:r>
          </w:p>
        </w:tc>
        <w:tc>
          <w:tcPr>
            <w:tcW w:w="1636" w:type="dxa"/>
            <w:noWrap/>
            <w:vAlign w:val="center"/>
            <w:hideMark/>
          </w:tcPr>
          <w:p w14:paraId="5FAD4ABE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Total</w:t>
            </w:r>
          </w:p>
        </w:tc>
      </w:tr>
      <w:tr w:rsidR="005B114F" w:rsidRPr="00274202" w14:paraId="454937AF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62105CCE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291" w:type="dxa"/>
            <w:noWrap/>
            <w:vAlign w:val="center"/>
            <w:hideMark/>
          </w:tcPr>
          <w:p w14:paraId="28C541D3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CLAD</w:t>
            </w:r>
          </w:p>
        </w:tc>
        <w:tc>
          <w:tcPr>
            <w:tcW w:w="1635" w:type="dxa"/>
            <w:noWrap/>
            <w:vAlign w:val="center"/>
            <w:hideMark/>
          </w:tcPr>
          <w:p w14:paraId="327B0036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33C3F92D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003AF9DC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40" w:type="dxa"/>
            <w:noWrap/>
            <w:vAlign w:val="center"/>
            <w:hideMark/>
          </w:tcPr>
          <w:p w14:paraId="71901D79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 (100%)</w:t>
            </w:r>
          </w:p>
        </w:tc>
        <w:tc>
          <w:tcPr>
            <w:tcW w:w="1636" w:type="dxa"/>
            <w:noWrap/>
            <w:vAlign w:val="center"/>
            <w:hideMark/>
          </w:tcPr>
          <w:p w14:paraId="40C79FC6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</w:t>
            </w:r>
          </w:p>
        </w:tc>
      </w:tr>
      <w:tr w:rsidR="005B114F" w:rsidRPr="00274202" w14:paraId="4B48166A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24EA1CBA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291" w:type="dxa"/>
            <w:noWrap/>
            <w:vAlign w:val="center"/>
            <w:hideMark/>
          </w:tcPr>
          <w:p w14:paraId="445CD17A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Mixture Model</w:t>
            </w:r>
          </w:p>
        </w:tc>
        <w:tc>
          <w:tcPr>
            <w:tcW w:w="1635" w:type="dxa"/>
            <w:noWrap/>
            <w:vAlign w:val="center"/>
            <w:hideMark/>
          </w:tcPr>
          <w:p w14:paraId="37DD2138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39502A66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 (29%)</w:t>
            </w:r>
          </w:p>
        </w:tc>
        <w:tc>
          <w:tcPr>
            <w:tcW w:w="1635" w:type="dxa"/>
            <w:noWrap/>
            <w:vAlign w:val="center"/>
            <w:hideMark/>
          </w:tcPr>
          <w:p w14:paraId="537768B7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40" w:type="dxa"/>
            <w:noWrap/>
            <w:vAlign w:val="center"/>
            <w:hideMark/>
          </w:tcPr>
          <w:p w14:paraId="26F91045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 (71%)</w:t>
            </w:r>
          </w:p>
        </w:tc>
        <w:tc>
          <w:tcPr>
            <w:tcW w:w="1636" w:type="dxa"/>
            <w:noWrap/>
            <w:vAlign w:val="center"/>
            <w:hideMark/>
          </w:tcPr>
          <w:p w14:paraId="3BF1EE19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</w:tr>
      <w:tr w:rsidR="005B114F" w:rsidRPr="00274202" w14:paraId="5B490AA1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2790B87A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291" w:type="dxa"/>
            <w:noWrap/>
            <w:vAlign w:val="center"/>
            <w:hideMark/>
          </w:tcPr>
          <w:p w14:paraId="7601DD3C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OLS</w:t>
            </w:r>
          </w:p>
        </w:tc>
        <w:tc>
          <w:tcPr>
            <w:tcW w:w="1635" w:type="dxa"/>
            <w:noWrap/>
            <w:vAlign w:val="center"/>
            <w:hideMark/>
          </w:tcPr>
          <w:p w14:paraId="40913A7D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 (16%)</w:t>
            </w:r>
          </w:p>
        </w:tc>
        <w:tc>
          <w:tcPr>
            <w:tcW w:w="1635" w:type="dxa"/>
            <w:noWrap/>
            <w:vAlign w:val="center"/>
            <w:hideMark/>
          </w:tcPr>
          <w:p w14:paraId="1E7D9246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6 (32%)</w:t>
            </w:r>
          </w:p>
        </w:tc>
        <w:tc>
          <w:tcPr>
            <w:tcW w:w="1635" w:type="dxa"/>
            <w:noWrap/>
            <w:vAlign w:val="center"/>
            <w:hideMark/>
          </w:tcPr>
          <w:p w14:paraId="52613822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 (16%)</w:t>
            </w:r>
          </w:p>
        </w:tc>
        <w:tc>
          <w:tcPr>
            <w:tcW w:w="1640" w:type="dxa"/>
            <w:noWrap/>
            <w:vAlign w:val="center"/>
            <w:hideMark/>
          </w:tcPr>
          <w:p w14:paraId="76B34CBC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 (37%)</w:t>
            </w:r>
          </w:p>
        </w:tc>
        <w:tc>
          <w:tcPr>
            <w:tcW w:w="1636" w:type="dxa"/>
            <w:noWrap/>
            <w:vAlign w:val="center"/>
            <w:hideMark/>
          </w:tcPr>
          <w:p w14:paraId="5793C713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19</w:t>
            </w:r>
          </w:p>
        </w:tc>
      </w:tr>
      <w:tr w:rsidR="005B114F" w:rsidRPr="00274202" w14:paraId="04830E26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1C299D74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291" w:type="dxa"/>
            <w:noWrap/>
            <w:vAlign w:val="center"/>
            <w:hideMark/>
          </w:tcPr>
          <w:p w14:paraId="038A3240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Response mapping</w:t>
            </w:r>
          </w:p>
        </w:tc>
        <w:tc>
          <w:tcPr>
            <w:tcW w:w="1635" w:type="dxa"/>
            <w:noWrap/>
            <w:vAlign w:val="center"/>
            <w:hideMark/>
          </w:tcPr>
          <w:p w14:paraId="67B6832F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5FD39C48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 (100%)</w:t>
            </w:r>
          </w:p>
        </w:tc>
        <w:tc>
          <w:tcPr>
            <w:tcW w:w="1635" w:type="dxa"/>
            <w:noWrap/>
            <w:vAlign w:val="center"/>
            <w:hideMark/>
          </w:tcPr>
          <w:p w14:paraId="541F59CF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40" w:type="dxa"/>
            <w:noWrap/>
            <w:vAlign w:val="center"/>
            <w:hideMark/>
          </w:tcPr>
          <w:p w14:paraId="51C54A5E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18C2CEC5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</w:t>
            </w:r>
          </w:p>
        </w:tc>
      </w:tr>
      <w:tr w:rsidR="005B114F" w:rsidRPr="00274202" w14:paraId="44A0BCC5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32C26C39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291" w:type="dxa"/>
            <w:noWrap/>
            <w:vAlign w:val="center"/>
            <w:hideMark/>
          </w:tcPr>
          <w:p w14:paraId="67BE84D2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Tobit</w:t>
            </w:r>
          </w:p>
        </w:tc>
        <w:tc>
          <w:tcPr>
            <w:tcW w:w="1635" w:type="dxa"/>
            <w:noWrap/>
            <w:vAlign w:val="center"/>
            <w:hideMark/>
          </w:tcPr>
          <w:p w14:paraId="12FA5C63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29B6EB41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 (100%)</w:t>
            </w:r>
          </w:p>
        </w:tc>
        <w:tc>
          <w:tcPr>
            <w:tcW w:w="1635" w:type="dxa"/>
            <w:noWrap/>
            <w:vAlign w:val="center"/>
            <w:hideMark/>
          </w:tcPr>
          <w:p w14:paraId="696BD34F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40" w:type="dxa"/>
            <w:noWrap/>
            <w:vAlign w:val="center"/>
            <w:hideMark/>
          </w:tcPr>
          <w:p w14:paraId="68966E77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6E18B33A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</w:t>
            </w:r>
          </w:p>
        </w:tc>
      </w:tr>
      <w:tr w:rsidR="005B114F" w:rsidRPr="00274202" w14:paraId="3DCB00FB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65769F6A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291" w:type="dxa"/>
            <w:noWrap/>
            <w:vAlign w:val="center"/>
            <w:hideMark/>
          </w:tcPr>
          <w:p w14:paraId="12CE9B26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TPM</w:t>
            </w:r>
          </w:p>
        </w:tc>
        <w:tc>
          <w:tcPr>
            <w:tcW w:w="1635" w:type="dxa"/>
            <w:noWrap/>
            <w:vAlign w:val="center"/>
            <w:hideMark/>
          </w:tcPr>
          <w:p w14:paraId="1B22BB07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5" w:type="dxa"/>
            <w:noWrap/>
            <w:vAlign w:val="center"/>
            <w:hideMark/>
          </w:tcPr>
          <w:p w14:paraId="1E6DB431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 (100%)</w:t>
            </w:r>
          </w:p>
        </w:tc>
        <w:tc>
          <w:tcPr>
            <w:tcW w:w="1635" w:type="dxa"/>
            <w:noWrap/>
            <w:vAlign w:val="center"/>
            <w:hideMark/>
          </w:tcPr>
          <w:p w14:paraId="71A67B90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40" w:type="dxa"/>
            <w:noWrap/>
            <w:vAlign w:val="center"/>
            <w:hideMark/>
          </w:tcPr>
          <w:p w14:paraId="1ADF3342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6" w:type="dxa"/>
            <w:noWrap/>
            <w:vAlign w:val="center"/>
            <w:hideMark/>
          </w:tcPr>
          <w:p w14:paraId="7FBE2CD6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</w:t>
            </w:r>
          </w:p>
        </w:tc>
      </w:tr>
      <w:tr w:rsidR="005B114F" w:rsidRPr="00274202" w14:paraId="64FCC871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2FF1851C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Source-to-target instrument</w:t>
            </w:r>
          </w:p>
        </w:tc>
        <w:tc>
          <w:tcPr>
            <w:tcW w:w="3291" w:type="dxa"/>
            <w:noWrap/>
            <w:vAlign w:val="center"/>
          </w:tcPr>
          <w:p w14:paraId="5F8C5A89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EORTC QLQ C30 to 15D</w:t>
            </w:r>
          </w:p>
        </w:tc>
        <w:tc>
          <w:tcPr>
            <w:tcW w:w="1635" w:type="dxa"/>
            <w:noWrap/>
            <w:vAlign w:val="center"/>
          </w:tcPr>
          <w:p w14:paraId="267A3208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 (100%)</w:t>
            </w:r>
          </w:p>
        </w:tc>
        <w:tc>
          <w:tcPr>
            <w:tcW w:w="1635" w:type="dxa"/>
            <w:noWrap/>
            <w:vAlign w:val="center"/>
          </w:tcPr>
          <w:p w14:paraId="38DE24D7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5" w:type="dxa"/>
            <w:noWrap/>
            <w:vAlign w:val="center"/>
          </w:tcPr>
          <w:p w14:paraId="3D380DF8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40" w:type="dxa"/>
            <w:noWrap/>
            <w:vAlign w:val="center"/>
          </w:tcPr>
          <w:p w14:paraId="2A7CAFF9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6" w:type="dxa"/>
            <w:noWrap/>
            <w:vAlign w:val="center"/>
          </w:tcPr>
          <w:p w14:paraId="0C77A4DF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</w:t>
            </w:r>
          </w:p>
        </w:tc>
      </w:tr>
      <w:tr w:rsidR="005B114F" w:rsidRPr="00274202" w14:paraId="3228FE41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50A27130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291" w:type="dxa"/>
            <w:noWrap/>
            <w:vAlign w:val="center"/>
          </w:tcPr>
          <w:p w14:paraId="02DD2BFD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EORTC QLQ C30 to EQ-5D</w:t>
            </w:r>
          </w:p>
        </w:tc>
        <w:tc>
          <w:tcPr>
            <w:tcW w:w="1635" w:type="dxa"/>
            <w:noWrap/>
            <w:vAlign w:val="center"/>
          </w:tcPr>
          <w:p w14:paraId="79ED2B73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 (20%)</w:t>
            </w:r>
          </w:p>
        </w:tc>
        <w:tc>
          <w:tcPr>
            <w:tcW w:w="1635" w:type="dxa"/>
            <w:noWrap/>
            <w:vAlign w:val="center"/>
          </w:tcPr>
          <w:p w14:paraId="1AA8D0DF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 (80%)</w:t>
            </w:r>
          </w:p>
        </w:tc>
        <w:tc>
          <w:tcPr>
            <w:tcW w:w="1635" w:type="dxa"/>
            <w:noWrap/>
            <w:vAlign w:val="center"/>
          </w:tcPr>
          <w:p w14:paraId="5961A964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40" w:type="dxa"/>
            <w:noWrap/>
            <w:vAlign w:val="center"/>
          </w:tcPr>
          <w:p w14:paraId="12AC4BE1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6" w:type="dxa"/>
            <w:noWrap/>
            <w:vAlign w:val="center"/>
          </w:tcPr>
          <w:p w14:paraId="76E7B573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</w:t>
            </w:r>
          </w:p>
        </w:tc>
      </w:tr>
      <w:tr w:rsidR="005B114F" w:rsidRPr="00274202" w14:paraId="0C54C05D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69AED8A8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291" w:type="dxa"/>
            <w:noWrap/>
            <w:vAlign w:val="center"/>
          </w:tcPr>
          <w:p w14:paraId="73BA8516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EORTC QLQ C30 to EQ-5D-5L</w:t>
            </w:r>
          </w:p>
        </w:tc>
        <w:tc>
          <w:tcPr>
            <w:tcW w:w="1635" w:type="dxa"/>
            <w:noWrap/>
            <w:vAlign w:val="center"/>
          </w:tcPr>
          <w:p w14:paraId="559097F3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 (100%)</w:t>
            </w:r>
          </w:p>
        </w:tc>
        <w:tc>
          <w:tcPr>
            <w:tcW w:w="1635" w:type="dxa"/>
            <w:noWrap/>
            <w:vAlign w:val="center"/>
          </w:tcPr>
          <w:p w14:paraId="272221F7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5" w:type="dxa"/>
            <w:noWrap/>
            <w:vAlign w:val="center"/>
          </w:tcPr>
          <w:p w14:paraId="637DCEA7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40" w:type="dxa"/>
            <w:noWrap/>
            <w:vAlign w:val="center"/>
          </w:tcPr>
          <w:p w14:paraId="6C6DD945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6" w:type="dxa"/>
            <w:noWrap/>
            <w:vAlign w:val="center"/>
          </w:tcPr>
          <w:p w14:paraId="4D352EE4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</w:t>
            </w:r>
          </w:p>
        </w:tc>
      </w:tr>
      <w:tr w:rsidR="005B114F" w:rsidRPr="00274202" w14:paraId="5F687E62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2A6479F7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291" w:type="dxa"/>
            <w:noWrap/>
            <w:vAlign w:val="center"/>
          </w:tcPr>
          <w:p w14:paraId="6BA7CBD3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EORTC QLQ C30 to SF-6D</w:t>
            </w:r>
          </w:p>
        </w:tc>
        <w:tc>
          <w:tcPr>
            <w:tcW w:w="1635" w:type="dxa"/>
            <w:noWrap/>
            <w:vAlign w:val="center"/>
          </w:tcPr>
          <w:p w14:paraId="1F43485A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 (100%)</w:t>
            </w:r>
          </w:p>
        </w:tc>
        <w:tc>
          <w:tcPr>
            <w:tcW w:w="1635" w:type="dxa"/>
            <w:noWrap/>
            <w:vAlign w:val="center"/>
          </w:tcPr>
          <w:p w14:paraId="733B7158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5" w:type="dxa"/>
            <w:noWrap/>
            <w:vAlign w:val="center"/>
          </w:tcPr>
          <w:p w14:paraId="4A783634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40" w:type="dxa"/>
            <w:noWrap/>
            <w:vAlign w:val="center"/>
          </w:tcPr>
          <w:p w14:paraId="00C43ED6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6" w:type="dxa"/>
            <w:noWrap/>
            <w:vAlign w:val="center"/>
          </w:tcPr>
          <w:p w14:paraId="03AB5856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</w:t>
            </w:r>
          </w:p>
        </w:tc>
      </w:tr>
      <w:tr w:rsidR="005B114F" w:rsidRPr="00274202" w14:paraId="1D0C176F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46C56235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291" w:type="dxa"/>
            <w:noWrap/>
            <w:vAlign w:val="center"/>
          </w:tcPr>
          <w:p w14:paraId="1D55555C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IBS-QOL to EQ-5D-DL</w:t>
            </w:r>
          </w:p>
        </w:tc>
        <w:tc>
          <w:tcPr>
            <w:tcW w:w="1635" w:type="dxa"/>
            <w:noWrap/>
            <w:vAlign w:val="center"/>
          </w:tcPr>
          <w:p w14:paraId="6DB8768C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5" w:type="dxa"/>
            <w:noWrap/>
            <w:vAlign w:val="center"/>
          </w:tcPr>
          <w:p w14:paraId="58A8C7AD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5" w:type="dxa"/>
            <w:noWrap/>
            <w:vAlign w:val="center"/>
          </w:tcPr>
          <w:p w14:paraId="5E012A90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40" w:type="dxa"/>
            <w:noWrap/>
            <w:vAlign w:val="center"/>
          </w:tcPr>
          <w:p w14:paraId="6DCAB3AC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15 (100%)</w:t>
            </w:r>
          </w:p>
        </w:tc>
        <w:tc>
          <w:tcPr>
            <w:tcW w:w="1636" w:type="dxa"/>
            <w:noWrap/>
            <w:vAlign w:val="center"/>
          </w:tcPr>
          <w:p w14:paraId="145BB3C4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15</w:t>
            </w:r>
          </w:p>
        </w:tc>
      </w:tr>
      <w:tr w:rsidR="005B114F" w:rsidRPr="00274202" w14:paraId="55530FE6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73EBBDC2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291" w:type="dxa"/>
            <w:noWrap/>
            <w:vAlign w:val="center"/>
          </w:tcPr>
          <w:p w14:paraId="35DBC3C6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PAC-QOL to EQ-5D</w:t>
            </w:r>
          </w:p>
        </w:tc>
        <w:tc>
          <w:tcPr>
            <w:tcW w:w="1635" w:type="dxa"/>
            <w:noWrap/>
            <w:vAlign w:val="center"/>
          </w:tcPr>
          <w:p w14:paraId="4AF245FD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5" w:type="dxa"/>
            <w:noWrap/>
            <w:vAlign w:val="center"/>
          </w:tcPr>
          <w:p w14:paraId="4B73EA8E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5" w:type="dxa"/>
            <w:noWrap/>
            <w:vAlign w:val="center"/>
          </w:tcPr>
          <w:p w14:paraId="38FA15CA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 (60%)</w:t>
            </w:r>
          </w:p>
        </w:tc>
        <w:tc>
          <w:tcPr>
            <w:tcW w:w="1640" w:type="dxa"/>
            <w:noWrap/>
            <w:vAlign w:val="center"/>
          </w:tcPr>
          <w:p w14:paraId="6D22B5CE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 (40%)</w:t>
            </w:r>
          </w:p>
        </w:tc>
        <w:tc>
          <w:tcPr>
            <w:tcW w:w="1636" w:type="dxa"/>
            <w:noWrap/>
            <w:vAlign w:val="center"/>
          </w:tcPr>
          <w:p w14:paraId="67A58E5A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</w:t>
            </w:r>
          </w:p>
        </w:tc>
      </w:tr>
      <w:tr w:rsidR="005B114F" w:rsidRPr="00274202" w14:paraId="15141212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6E95D866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Sample size</w:t>
            </w:r>
          </w:p>
        </w:tc>
        <w:tc>
          <w:tcPr>
            <w:tcW w:w="3291" w:type="dxa"/>
            <w:noWrap/>
            <w:vAlign w:val="center"/>
          </w:tcPr>
          <w:p w14:paraId="059BA5D6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&lt;200 </w:t>
            </w:r>
          </w:p>
        </w:tc>
        <w:tc>
          <w:tcPr>
            <w:tcW w:w="1635" w:type="dxa"/>
            <w:noWrap/>
            <w:vAlign w:val="center"/>
          </w:tcPr>
          <w:p w14:paraId="3F35C20F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 (11%)</w:t>
            </w:r>
          </w:p>
        </w:tc>
        <w:tc>
          <w:tcPr>
            <w:tcW w:w="1635" w:type="dxa"/>
            <w:noWrap/>
            <w:vAlign w:val="center"/>
          </w:tcPr>
          <w:p w14:paraId="0C627F96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 (6%)</w:t>
            </w:r>
          </w:p>
        </w:tc>
        <w:tc>
          <w:tcPr>
            <w:tcW w:w="1635" w:type="dxa"/>
            <w:noWrap/>
            <w:vAlign w:val="center"/>
          </w:tcPr>
          <w:p w14:paraId="39C55191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40" w:type="dxa"/>
            <w:noWrap/>
            <w:vAlign w:val="center"/>
          </w:tcPr>
          <w:p w14:paraId="61D70ABB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15 (83%)</w:t>
            </w:r>
          </w:p>
        </w:tc>
        <w:tc>
          <w:tcPr>
            <w:tcW w:w="1636" w:type="dxa"/>
            <w:noWrap/>
            <w:vAlign w:val="center"/>
          </w:tcPr>
          <w:p w14:paraId="11C386B9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18</w:t>
            </w:r>
          </w:p>
        </w:tc>
      </w:tr>
      <w:tr w:rsidR="005B114F" w:rsidRPr="00274202" w14:paraId="2C4EF9BC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3E05EC1E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291" w:type="dxa"/>
            <w:noWrap/>
            <w:vAlign w:val="center"/>
          </w:tcPr>
          <w:p w14:paraId="044021DB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201 - 500</w:t>
            </w:r>
          </w:p>
        </w:tc>
        <w:tc>
          <w:tcPr>
            <w:tcW w:w="1635" w:type="dxa"/>
            <w:noWrap/>
            <w:vAlign w:val="center"/>
          </w:tcPr>
          <w:p w14:paraId="2B5F71B4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5" w:type="dxa"/>
            <w:noWrap/>
            <w:vAlign w:val="center"/>
          </w:tcPr>
          <w:p w14:paraId="0799C123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 (50%)</w:t>
            </w:r>
          </w:p>
        </w:tc>
        <w:tc>
          <w:tcPr>
            <w:tcW w:w="1635" w:type="dxa"/>
            <w:noWrap/>
            <w:vAlign w:val="center"/>
          </w:tcPr>
          <w:p w14:paraId="30931EC7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40" w:type="dxa"/>
            <w:noWrap/>
            <w:vAlign w:val="center"/>
          </w:tcPr>
          <w:p w14:paraId="17108193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 (50%)</w:t>
            </w:r>
          </w:p>
        </w:tc>
        <w:tc>
          <w:tcPr>
            <w:tcW w:w="1636" w:type="dxa"/>
            <w:noWrap/>
            <w:vAlign w:val="center"/>
          </w:tcPr>
          <w:p w14:paraId="6F47B09A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</w:t>
            </w:r>
          </w:p>
        </w:tc>
      </w:tr>
      <w:tr w:rsidR="005B114F" w:rsidRPr="00274202" w14:paraId="5F71E77A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6CCF6973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291" w:type="dxa"/>
            <w:noWrap/>
            <w:vAlign w:val="center"/>
          </w:tcPr>
          <w:p w14:paraId="6C0D5DE8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501 - 800</w:t>
            </w:r>
          </w:p>
        </w:tc>
        <w:tc>
          <w:tcPr>
            <w:tcW w:w="1635" w:type="dxa"/>
            <w:noWrap/>
            <w:vAlign w:val="center"/>
          </w:tcPr>
          <w:p w14:paraId="57D8744E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 (12%)</w:t>
            </w:r>
          </w:p>
        </w:tc>
        <w:tc>
          <w:tcPr>
            <w:tcW w:w="1635" w:type="dxa"/>
            <w:noWrap/>
            <w:vAlign w:val="center"/>
          </w:tcPr>
          <w:p w14:paraId="25F2CB40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 (88%)</w:t>
            </w:r>
          </w:p>
        </w:tc>
        <w:tc>
          <w:tcPr>
            <w:tcW w:w="1635" w:type="dxa"/>
            <w:noWrap/>
            <w:vAlign w:val="center"/>
          </w:tcPr>
          <w:p w14:paraId="6E6C13D7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40" w:type="dxa"/>
            <w:noWrap/>
            <w:vAlign w:val="center"/>
          </w:tcPr>
          <w:p w14:paraId="434204C9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6" w:type="dxa"/>
            <w:noWrap/>
            <w:vAlign w:val="center"/>
          </w:tcPr>
          <w:p w14:paraId="56BE593A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</w:t>
            </w:r>
          </w:p>
        </w:tc>
      </w:tr>
      <w:tr w:rsidR="005B114F" w:rsidRPr="00274202" w14:paraId="3F29FF1D" w14:textId="77777777" w:rsidTr="005E61D2">
        <w:trPr>
          <w:trHeight w:val="397"/>
        </w:trPr>
        <w:tc>
          <w:tcPr>
            <w:tcW w:w="3018" w:type="dxa"/>
            <w:vAlign w:val="center"/>
          </w:tcPr>
          <w:p w14:paraId="2FCA1241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3291" w:type="dxa"/>
            <w:noWrap/>
            <w:vAlign w:val="center"/>
          </w:tcPr>
          <w:p w14:paraId="762B26C5" w14:textId="77777777" w:rsidR="005B114F" w:rsidRPr="00274202" w:rsidRDefault="005B114F" w:rsidP="005E61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800&gt;</w:t>
            </w:r>
          </w:p>
        </w:tc>
        <w:tc>
          <w:tcPr>
            <w:tcW w:w="1635" w:type="dxa"/>
            <w:noWrap/>
            <w:vAlign w:val="center"/>
          </w:tcPr>
          <w:p w14:paraId="707B47A1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 xml:space="preserve">0 </w:t>
            </w:r>
          </w:p>
        </w:tc>
        <w:tc>
          <w:tcPr>
            <w:tcW w:w="1635" w:type="dxa"/>
            <w:noWrap/>
            <w:vAlign w:val="center"/>
          </w:tcPr>
          <w:p w14:paraId="4477D344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 (40%)</w:t>
            </w:r>
          </w:p>
        </w:tc>
        <w:tc>
          <w:tcPr>
            <w:tcW w:w="1635" w:type="dxa"/>
            <w:noWrap/>
            <w:vAlign w:val="center"/>
          </w:tcPr>
          <w:p w14:paraId="43F0A135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 (60%)</w:t>
            </w:r>
          </w:p>
        </w:tc>
        <w:tc>
          <w:tcPr>
            <w:tcW w:w="1640" w:type="dxa"/>
            <w:noWrap/>
            <w:vAlign w:val="center"/>
          </w:tcPr>
          <w:p w14:paraId="01654F5D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</w:t>
            </w:r>
          </w:p>
        </w:tc>
        <w:tc>
          <w:tcPr>
            <w:tcW w:w="1636" w:type="dxa"/>
            <w:noWrap/>
            <w:vAlign w:val="center"/>
          </w:tcPr>
          <w:p w14:paraId="26A265D9" w14:textId="77777777" w:rsidR="005B114F" w:rsidRPr="00274202" w:rsidRDefault="005B114F" w:rsidP="005E61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7420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</w:t>
            </w:r>
          </w:p>
        </w:tc>
      </w:tr>
    </w:tbl>
    <w:p w14:paraId="492CD33D" w14:textId="77777777" w:rsidR="005B114F" w:rsidRPr="00274202" w:rsidRDefault="005B114F" w:rsidP="005B114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</w:pPr>
    </w:p>
    <w:p w14:paraId="57B0A945" w14:textId="77777777" w:rsidR="005B114F" w:rsidRPr="00274202" w:rsidRDefault="005B114F" w:rsidP="005B114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</w:pPr>
    </w:p>
    <w:p w14:paraId="2F5A9B4D" w14:textId="77777777" w:rsidR="005B114F" w:rsidRPr="00274202" w:rsidRDefault="005B114F" w:rsidP="005B114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  <w:sectPr w:rsidR="005B114F" w:rsidRPr="00274202" w:rsidSect="005B114F">
          <w:pgSz w:w="15842" w:h="12247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4204ADA4" w14:textId="77777777" w:rsidR="005B114F" w:rsidRPr="00274202" w:rsidRDefault="005B114F" w:rsidP="005B114F">
      <w:pPr>
        <w:spacing w:after="0" w:line="480" w:lineRule="auto"/>
        <w:jc w:val="both"/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eastAsia="en-IE"/>
          <w14:ligatures w14:val="none"/>
        </w:rPr>
      </w:pPr>
    </w:p>
    <w:p w14:paraId="48865028" w14:textId="77777777" w:rsidR="005B114F" w:rsidRPr="00274202" w:rsidRDefault="005B114F" w:rsidP="005B114F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highlight w:val="yellow"/>
          <w:lang w:eastAsia="en-IE"/>
          <w14:ligatures w14:val="none"/>
        </w:rPr>
      </w:pPr>
      <w:r w:rsidRPr="00274202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szCs w:val="24"/>
          <w:lang w:eastAsia="en-IE"/>
          <w14:ligatures w14:val="none"/>
        </w:rPr>
        <w:t>Predictive performance in the Estimation sample</w:t>
      </w:r>
    </w:p>
    <w:p w14:paraId="63BDF7BB" w14:textId="77777777" w:rsidR="005B114F" w:rsidRPr="00274202" w:rsidRDefault="005B114F" w:rsidP="005B11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</w:pPr>
      <w:r w:rsidRPr="0027420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  <w:t>Thirty-five mapping functions reported Q-squared values for the estimation sample. Results are presented by model type, source-to-target instrument, and sample size (Supplementary Table 3).</w:t>
      </w:r>
    </w:p>
    <w:p w14:paraId="09D59BAD" w14:textId="77777777" w:rsidR="005B114F" w:rsidRPr="00274202" w:rsidRDefault="005B114F" w:rsidP="005B1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</w:pPr>
      <w:r w:rsidRPr="0027420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E"/>
          <w14:ligatures w14:val="none"/>
        </w:rPr>
        <w:t>Model type</w:t>
      </w:r>
    </w:p>
    <w:p w14:paraId="62C1EE0C" w14:textId="77777777" w:rsidR="005B114F" w:rsidRPr="00274202" w:rsidRDefault="005B114F" w:rsidP="005B11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</w:pPr>
      <w:r w:rsidRPr="0027420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  <w:t xml:space="preserve">Predictive performance in the estimation sample varied considerably by regression approach. OLS models showed the greatest variation, with Q-squared values encompassing all four Q-squared interpretation points. Three functions (16%) demonstrated substantial performance (Q-squared ≥0.75), six (32%) moderate performance (Q-squared 0.50-0.74), three (16%) weak performance (Q-squared 0.25-0.49), and seven (37%) poor performance (Q-squared &lt;0.25). Tobit (n=2, 100%), response mapping (n=1, 100%), and TPM (n=1, 100%) models all demonstrated moderate predictive performance exclusively. </w:t>
      </w:r>
    </w:p>
    <w:p w14:paraId="44D63706" w14:textId="77777777" w:rsidR="005B114F" w:rsidRPr="00274202" w:rsidRDefault="005B114F" w:rsidP="005B11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</w:pPr>
      <w:r w:rsidRPr="0027420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  <w:t xml:space="preserve">Contrastingly, CLAD models demonstrated consistently poor predictive performance, with all five functions (100%) falling below Q-squared = 0.25. Mixture models similarly performed poorly, with five of seven functions (71%) underperforming and the remaining two (29%) showing only moderate performance. </w:t>
      </w:r>
    </w:p>
    <w:p w14:paraId="6909B3E6" w14:textId="77777777" w:rsidR="005B114F" w:rsidRPr="00274202" w:rsidRDefault="005B114F" w:rsidP="005B11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</w:pPr>
      <w:r w:rsidRPr="0027420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E"/>
          <w14:ligatures w14:val="none"/>
        </w:rPr>
        <w:t>By source-to-target instrument</w:t>
      </w:r>
    </w:p>
    <w:p w14:paraId="34476CC6" w14:textId="77777777" w:rsidR="005B114F" w:rsidRPr="00274202" w:rsidRDefault="005B114F" w:rsidP="005B11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</w:pPr>
      <w:r w:rsidRPr="0027420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  <w:t xml:space="preserve">Mapping from the EORTC QLQ-C30 to the EQ-5D-5L showed the strongest and most consistent performance, with all eight functions (100%) exhibiting substantial predictive performance (Q-squared  ≥ 0.75). Similarly, all functions mapping from the EORTC QLQ-C30 to the SF-6D (n=1, 100%) and from the EORTC QLQ-C30 to the 15-D (n=1, 100%) demonstrated substantial performance, though these findings are based on single functions and </w:t>
      </w:r>
      <w:r w:rsidRPr="0027420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  <w:lastRenderedPageBreak/>
        <w:t>should be interpreted cautiously. Mapping from the EORTC QLQ-C30 to the EQ-5D showed moderate-to-substantial performance, with one function (20%) achieving substantial and four (80%) achieving moderate predictive performance.</w:t>
      </w:r>
    </w:p>
    <w:p w14:paraId="3324C930" w14:textId="77777777" w:rsidR="005B114F" w:rsidRPr="00274202" w:rsidRDefault="005B114F" w:rsidP="005B114F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</w:pPr>
      <w:r w:rsidRPr="0027420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  <w:t xml:space="preserve">Conversely, the IBS-QoL to EQ-5D-5L mapping demonstrated consistently poor predictive performance, with all 15 functions (100%) having Q-squared &lt; 0.25. The PAC-QOL to EQ-5D combination similarly performed poorly, with three functions (60%) showing weak predictive performance and two (40%) showing poor predictive performance. </w:t>
      </w:r>
    </w:p>
    <w:p w14:paraId="25470770" w14:textId="77777777" w:rsidR="005B114F" w:rsidRPr="00274202" w:rsidRDefault="005B114F" w:rsidP="005B11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</w:pPr>
      <w:r w:rsidRPr="0027420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E"/>
          <w14:ligatures w14:val="none"/>
        </w:rPr>
        <w:t>By sample size</w:t>
      </w:r>
    </w:p>
    <w:p w14:paraId="2F427477" w14:textId="5C54FCEE" w:rsidR="00611F8A" w:rsidRDefault="005B114F" w:rsidP="005B114F">
      <w:pPr>
        <w:spacing w:before="100" w:beforeAutospacing="1" w:after="100" w:afterAutospacing="1" w:line="480" w:lineRule="auto"/>
        <w:jc w:val="both"/>
      </w:pPr>
      <w:r w:rsidRPr="0027420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E"/>
          <w14:ligatures w14:val="none"/>
        </w:rPr>
        <w:t>A generally positive relationship between sample size and the predictive performance of the estimation sample was observed. Among the smallest studies (n≤200), predictive performance was mainly poor, with 15 of 18 functions (83%) falling below Q-squared = 0.25. The strongest and most consistent performance was observed in the 501–800 sample-size group, where all eight functions demonstrated at least moderate performance (Q-squared ≥ 0.50). Among the largest sample sizes (n&gt;800), performance was more variable, with three functions (60%) showing only weak performance.</w:t>
      </w:r>
    </w:p>
    <w:sectPr w:rsidR="00611F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4F"/>
    <w:rsid w:val="00002454"/>
    <w:rsid w:val="000E6455"/>
    <w:rsid w:val="00116553"/>
    <w:rsid w:val="00174F98"/>
    <w:rsid w:val="001B01F0"/>
    <w:rsid w:val="00283511"/>
    <w:rsid w:val="003D50FC"/>
    <w:rsid w:val="004750E7"/>
    <w:rsid w:val="005B114F"/>
    <w:rsid w:val="00600298"/>
    <w:rsid w:val="00611F8A"/>
    <w:rsid w:val="00770F73"/>
    <w:rsid w:val="00BC2F61"/>
    <w:rsid w:val="00C36A9F"/>
    <w:rsid w:val="00C643B1"/>
    <w:rsid w:val="00D145B0"/>
    <w:rsid w:val="00E3007A"/>
    <w:rsid w:val="00F2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49779"/>
  <w15:chartTrackingRefBased/>
  <w15:docId w15:val="{CC89E7BA-0FDE-4DFD-B497-50F78C8C8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14F"/>
  </w:style>
  <w:style w:type="paragraph" w:styleId="Heading1">
    <w:name w:val="heading 1"/>
    <w:basedOn w:val="Normal"/>
    <w:next w:val="Normal"/>
    <w:link w:val="Heading1Char"/>
    <w:uiPriority w:val="9"/>
    <w:qFormat/>
    <w:rsid w:val="005B1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1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11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1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11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1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1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1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1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1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11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11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11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11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11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11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11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11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1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1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1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1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1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11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11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11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1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1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11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Mallon - RESEARCH</dc:creator>
  <cp:keywords/>
  <dc:description/>
  <cp:lastModifiedBy>Kristian Mallon - RESEARCH</cp:lastModifiedBy>
  <cp:revision>1</cp:revision>
  <dcterms:created xsi:type="dcterms:W3CDTF">2026-07-14T16:50:00Z</dcterms:created>
  <dcterms:modified xsi:type="dcterms:W3CDTF">2026-07-14T16:50:00Z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23d2d75c-66d1-43db-abd3-593d09e809bb</vt:lpwstr>
  </property>
</Properties>
</file>