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jc w:val="center"/>
      </w:pPr>
      <w:r>
        <w:rPr>
          <w:rFonts w:ascii="Times New Roman" w:cs="Times New Roman" w:eastAsia="Times New Roman" w:hAnsi="Times New Roman"/>
          <w:b/>
          <w:bCs/>
          <w:sz w:val="40"/>
          <w:szCs w:val="40"/>
        </w:rPr>
        <w:t xml:space="preserve">Supplementary Material</w:t>
      </w:r>
    </w:p>
    <w:p>
      <w:pPr>
        <w:spacing w:before="400"/>
        <w:jc w:val="center"/>
      </w:pPr>
      <w:r>
        <w:rPr>
          <w:rFonts w:ascii="Times New Roman" w:cs="Times New Roman" w:eastAsia="Times New Roman" w:hAnsi="Times New Roman"/>
          <w:b/>
          <w:bCs/>
          <w:sz w:val="26"/>
          <w:szCs w:val="26"/>
        </w:rPr>
        <w:t xml:space="preserve">Potentially Modifiable National Factors Associated With Global Interstitial Lung Disease Burden and Trajectories to 2050</w:t>
      </w:r>
    </w:p>
    <w:p>
      <w:pPr>
        <w:spacing w:before="300"/>
        <w:jc w:val="center"/>
      </w:pPr>
      <w:r>
        <w:rPr>
          <w:rFonts w:ascii="Times New Roman" w:cs="Times New Roman" w:eastAsia="Times New Roman" w:hAnsi="Times New Roman"/>
          <w:sz w:val="22"/>
          <w:szCs w:val="22"/>
        </w:rPr>
        <w:t xml:space="preserve">Jefferson Antonio Buendía, MD, PhD</w:t>
      </w:r>
    </w:p>
    <w:p>
      <w:pPr>
        <w:spacing w:before="800"/>
      </w:pPr>
      <w:r>
        <w:br w:type="page"/>
      </w:r>
    </w:p>
    <w:p>
      <w:pPr>
        <w:spacing w:after="200"/>
      </w:pPr>
      <w:r>
        <w:rPr>
          <w:rFonts w:ascii="Times New Roman" w:cs="Times New Roman" w:eastAsia="Times New Roman" w:hAnsi="Times New Roman"/>
          <w:b/>
          <w:bCs/>
          <w:sz w:val="26"/>
          <w:szCs w:val="26"/>
        </w:rPr>
        <w:t xml:space="preserve">Contents</w:t>
      </w:r>
    </w:p>
    <w:p>
      <w:pPr>
        <w:spacing w:after="80"/>
      </w:pPr>
      <w:r>
        <w:rPr>
          <w:rFonts w:ascii="Times New Roman" w:cs="Times New Roman" w:eastAsia="Times New Roman" w:hAnsi="Times New Roman"/>
          <w:sz w:val="20"/>
          <w:szCs w:val="20"/>
        </w:rPr>
        <w:t xml:space="preserve">Supplementary Figure S1.</w:t>
      </w:r>
    </w:p>
    <w:p>
      <w:pPr>
        <w:spacing w:after="80"/>
      </w:pPr>
      <w:r>
        <w:rPr>
          <w:rFonts w:ascii="Times New Roman" w:cs="Times New Roman" w:eastAsia="Times New Roman" w:hAnsi="Times New Roman"/>
          <w:sz w:val="20"/>
          <w:szCs w:val="20"/>
        </w:rPr>
        <w:t xml:space="preserve">Supplementary Figure S2.</w:t>
      </w:r>
    </w:p>
    <w:p>
      <w:pPr>
        <w:spacing w:after="80"/>
      </w:pPr>
      <w:r>
        <w:rPr>
          <w:rFonts w:ascii="Times New Roman" w:cs="Times New Roman" w:eastAsia="Times New Roman" w:hAnsi="Times New Roman"/>
          <w:sz w:val="20"/>
          <w:szCs w:val="20"/>
        </w:rPr>
        <w:t xml:space="preserve">Supplementary Figure S3.</w:t>
      </w:r>
    </w:p>
    <w:p>
      <w:pPr>
        <w:spacing w:after="80"/>
      </w:pPr>
      <w:r>
        <w:rPr>
          <w:rFonts w:ascii="Times New Roman" w:cs="Times New Roman" w:eastAsia="Times New Roman" w:hAnsi="Times New Roman"/>
          <w:sz w:val="20"/>
          <w:szCs w:val="20"/>
        </w:rPr>
        <w:t xml:space="preserve">Supplementary Figure S4.</w:t>
      </w:r>
    </w:p>
    <w:p>
      <w:pPr>
        <w:spacing w:after="80"/>
      </w:pPr>
      <w:r>
        <w:rPr>
          <w:rFonts w:ascii="Times New Roman" w:cs="Times New Roman" w:eastAsia="Times New Roman" w:hAnsi="Times New Roman"/>
          <w:sz w:val="20"/>
          <w:szCs w:val="20"/>
        </w:rPr>
        <w:t xml:space="preserve">Supplementary Figure S5.</w:t>
      </w:r>
    </w:p>
    <w:p>
      <w:pPr>
        <w:spacing w:after="80"/>
      </w:pPr>
      <w:r>
        <w:rPr>
          <w:rFonts w:ascii="Times New Roman" w:cs="Times New Roman" w:eastAsia="Times New Roman" w:hAnsi="Times New Roman"/>
          <w:sz w:val="20"/>
          <w:szCs w:val="20"/>
        </w:rPr>
        <w:t xml:space="preserve">Supplementary Table S1. Country-level estimated annual percentage change (EAPC) and trend classification of the study-standardized DALY rate, 2000–2021.</w:t>
      </w:r>
    </w:p>
    <w:p>
      <w:pPr>
        <w:spacing w:after="80"/>
      </w:pPr>
      <w:r>
        <w:rPr>
          <w:rFonts w:ascii="Times New Roman" w:cs="Times New Roman" w:eastAsia="Times New Roman" w:hAnsi="Times New Roman"/>
          <w:sz w:val="20"/>
          <w:szCs w:val="20"/>
        </w:rPr>
        <w:t xml:space="preserve">Supplementary Table S2. All prespecified lagged univariable fixed-effects models, with Benjamini-Hochberg FDR correction (single screening family, 41 tests).</w:t>
      </w:r>
    </w:p>
    <w:p>
      <w:pPr>
        <w:spacing w:after="80"/>
      </w:pPr>
      <w:r>
        <w:rPr>
          <w:rFonts w:ascii="Times New Roman" w:cs="Times New Roman" w:eastAsia="Times New Roman" w:hAnsi="Times New Roman"/>
          <w:sz w:val="20"/>
          <w:szCs w:val="20"/>
        </w:rPr>
        <w:t xml:space="preserve">Supplementary Table S3. Sensitivity of the three key modifiable factors across alternative outcomes (DALYs, mortality, incidence, prevalence) and analysis periods (full period vs. pre-COVID, 2000–2019).</w:t>
      </w:r>
    </w:p>
    <w:p>
      <w:pPr>
        <w:spacing w:after="80"/>
      </w:pPr>
      <w:r>
        <w:rPr>
          <w:rFonts w:ascii="Times New Roman" w:cs="Times New Roman" w:eastAsia="Times New Roman" w:hAnsi="Times New Roman"/>
          <w:sz w:val="20"/>
          <w:szCs w:val="20"/>
        </w:rPr>
        <w:t xml:space="preserve">Supplementary Table S4. All adjusted domain models (etiologic/chronic, social vulnerability, health-system/ascertainment).</w:t>
      </w:r>
    </w:p>
    <w:p>
      <w:pPr>
        <w:spacing w:after="80"/>
      </w:pPr>
      <w:r>
        <w:rPr>
          <w:rFonts w:ascii="Times New Roman" w:cs="Times New Roman" w:eastAsia="Times New Roman" w:hAnsi="Times New Roman"/>
          <w:sz w:val="20"/>
          <w:szCs w:val="20"/>
        </w:rPr>
        <w:t xml:space="preserve">Supplementary Table S5. Country-level DALY projections for 2030, 2040, and 2050 under recent-trend continuation, with 95% trend intervals.</w:t>
      </w:r>
    </w:p>
    <w:p>
      <w:pPr>
        <w:spacing w:after="80"/>
      </w:pPr>
      <w:r>
        <w:rPr>
          <w:rFonts w:ascii="Times New Roman" w:cs="Times New Roman" w:eastAsia="Times New Roman" w:hAnsi="Times New Roman"/>
          <w:sz w:val="20"/>
          <w:szCs w:val="20"/>
        </w:rPr>
        <w:t xml:space="preserve">Supplementary Table S6. Global burden projection scenarios (no change, 50% attenuated, recent-trend continuation, full-trend continuation) for 2030, 2040, and 2050.</w:t>
      </w:r>
    </w:p>
    <w:p>
      <w:pPr>
        <w:spacing w:after="80"/>
      </w:pPr>
      <w:r>
        <w:rPr>
          <w:rFonts w:ascii="Times New Roman" w:cs="Times New Roman" w:eastAsia="Times New Roman" w:hAnsi="Times New Roman"/>
          <w:sz w:val="20"/>
          <w:szCs w:val="20"/>
        </w:rPr>
        <w:t xml:space="preserve">Supplementary Table S7. Annual observed global burden, 2000–2021.</w:t>
      </w:r>
    </w:p>
    <w:p>
      <w:pPr>
        <w:spacing w:after="80"/>
      </w:pPr>
      <w:r>
        <w:rPr>
          <w:rFonts w:ascii="Times New Roman" w:cs="Times New Roman" w:eastAsia="Times New Roman" w:hAnsi="Times New Roman"/>
          <w:sz w:val="20"/>
          <w:szCs w:val="20"/>
        </w:rPr>
        <w:t xml:space="preserve">Supplementary Table S9. Gelbach (2016) decomposition of the attenuation of the tuberculosis coefficient after adjustment for the available structural block.</w:t>
      </w:r>
    </w:p>
    <w:p>
      <w:pPr>
        <w:spacing w:after="80"/>
      </w:pPr>
      <w:r>
        <w:rPr>
          <w:rFonts w:ascii="Times New Roman" w:cs="Times New Roman" w:eastAsia="Times New Roman" w:hAnsi="Times New Roman"/>
          <w:sz w:val="20"/>
          <w:szCs w:val="20"/>
        </w:rPr>
        <w:t xml:space="preserve">Supplementary Table S10. Country-income heterogeneity: the four main associations re-estimated separately in the below- and above-median average-income country halves.</w:t>
      </w:r>
    </w:p>
    <w:p>
      <w:pPr>
        <w:spacing w:after="80"/>
      </w:pPr>
      <w:r>
        <w:rPr>
          <w:rFonts w:ascii="Times New Roman" w:cs="Times New Roman" w:eastAsia="Times New Roman" w:hAnsi="Times New Roman"/>
          <w:sz w:val="20"/>
          <w:szCs w:val="20"/>
        </w:rPr>
        <w:t xml:space="preserve">Supplementary Table S11. Illustrative country-level DALYs averted under two coverage targets (universal clean-cooking access; UHC service-coverage index ≥ 80), 2021.</w:t>
      </w:r>
    </w:p>
    <w:p>
      <w:pPr>
        <w:spacing w:after="80"/>
      </w:pPr>
      <w:r>
        <w:rPr>
          <w:rFonts w:ascii="Times New Roman" w:cs="Times New Roman" w:eastAsia="Times New Roman" w:hAnsi="Times New Roman"/>
          <w:sz w:val="20"/>
          <w:szCs w:val="20"/>
        </w:rPr>
        <w:t xml:space="preserve">Supplementary Table S12. Moran's I test for spatial autocorrelation in country-level DALY-rate trends (EAPC).</w:t>
      </w:r>
    </w:p>
    <w:p>
      <w:pPr>
        <w:spacing w:after="80" w:before="80"/>
      </w:pPr>
      <w:r>
        <w:rPr>
          <w:rFonts w:ascii="Times New Roman" w:cs="Times New Roman" w:eastAsia="Times New Roman" w:hAnsi="Times New Roman"/>
          <w:sz w:val="20"/>
          <w:szCs w:val="20"/>
        </w:rPr>
        <w:t xml:space="preserve">Data S8. The complete projection grid (country × scenario × outcome × target year; 4,896 rows) underlying Supplementary Tables S5 and S6 is provided as a companion Excel file (ILD_Supplementary_Tables_v4.xlsx, sheet S8_All_Scenario_Projections) given its size, and is not reproduced here as a printed table.</w:t>
      </w:r>
    </w:p>
    <w:p>
      <w:pPr>
        <w:sectPr>
          <w:pgSz w:w="12240" w:h="15840" w:orient="portrait"/>
          <w:pgMar w:top="1440" w:right="1440" w:bottom="1440" w:left="1440" w:header="708" w:footer="708" w:gutter="0"/>
          <w:pgNumType/>
          <w:docGrid w:linePitch="360"/>
        </w:sectPr>
      </w:pPr>
    </w:p>
    <w:p>
      <w:pPr>
        <w:spacing w:after="200"/>
        <w:jc w:val="center"/>
      </w:pPr>
      <w:r>
        <w:drawing>
          <wp:inline distT="0" distB="0" distL="0" distR="0">
            <wp:extent cx="5905500" cy="2543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05500" cy="2543175"/>
                    </a:xfrm>
                    <a:prstGeom prst="rect">
                      <a:avLst/>
                    </a:prstGeom>
                  </pic:spPr>
                </pic:pic>
              </a:graphicData>
            </a:graphic>
          </wp:inline>
        </w:drawing>
      </w:r>
    </w:p>
    <w:p>
      <w:pPr>
        <w:spacing w:after="120"/>
      </w:pPr>
      <w:r>
        <w:rPr>
          <w:rFonts w:ascii="Times New Roman" w:cs="Times New Roman" w:eastAsia="Times New Roman" w:hAnsi="Times New Roman"/>
          <w:sz w:val="18"/>
          <w:szCs w:val="18"/>
        </w:rPr>
        <w:t xml:space="preserve">Supplementary Figure S1. Sensitivity of tuberculosis, clean-cooking access, and UHC associations across outcomes (Supplementary Table S3). Differences across incidence, prevalence, mortality, and DALYs suggest that biological injury, diagnosis, and survival jointly shape the recorded national burden.</w:t>
      </w:r>
    </w:p>
    <w:p>
      <w:pPr>
        <w:sectPr>
          <w:pgSz w:w="12240" w:h="15840" w:orient="portrait"/>
          <w:pgMar w:top="1080" w:right="1440" w:bottom="1080" w:left="1440" w:header="708" w:footer="708" w:gutter="0"/>
          <w:pgNumType/>
          <w:docGrid w:linePitch="360"/>
        </w:sectPr>
      </w:pPr>
    </w:p>
    <w:p>
      <w:pPr>
        <w:spacing w:after="200"/>
        <w:jc w:val="center"/>
      </w:pPr>
      <w:r>
        <w:drawing>
          <wp:inline distT="0" distB="0" distL="0" distR="0">
            <wp:extent cx="5905500" cy="3114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05500" cy="3114675"/>
                    </a:xfrm>
                    <a:prstGeom prst="rect">
                      <a:avLst/>
                    </a:prstGeom>
                  </pic:spPr>
                </pic:pic>
              </a:graphicData>
            </a:graphic>
          </wp:inline>
        </w:drawing>
      </w:r>
    </w:p>
    <w:p>
      <w:pPr>
        <w:spacing w:after="120"/>
      </w:pPr>
      <w:r>
        <w:rPr>
          <w:rFonts w:ascii="Times New Roman" w:cs="Times New Roman" w:eastAsia="Times New Roman" w:hAnsi="Times New Roman"/>
          <w:sz w:val="18"/>
          <w:szCs w:val="18"/>
        </w:rPr>
        <w:t xml:space="preserve">Supplementary Figure S2. Gelbach decomposition of the tuberculosis-ILD association attenuation after adjustment for the available structural block (Supplementary Table S9). Societal poverty and clean-cooking access jointly explain nearly all of why the crude tuberculosis coefficient attenuates, pointing to shared vulnerability rather than an independent tuberculosis effect.</w:t>
      </w:r>
    </w:p>
    <w:p>
      <w:pPr>
        <w:sectPr>
          <w:pgSz w:w="12240" w:h="15840" w:orient="portrait"/>
          <w:pgMar w:top="1080" w:right="1440" w:bottom="1080" w:left="1440" w:header="708" w:footer="708" w:gutter="0"/>
          <w:pgNumType/>
          <w:docGrid w:linePitch="360"/>
        </w:sectPr>
      </w:pPr>
    </w:p>
    <w:p>
      <w:pPr>
        <w:spacing w:after="200"/>
        <w:jc w:val="center"/>
      </w:pPr>
      <w:r>
        <w:drawing>
          <wp:inline distT="0" distB="0" distL="0" distR="0">
            <wp:extent cx="5905500" cy="3324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3324225"/>
                    </a:xfrm>
                    <a:prstGeom prst="rect">
                      <a:avLst/>
                    </a:prstGeom>
                  </pic:spPr>
                </pic:pic>
              </a:graphicData>
            </a:graphic>
          </wp:inline>
        </w:drawing>
      </w:r>
    </w:p>
    <w:p>
      <w:pPr>
        <w:spacing w:after="120"/>
      </w:pPr>
      <w:r>
        <w:rPr>
          <w:rFonts w:ascii="Times New Roman" w:cs="Times New Roman" w:eastAsia="Times New Roman" w:hAnsi="Times New Roman"/>
          <w:sz w:val="18"/>
          <w:szCs w:val="18"/>
        </w:rPr>
        <w:t xml:space="preserve">Supplementary Figure S3. Associations between the four modifiable factors and study-standardized DALY rates, stratified by country-average income (Supplementary Table S10). Associations were detectable mainly in the above-median-income half, a pattern more consistent with greater within-country variation and data quality than with a larger true effect in wealthier countries.</w:t>
      </w:r>
    </w:p>
    <w:p>
      <w:pPr>
        <w:sectPr>
          <w:pgSz w:w="12240" w:h="15840" w:orient="portrait"/>
          <w:pgMar w:top="1080" w:right="1440" w:bottom="1080" w:left="1440" w:header="708" w:footer="708" w:gutter="0"/>
          <w:pgNumType/>
          <w:docGrid w:linePitch="360"/>
        </w:sectPr>
      </w:pPr>
    </w:p>
    <w:p>
      <w:pPr>
        <w:spacing w:after="200"/>
        <w:jc w:val="center"/>
      </w:pPr>
      <w:r>
        <w:drawing>
          <wp:inline distT="0" distB="0" distL="0" distR="0">
            <wp:extent cx="5905500" cy="2686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2686050"/>
                    </a:xfrm>
                    <a:prstGeom prst="rect">
                      <a:avLst/>
                    </a:prstGeom>
                  </pic:spPr>
                </pic:pic>
              </a:graphicData>
            </a:graphic>
          </wp:inline>
        </w:drawing>
      </w:r>
    </w:p>
    <w:p>
      <w:pPr>
        <w:spacing w:after="120"/>
      </w:pPr>
      <w:r>
        <w:rPr>
          <w:rFonts w:ascii="Times New Roman" w:cs="Times New Roman" w:eastAsia="Times New Roman" w:hAnsi="Times New Roman"/>
          <w:sz w:val="18"/>
          <w:szCs w:val="18"/>
        </w:rPr>
        <w:t xml:space="preserve">Supplementary Figure S4. Illustrative DALYs averted under universal clean-cooking access and a UHC service-coverage index of 80, by country, 2021 (Supplementary Table S11). Modest, population-weighted reductions are concentrated in a small number of high-burden, high-gap countries, led by India, Bangladesh, and Pakistan.</w:t>
      </w:r>
    </w:p>
    <w:p>
      <w:pPr>
        <w:sectPr>
          <w:pgSz w:w="12240" w:h="15840" w:orient="portrait"/>
          <w:pgMar w:top="1080" w:right="1440" w:bottom="1080" w:left="1440" w:header="708" w:footer="708" w:gutter="0"/>
          <w:pgNumType/>
          <w:docGrid w:linePitch="360"/>
        </w:sectPr>
      </w:pPr>
    </w:p>
    <w:p>
      <w:pPr>
        <w:spacing w:after="200"/>
        <w:jc w:val="center"/>
      </w:pPr>
      <w:r>
        <w:drawing>
          <wp:inline distT="0" distB="0" distL="0" distR="0">
            <wp:extent cx="5905500" cy="5353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5353050"/>
                    </a:xfrm>
                    <a:prstGeom prst="rect">
                      <a:avLst/>
                    </a:prstGeom>
                  </pic:spPr>
                </pic:pic>
              </a:graphicData>
            </a:graphic>
          </wp:inline>
        </w:drawing>
      </w:r>
    </w:p>
    <w:p>
      <w:pPr>
        <w:spacing w:after="120"/>
      </w:pPr>
      <w:r>
        <w:rPr>
          <w:rFonts w:ascii="Times New Roman" w:cs="Times New Roman" w:eastAsia="Times New Roman" w:hAnsi="Times New Roman"/>
          <w:sz w:val="18"/>
          <w:szCs w:val="18"/>
        </w:rPr>
        <w:t xml:space="preserve">Supplementary Figure S5. Moran scatterplot of country EAPC in the DALY rate against its spatially lagged value (Supplementary Table S12). Positive spatial autocorrelation indicates that neighboring countries share more similar trends than expected by chance, a dependency not fully captured by the country-and-year fixed-effects model.</w:t>
      </w:r>
    </w:p>
    <w:p>
      <w:pPr>
        <w:sectPr>
          <w:pgSz w:w="12240" w:h="15840" w:orient="portrait"/>
          <w:pgMar w:top="1080" w:right="1440" w:bottom="1080" w:left="144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S1. Country-level estimated annual percentage change (EAPC) and trend classification of the study-standardized DALY rate, 2000–2021.</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309"/>
        <w:gridCol w:w="1309"/>
        <w:gridCol w:w="1309"/>
        <w:gridCol w:w="1309"/>
        <w:gridCol w:w="1309"/>
        <w:gridCol w:w="1309"/>
        <w:gridCol w:w="1309"/>
        <w:gridCol w:w="1309"/>
        <w:gridCol w:w="1309"/>
        <w:gridCol w:w="1309"/>
        <w:gridCol w:w="1309"/>
      </w:tblGrid>
      <w:tr>
        <w:trPr>
          <w:tblHeader/>
        </w:trPr>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Country</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ISO3</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n</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EAPC (%)</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low</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high</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R²</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2000 rate</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2021 rate</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 change 2000–2021</w:t>
            </w:r>
          </w:p>
        </w:tc>
        <w:tc>
          <w:tcPr>
            <w:tcW w:type="dxa" w:w="1309"/>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Trend</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China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CHN</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Democratic People's Republic of Korea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PRK</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0.344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Taiwan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TWN</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22.16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Cambodia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KHM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0.747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Indonesia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IDN</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Lao People's Democratic Republic</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LAO</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Malaysia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MYS</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Maldives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MDV</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Myanmar</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MMR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Philippines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Sri Lanka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LKA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Thailand</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THA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Timor-Leste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TLS</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Viet Nam</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VNM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0.943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Fiji</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FJI</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Kiribati</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KIR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Marshall Islands</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MHL</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70.39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66.54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Micronesia (Federated States of)</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FSM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-0.347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71.44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63.66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Papua New Guinea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PNG</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87.57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94.88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Samoa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WSM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66.89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Solomon Islands</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SLB</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0.453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Tonga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46.42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Vanuatu</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VUT</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69.25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Armenia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0.0048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Azerbaijan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AZE</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30.88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Georgia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GEO</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-38.95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Kazakhstan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KAZ</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Kyrgyzstan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KGZ</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Mongolia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MNG</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41.50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-37.75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Tajikistan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TJK</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72.19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Turkmenistan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TKM</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Uzbekistan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UZB</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Albania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ALB</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Bosnia and Herzegovina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BIH</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23.74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Bulgaria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BGR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Croatia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HRV</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Czechia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CZE</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42.71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Hungary</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HUN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38.81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34.98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North Macedonia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MKD</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Montenegro</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MNE</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Poland</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POL</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23.88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Romania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ROU</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38.97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-29.29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Serbia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SRB</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-0.459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Slovakia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SVK</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0.274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Slovenia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SVN</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0.349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Belarus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BLR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-70.04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Estonia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EST</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-23.00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Latvia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LVA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Lithuania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LTU</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Republic of Moldova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-28.88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Russian Federation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RUS</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21.27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Ukraine</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UKR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35.48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Brunei Darussalam</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BRN</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Japan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JPN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0.386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Republic of Korea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KOR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0.273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Singapore</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SGP</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29.28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Australia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66.85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New Zealand</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NZL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Andorra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AND</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Austria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AUT</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Belgium</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54.42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Cyprus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CYP</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89.78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Denmark</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DNK</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40.06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Finland</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0.747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45.41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France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FRA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43.50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Germany</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DEU</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Greece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GRC</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0.716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Iceland</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67.84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Ireland</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IRL</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37.63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Israel</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Italy</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ITA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48.31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Luxembourg</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LUX</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Malta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MLT</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Netherlands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NLD</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56.08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46.00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Norway</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Portugal</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PRT</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50.32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Spain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ESP</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35.52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Sweden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SWE</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60.41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47.65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Switzerland</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CHE</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21.98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Kingdom</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66.02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81.53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Argentina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ARG</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Chile</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25.80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Uruguay</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URY</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46.54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41.80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Canada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0.978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75.18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88.52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States of America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USA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Antigua and Barbuda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ATG</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Bahamas</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BHS</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Barbados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BRB</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25.88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44.58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Belize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BLZ</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93.89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41.75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Cuba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CUB</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53.61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Dominica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DMA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30.31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28.06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Dominican Republic</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0.817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35.03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Grenada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GRD</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0.817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Guyana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GUY</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Haiti</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HTI</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17.39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Jamaica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Lucia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LCA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63.92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Vincent and the Grenadines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VCT</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76.52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Suriname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21.21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Trinidad and Tobago</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TTO</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42.95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58.18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Bolivia (Plurinational State of)</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BOL</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Ecuador</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ECU</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160.8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71.64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Peru</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PER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202.9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33.73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Colombia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52.28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Costa Rica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CRI</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72.53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 Salvador</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SLV</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40.96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50.57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Guatemala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GTM</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57.17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Honduras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HND</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78.72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Mexico</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MEX</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Nicaragua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NIC</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24.13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Panama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PAN</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0.947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39.84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Venezuela (Bolivarian Republic of)</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VEN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30.89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Brazil</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45.42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Paraguay</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PRY</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26.57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33.52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Algeria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DZA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94.03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Bahrain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Egypt</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EGY</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-22.96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Iran (Islamic Republic of)</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Iraq</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IRQ</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Jordan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JOR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67.51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57.97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-14.14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Kuwait</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KWT</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Lebanon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LBN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43.65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Libya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LBY</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Morocco</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Palestine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PSE</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98.80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97.18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Oman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OMN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0.815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35.88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Qatar</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QAT</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26.76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Saudi Arabia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SAU</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Syrian Arab Republic</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Tunisia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85.17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Türkiye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30.56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Arab Emirates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ARE</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-13.65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Yemen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YEM</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Afghanistan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AFG</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Bangladesh</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BGD</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71.25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Bhutan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BTN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78.29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Nepal</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NPL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Pakistan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PAK</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-0.559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-0.490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72.21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65.76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Angola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AGO</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-0.581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31.49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28.02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Central African Republic</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CAF</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Congo</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COG</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-0.490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41.56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35.64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Democratic Republic of the Congo</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COD</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41.82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Equatorial Guinea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GNQ</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30.96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Gabon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GAB</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Burundi</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BDI</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27.49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Comoros</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COM</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Djibouti</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DJI</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Eritrea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ERI</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28.42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Ethiopia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ETH</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Kenya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KEN</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27.55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Madagascar</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MDG</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44.44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45.19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Malawi</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MWI</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Mauritius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MUS</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98.61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Mozambique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MOZ</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0.389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Rwanda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RWA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33.69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Seychelles</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SYC</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-0.459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Somalia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-0.302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31.32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Republic of Tanzania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TZA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22.39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Uganda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UGA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-0.461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31.82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Zambia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ZMB</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0.553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27.74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Botswana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BWA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Lesotho</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LSO</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43.13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Namibia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NAM</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47.49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South Africa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ZAF</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Eswatini</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SWZ</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Zimbabwe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ZWE</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-0.271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Benin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Burkina Faso</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BFA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-0.287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-17.84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Cameroon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CMR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0.538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46.46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Cabo Verde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CPV</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-0.553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Chad</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TCD</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Côte d'Ivoire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CIV</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-0.395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41.35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37.73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Gambia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GMB</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43.17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Ghana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GHA</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37.13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Guinea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GIN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39.04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Guinea-Bissau</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GNB</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45.62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Liberia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LBR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0.352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Mali</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MLI</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67.37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64.67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Mauritania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MRT</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-0.0039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Niger</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36.26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Nigeria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NGA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-0.537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34.88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Sao Tome and Principe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STP</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98.71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Senegal</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0.631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Sierra Leone</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SLE</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Togo</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TGO</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0.495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American Samoa</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ASM</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0.787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32.64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Bermuda</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BMU</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68.33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90.19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Cook Islands</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COK</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0.824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Greenland</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-0.287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95.15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Guam</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GUM</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87.89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Monaco</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MCO</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65.13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Nauru</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NRU</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-0.397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79.68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Niue</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NIU</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65.98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31.73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Northern Mariana Islands</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MNP</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96.18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65.99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-31.40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Palau</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PLW</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64.68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65.27</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Puerto Rico</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PRI</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56.94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75.83</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Kitts and Nevis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KNA</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0.863</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71.86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San Marino</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SMR</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-0.458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0.169</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14.30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10.44</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-26.96</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Tokelau</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TKL</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59.39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84.99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43.12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Stable/uncertain</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Tuvalu</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TUV</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70.00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60.61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States Virgin Islands</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VIR</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-0.598</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49.56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38.71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-21.89</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Decreasing</w:t>
            </w:r>
          </w:p>
        </w:tc>
      </w:tr>
      <w:tr>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South Sudan</w:t>
            </w:r>
          </w:p>
        </w:tc>
        <w:tc>
          <w:tcPr>
            <w:tcW w:type="dxa" w:w="1309"/>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SSD</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0.245</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0.0012</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0.490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29.20</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29.11</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-0.327</w:t>
            </w:r>
          </w:p>
        </w:tc>
        <w:tc>
          <w:tcPr>
            <w:tcW w:type="dxa" w:w="1309"/>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r>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Sudan</w:t>
            </w:r>
          </w:p>
        </w:tc>
        <w:tc>
          <w:tcPr>
            <w:tcW w:type="dxa" w:w="1309"/>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SDN</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0.891</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8.76</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101.0</w:t>
            </w:r>
          </w:p>
        </w:tc>
        <w:tc>
          <w:tcPr>
            <w:tcW w:type="dxa" w:w="1309"/>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Increasing</w:t>
            </w:r>
          </w:p>
        </w:tc>
      </w:tr>
    </w:tbl>
    <w:p>
      <w:pPr>
        <w:spacing w:after="200" w:before="120"/>
      </w:pPr>
      <w:r>
        <w:rPr>
          <w:rFonts w:ascii="Times New Roman" w:cs="Times New Roman" w:eastAsia="Times New Roman" w:hAnsi="Times New Roman"/>
          <w:i/>
          <w:iCs/>
          <w:sz w:val="16"/>
          <w:szCs w:val="16"/>
        </w:rPr>
        <w:t xml:space="preserve">n = years with data; EAPC = estimated annual percentage change from a log-linear trend model; 95% CI in adjacent columns; R² = trend-model goodness of fit.</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S2. All prespecified lagged univariable fixed-effects models, with Benjamini-Hochberg FDR correction (single screening family, 41 tests).</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440"/>
        <w:gridCol w:w="1440"/>
        <w:gridCol w:w="1440"/>
        <w:gridCol w:w="1440"/>
        <w:gridCol w:w="1440"/>
        <w:gridCol w:w="1440"/>
        <w:gridCol w:w="1440"/>
        <w:gridCol w:w="1440"/>
        <w:gridCol w:w="1440"/>
        <w:gridCol w:w="1440"/>
      </w:tblGrid>
      <w:tr>
        <w:trPr>
          <w:tblHeader/>
        </w:trPr>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Variable</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Lag (years)</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 change per SD</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low</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high</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 value</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q (FDR)</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FDR significant</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n</w:t>
            </w:r>
          </w:p>
        </w:tc>
        <w:tc>
          <w:tcPr>
            <w:tcW w:type="dxa" w:w="144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Countries</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0.993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0.768</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4400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-0.0053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-0.741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3400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0.362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2400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clean_cooking_total_pct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-0.280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0.044</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4158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clean_cooking_total_pct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-0.284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0.0076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3213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clean_cooking_total_pct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-0.345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2268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fossil_energy_consumption_pct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0.463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2379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fossil_energy_consumption_pct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2339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fossil_energy_consumption_pct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-0.551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electricity_from_coal_pct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4293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electricity_from_coal_pct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-0.465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electricity_from_coal_pct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0.817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2333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0.198</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4004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0.368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3094</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manufacturing_value_added_gdp_pct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0.358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3880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manufacturing_value_added_gdp_pct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2975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manufacturing_value_added_gdp_pct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smoking_total_pct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0.741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smoking_total_pct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-0.704</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0.386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smoking_total_pct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4135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0.0061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3739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3343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societal_poverty_pct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societal_poverty_pct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vulnerable_employment_pct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0.581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0.0067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4004</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vulnerable_employment_pct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0.584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3094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uhc_service_coverage</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-0.413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uhc_service_coverage</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-0.378</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uhc_service_coverage</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0.044</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3667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health_expenditure_gdp_pct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0.557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0.0054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4147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health_expenditure_gdp_pct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0.0061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health_expenditure_gdp_pct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0.319</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4147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-0.735</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0.698</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0.774</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physicians_per_1000</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4.16</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0.055</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False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2673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w:t>
            </w:r>
          </w:p>
        </w:tc>
      </w:tr>
      <w:tr>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physicians_per_1000</w:t>
            </w:r>
          </w:p>
        </w:tc>
        <w:tc>
          <w:tcPr>
            <w:tcW w:type="dxa" w:w="144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2.24</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0.697</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3.81</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0.0043</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0.022</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2550</w:t>
            </w:r>
          </w:p>
        </w:tc>
        <w:tc>
          <w:tcPr>
            <w:tcW w:type="dxa" w:w="144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w:t>
            </w:r>
          </w:p>
        </w:tc>
      </w:tr>
      <w:tr>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physicians_per_1000</w:t>
            </w:r>
          </w:p>
        </w:tc>
        <w:tc>
          <w:tcPr>
            <w:tcW w:type="dxa" w:w="144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2.93</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0.0084</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0.031</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True</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2279</w:t>
            </w:r>
          </w:p>
        </w:tc>
        <w:tc>
          <w:tcPr>
            <w:tcW w:type="dxa" w:w="144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w:t>
            </w:r>
          </w:p>
        </w:tc>
      </w:tr>
    </w:tbl>
    <w:p>
      <w:pPr>
        <w:spacing w:after="200" w:before="120"/>
      </w:pPr>
      <w:r>
        <w:rPr>
          <w:rFonts w:ascii="Times New Roman" w:cs="Times New Roman" w:eastAsia="Times New Roman" w:hAnsi="Times New Roman"/>
          <w:i/>
          <w:iCs/>
          <w:sz w:val="16"/>
          <w:szCs w:val="16"/>
        </w:rPr>
        <w:t xml:space="preserve">Percent change per within-country SD; 95% CI; FDR-BH correction applied across all 41 tests in the screening family.</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S3. Sensitivity of the three key modifiable factors across alternative outcomes (DALYs, mortality, incidence, prevalence) and analysis periods (full period vs. pre-COVID, 2000–2019).</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600"/>
        <w:gridCol w:w="1600"/>
        <w:gridCol w:w="1600"/>
        <w:gridCol w:w="1600"/>
        <w:gridCol w:w="1600"/>
        <w:gridCol w:w="1600"/>
        <w:gridCol w:w="1600"/>
        <w:gridCol w:w="1600"/>
      </w:tblGrid>
      <w:tr>
        <w:trPr>
          <w:tblHeader/>
        </w:trPr>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Predictor</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Outcome</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Period</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 change per SD</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low</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high</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 value</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n</w:t>
            </w:r>
          </w:p>
        </w:tc>
        <w:tc>
          <w:tcPr>
            <w:tcW w:type="dxa" w:w="16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Countries</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0.787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0.464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0.346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0.603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-0.710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0.0052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0.0078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-0.970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-0.0074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-0.818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0.287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-0.451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-0.990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0.410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0.0026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0.0079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0.267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-0.080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-0.911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0.757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0.850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Full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-0.941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-0.718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0.947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0.069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0.748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-0.783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-0.607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0.307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0.0093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-0.924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DALY crude rate</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0.270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0.624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-0.553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0.278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Death ASR (age 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-0.668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0.998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0.843</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0.530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-0.940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-0.190</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Incidence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-0.469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-0.984</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0.156</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-0.564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0.368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0.0028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0.164</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-0.160</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-0.485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0.166</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6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-0.232</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0.559</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6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Prevalence ASR</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Pre-COVID period</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-0.415</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-0.937</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0.111</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0.122</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2558</w:t>
            </w:r>
          </w:p>
        </w:tc>
        <w:tc>
          <w:tcPr>
            <w:tcW w:type="dxa" w:w="16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bl>
    <w:p>
      <w:pPr>
        <w:spacing w:after="200" w:before="120"/>
      </w:pPr>
      <w:r>
        <w:rPr>
          <w:rFonts w:ascii="Times New Roman" w:cs="Times New Roman" w:eastAsia="Times New Roman" w:hAnsi="Times New Roman"/>
          <w:i/>
          <w:iCs/>
          <w:sz w:val="16"/>
          <w:szCs w:val="16"/>
        </w:rPr>
        <w:t xml:space="preserve">Percent change per within-country SD; 95% CI.</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S4. All adjusted domain models (etiologic/chronic, social vulnerability, health-system/ascertainment).</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gridCol w:w="1800"/>
        <w:gridCol w:w="1800"/>
        <w:gridCol w:w="1800"/>
      </w:tblGrid>
      <w:tr>
        <w:trPr>
          <w:tblHeader/>
        </w:trPr>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Predictor</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Domain model</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 change per SD</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low</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high</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 value</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n</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Countries</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0.953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2936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0.138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2936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-0.961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0.817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2936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electricity_from_coal_pct_lag5</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2936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0.477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2936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pm25_mean_annual_lag10</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-0.639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clean_cooking_total_pct_lag10</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0.0042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industrial_employment_pct_lag10</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-0.338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electricity_from_coal_pct_lag10</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etiologic_chronic_lag10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0.0048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0.658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0.988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health_ascertainment_lag1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health_expenditure_gdp_pct_lag1</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health_ascertainment_lag1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health_ascertainment_lag1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0.187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0.733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uhc_service_coverage_lag3</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health_ascertainment_lag3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-0.228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0.021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health_expenditure_gdp_pct_lag3</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health_ascertainment_lag3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0.176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0.0096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out_of_pocket_health_expenditure_pct_lag3</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health_ascertainment_lag3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Vulnerable employment</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social_vulnerability_lag5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0.388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-0.596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0.441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Societal poverty</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social_vulnerability_lag5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pm25_mean_annual_lag5</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integrated_mixed_lags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-0.762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integrated_mixed_lags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-0.897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industrial_employment_pct_lag5</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integrated_mixed_lags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0.794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0.787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tb_incidence_per_100k_lag3</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integrated_mixed_lags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integrated_mixed_lags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-0.432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0.729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0.464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out_of_pocket_health_expenditure_pct_lag1</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integrated_mixed_lags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0.616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r>
    </w:tbl>
    <w:p>
      <w:pPr>
        <w:spacing w:after="200" w:before="120"/>
      </w:pPr>
      <w:r>
        <w:rPr>
          <w:rFonts w:ascii="Times New Roman" w:cs="Times New Roman" w:eastAsia="Times New Roman" w:hAnsi="Times New Roman"/>
          <w:i/>
          <w:iCs/>
          <w:sz w:val="16"/>
          <w:szCs w:val="16"/>
        </w:rPr>
        <w:t xml:space="preserve">Percent change per within-country SD; 95% CI.</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S5. Country-level DALY projections for 2030, 2040, and 2050 under recent-trend continuation, with 95% trend intervals.</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200"/>
        <w:gridCol w:w="1200"/>
        <w:gridCol w:w="1200"/>
        <w:gridCol w:w="1200"/>
        <w:gridCol w:w="1200"/>
        <w:gridCol w:w="1200"/>
        <w:gridCol w:w="1200"/>
        <w:gridCol w:w="1200"/>
        <w:gridCol w:w="1200"/>
        <w:gridCol w:w="1200"/>
        <w:gridCol w:w="1200"/>
        <w:gridCol w:w="1200"/>
      </w:tblGrid>
      <w:tr>
        <w:trPr>
          <w:tblHeader/>
        </w:trPr>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ISO3</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Country</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Annual change (%)</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2030 DALYs</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2030 lower 95%</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2030 upper 95%</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2040 DALYs</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2040 lower 95%</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2040 upper 95%</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2050 DALYs</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2050 lower 95%</w:t>
            </w:r>
          </w:p>
        </w:tc>
        <w:tc>
          <w:tcPr>
            <w:tcW w:type="dxa" w:w="12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2050 upper 95%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AFG</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Afghanistan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1433.2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2173.6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2134.2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2213.6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3205.9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3389.7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ALB</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Albania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1028.2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1219.3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1445.9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DZA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Algeria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4305.6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4371.9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7012.3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6789.5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7242.3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11420.5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10871.4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11997.3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ASM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American Samoa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AND</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Andorra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AGO</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Angola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4534.9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4481.2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4589.3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6308.4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6151.6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6469.2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8775.4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8444.7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9119.1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ATG</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Antigua and Barbuda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29.83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34.83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65.07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83.49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ARG</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Argentina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43321.9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41108.6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45654.3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45560.1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40785.4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50893.7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47913.9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40464.8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56734.4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ARM</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Armenia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483.0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1244.1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1230.7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Australia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35962.1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34241.4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37769.3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47099.5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42468.1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52235.9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61686.0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52671.3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72243.6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AUT</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Austria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5950.0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5620.3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6299.0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7586.9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6726.8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8557.1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9674.2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8051.0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11624.6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AZE</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Azerbaijan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2786.6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2749.4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2824.3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3351.6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3257.8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3448.0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3860.2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4209.6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BHS</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Bahamas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420.4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1084.0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Bahrain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1811.1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BGD</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Bangladesh</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117788.8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115962.7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119643.6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161375.5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156139.4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166787.1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221091.0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210235.8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232506.7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BRB</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Barbados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529.5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BLR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Belarus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1014.7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Belgium</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12294.2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11690.6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12929.0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14974.1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13464.3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16653.2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18238.1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15507.1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21450.1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BLZ</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Belize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1597.4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Benin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2541.1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2578.7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3534.5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3645.8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4916.2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4688.9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5154.4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BMU</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Bermuda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211.4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269.2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BTN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Bhutan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782.8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1084.5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Bolivia (Plurinational State of)</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20281.0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19912.6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20656.2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26626.5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25615.7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27677.1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34957.3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32952.2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37084.4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BIH</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Bosnia and Herzegovina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816.7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776.7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806.3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725.8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768.3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BWA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Botswana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638.5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734.4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Brazil</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132119.4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129716.2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134567.2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178074.1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171305.0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185110.6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240012.9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226227.7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254638.1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BRN</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Brunei Darussalam</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284.2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300.9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576.2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692.9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BGR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Bulgaria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1863.5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1807.1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2045.8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2182.9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2246.1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2479.7</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BFA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Burkina Faso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3102.0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2987.8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3220.5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4068.6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3758.9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4403.8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5336.4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4729.0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6021.9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BDI</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Burundi</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1929.9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2643.4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2586.4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2701.6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3658.2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3538.5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3781.8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CPV</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Cabo Verde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301.7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KHM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Cambodia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1856.2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1808.3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1905.4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CMR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Cameroon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7343.5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7254.7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7433.4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10120.6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9864.0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10383.8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13947.8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13411.7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14505.4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Canada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77305.3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73513.9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81292.2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106990.8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96214.5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118974.1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148075.7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125924.9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174122.9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CAF</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Central African Republic</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1069.6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1369.1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1343.7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1718.4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1819.5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TCD</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Chad</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3329.0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3355.7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4764.8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4685.1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4845.9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6820.0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6646.5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6998.0</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Chile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57813.5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55025.3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60743.0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83541.5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75263.3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92730.3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120718.9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102944.6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141562.0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China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259830.0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257223.8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262462.6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309023.8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302516.7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315671.0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367531.6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355784.9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379666.2</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Colombia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27921.6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26252.0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29697.4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42278.4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37118.2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48155.9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64017.3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52482.3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78087.5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Comoros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363.6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COG</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Congo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1234.3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1688.8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2286.0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2366.8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COK</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Cook Islands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CRI</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Costa Rica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5901.4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5663.0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6149.8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8593.4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7877.0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9374.8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12513.3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10956.6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14291.2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CIV</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Côte d'Ivoire</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5977.9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5777.3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6185.5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8369.4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7787.5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8994.8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11717.7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10497.2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13080.1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HRV</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Croatia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783.3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CUB</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Cuba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2011.6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2143.0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2580.2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2257.6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2948.8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2699.1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4057.7</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CYP</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Cyprus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2014.2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2162.7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2680.3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2486.4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2889.3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3441.9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3069.2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3859.8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CZE</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Czechia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9877.2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9368.6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10413.5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13162.5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11772.5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14716.7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17540.6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14793.2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20798.1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PRK</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Democratic People's Republic of Korea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4190.2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4257.2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4967.4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4884.9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5051.2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5842.2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5694.8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5993.3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COD</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Democratic Republic of the Congo</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21688.1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21378.5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22002.3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32865.2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31882.4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33878.3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49802.3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47547.1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52164.4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DNK</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Denmark</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8317.2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8007.6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8638.9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12200.8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11261.6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13218.4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17897.7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15837.9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20225.4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DJI</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Djibouti</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469.0</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DMA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Dominica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25.81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31.05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37.37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Dominican Republic</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2221.8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2096.0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2355.0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2620.7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3130.8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ECU</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Ecuador</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33927.4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31381.9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36679.2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51053.5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43303.3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60190.7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76824.7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59753.5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98773.1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EGY</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Egypt</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10816.4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10668.0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10966.9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14766.5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14342.0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15203.6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20159.0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19281.2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21076.8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SLV</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 Salvador</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3455.8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3276.8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3644.5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4316.6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4829.5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5391.8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4542.7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6399.6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GNQ</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Equatorial Guinea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492.8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550.6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ERI</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Eritrea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1468.6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1437.9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2006.1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EST</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Estonia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358.7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1039.9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SWZ</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Eswatini</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298.8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344.8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ETH</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Ethiopia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12439.1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12217.9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12664.4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16957.9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16327.3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17612.7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23118.1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21819.0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24494.5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FJI</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Fiji</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Finland</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9564.8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9247.0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9893.5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12247.0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11403.8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13152.5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15681.4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14063.6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17485.2</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FRA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France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66169.6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63636.3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68803.7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82649.2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76111.1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89749.0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103233.2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91031.5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117070.5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GAB</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Gabon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598.6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GMB</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Gambia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622.2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1020.4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1133.1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1868.6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GEO</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Georgia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362.0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1199.7</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DEU</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Germany</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96649.2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93103.1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100330.4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120873.9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111701.8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130799.2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151170.4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134015.9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170520.8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GHA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Ghana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8240.1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8123.7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8358.0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11013.9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10688.2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11349.5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14721.4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14062.2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15411.5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GRC</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Greece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9555.2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8354.3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10928.8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9644.6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7263.4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12806.5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9734.9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6315.0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15006.8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GRL</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Greenland</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61.60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88.39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GRD</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Grenada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74.11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Guam</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83.46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GTM</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Guatemala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14299.7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13418.7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15238.5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24785.9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21672.2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28346.9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42961.8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35002.3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52731.2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GIN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Guinea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2620.8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2603.3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2638.4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3170.1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3125.6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3215.3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3834.7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3752.7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3918.4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GNB</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Guinea-Bissau</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468.3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801.1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828.5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GUY</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Guyana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432.7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462.0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1040.1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HTI</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Haiti</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5547.9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5457.2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5640.2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7631.8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7370.8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7902.2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10498.5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9955.3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11071.3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HND</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Honduras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7763.1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7672.4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7854.9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10820.0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10554.8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11091.8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15080.6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14520.2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15662.6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HUN</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Hungary</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7387.3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7148.0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7634.5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9453.1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8818.4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10133.6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12096.8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10879.1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13450.7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ISL</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Iceland</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559.3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624.4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1531760.7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1501083.5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1563064.9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2159957.7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2069649.7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2254206.1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3045787.1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2853572.1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3250949.6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IDN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Indonesia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26421.4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26298.4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26545.0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35549.5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35201.0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35901.4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47831.1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47117.2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48555.8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IRN</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Iran (Islamic Republic of)</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3418.2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3231.5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3615.7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4690.4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4165.9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5280.8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6436.0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5370.5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7712.9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IRQ</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Iraq</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7588.3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7516.1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7661.2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11785.3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11549.9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12025.5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18303.7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17748.6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18876.1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Ireland</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9195.0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8587.0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9846.1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11643.3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10077.4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13452.5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14743.5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11826.6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18379.9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Israel</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5001.4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4764.1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5250.4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6930.8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6255.0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7679.7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9604.7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8212.5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11232.9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ITA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Italy</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69803.8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68018.2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71636.3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82977.6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78560.2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87643.5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98637.7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90736.1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107227.5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Jamaica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967.2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1012.6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1230.4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1350.4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1814.4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JPN</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Japan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480625.2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469820.0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491679.0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616927.7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588012.8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647264.4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791884.7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735939.5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852082.6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JOR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Jordan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6416.3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6156.0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6687.5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10557.2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9673.6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11521.7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17370.8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15201.0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19850.2</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KAZ</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Kazakhstan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5346.3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4539.1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6297.2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6641.1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4700.7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9382.5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8249.4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4868.1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13979.4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KEN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Kenya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9617.8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9539.2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9697.1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13412.5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13182.1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13647.0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18704.5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18216.2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19205.8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KIR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Kiribati</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95.21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KWT</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Kuwait</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2194.5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3672.6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4638.7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6146.4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4303.5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8778.5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KGZ</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Kyrgyzstan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890.9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LAO</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Lao People's Democratic Republic</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648.7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873.8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LVA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Latvia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358.5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365.8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486.5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LBN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Lebanon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2997.7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2889.1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3110.3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3811.6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3526.0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4120.3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4846.4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4303.3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5458.1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LSO</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Lesotho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408.1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447.8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LBR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Liberia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2285.7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2106.8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2479.9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LBY</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Libya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977.7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2162.8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3705.7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3165.3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4338.4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LTU</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Lithuania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358.0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382.6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766.9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LUX</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Luxembourg</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895.8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1084.1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MDG</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Madagascar</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8090.8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8038.0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8143.9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11609.4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11450.0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11771.0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16658.1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16310.3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17013.4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MWI</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Malawi</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2896.5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2927.4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4043.1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4134.7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5643.6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5453.8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5840.0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MYS</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Malaysia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9040.5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8705.1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9388.9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12373.1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11423.8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13401.3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16934.0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14991.5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19128.3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MDV</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Maldives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428.5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878.7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MLI</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Mali</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7945.1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7863.6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8027.4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11075.3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10836.9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11319.0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15438.8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14934.5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15960.2</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MLT</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Malta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1717.5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2122.0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1822.7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2470.5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MHL</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Marshall Islands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34.37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37.40</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MRT</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Mauritania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895.5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1731.3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1624.3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1845.3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MUS</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Mauritius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6409.7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6082.3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6754.6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12534.1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11221.0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14000.9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24510.5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20701.2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29020.8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MEX</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Mexico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138227.5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134734.9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141810.7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192397.9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182278.9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203078.6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267797.2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246599.8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290816.6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FSM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Micronesia (Federated States of)</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52.98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51.67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MCO</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Monaco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59.31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65.72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MNG</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Mongolia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1472.4</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MNE</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Montenegro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42.39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48.42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Morocco</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4062.5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3980.7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4145.8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6382.9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6114.8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6662.6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10028.6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9393.0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10707.3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MOZ</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Mozambique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3435.7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3409.3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3462.3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4356.8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4286.4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4428.4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5524.9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5389.1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5664.1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MMR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Myanmar</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8316.2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8247.8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8385.1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11790.1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11586.4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11997.3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16715.0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16276.4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17165.5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NAM</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Namibia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989.7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1013.1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1288.9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1243.7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1335.7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NRU</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Nauru</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0.018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NPL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Nepal</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38776.0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37777.7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39800.8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56430.3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53406.9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59624.8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82122.3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75502.2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89322.8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NLD</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Netherlands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23877.9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22820.6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24984.2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33522.3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30465.6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36885.6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47062.0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40671.7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54456.3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NZL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New Zealand</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7164.8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6698.7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7663.3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11112.6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9641.5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12808.2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17235.7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13877.1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21407.3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NIC</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Nicaragua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1661.4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1759.2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2145.1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2420.4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2769.6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2303.4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3330.1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Niger</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4387.2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4276.4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4500.9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6619.2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6271.2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6986.6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9986.9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9196.6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10845.1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NGA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Nigeria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34130.5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33755.1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34510.1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44395.2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43370.6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45444.0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57746.9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55725.1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59842.1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NIU</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Niue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MKD</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North Macedonia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247.6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283.9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MNP</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Northern Mariana Islands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15.46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Norway</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5506.3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5197.5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5833.4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6608.5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5850.5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7464.8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7931.4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6585.6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9552.3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OMN</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Oman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866.8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1371.7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1691.7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2397.6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3301.9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PAK</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Pakistan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91348.3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91011.2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91686.7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119766.3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118835.1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120704.7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157024.8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155165.3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158906.6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PLW</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Palau</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0.683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PSE</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Palestine</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2889.1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2805.5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2975.3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3835.0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3604.4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4080.4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5090.5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4630.8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5596.0</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PAN</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Panama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4343.0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4184.6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4507.3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7079.9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6546.0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7657.4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11541.6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10239.8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13009.0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PNG</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Papua New Guinea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9370.0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9179.1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9564.8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13834.3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13246.3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14448.5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20425.7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19115.4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21825.8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PRY</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Paraguay</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2394.9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2317.1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2475.4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3086.4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3548.7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4573.2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4111.1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5087.3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PER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Peru</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117276.8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110086.4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124936.9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173796.9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152065.9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198633.4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257556.2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210053.6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315801.3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Philippines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2538.4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3536.0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3651.9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4925.7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4689.0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5174.2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POL</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Poland</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25060.1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24342.1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25799.3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34690.5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32625.6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36886.1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48021.9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43728.0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52737.3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PRT</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Portugal</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14028.0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13466.7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14612.8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15822.4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14515.4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17247.0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17846.2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15645.8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20356.1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PRI</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Puerto Rico</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4725.1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4471.0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4993.6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5250.3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4672.0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5900.2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5833.9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4882.1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6971.3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QAT</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Qatar</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1376.0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KOR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Republic of Korea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61318.9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60075.9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62587.6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83315.9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79790.6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86996.9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113203.9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105975.0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120926.0</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Republic of Moldova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ROU</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Romania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0.676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11574.9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11094.9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12075.8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12381.3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11322.1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13539.5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13243.8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11554.1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15180.6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RUS</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Russian Federation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34793.6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32072.6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37745.6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50195.7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42267.2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59611.3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72415.7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55702.4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94143.6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RWA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Rwanda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2486.1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2464.8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2507.6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3507.1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3636.9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5130.5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4990.2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5274.8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KNA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Kitts and Nevis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55.02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48.05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68.09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LCA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Lucia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438.1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541.0</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VCT</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Vincent and the Grenadines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64.38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53.39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85.17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WSM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Samoa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SMR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San Marino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STP</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Sao Tome and Principe</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238.5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SAU</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Saudi Arabia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38475.3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38029.7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38926.1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57891.2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56485.0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59332.4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87105.0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83896.3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90436.4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Senegal</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3863.7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3763.6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3966.5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5279.9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4995.2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5580.7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7215.1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6629.9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7851.9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SRB</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Serbia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1954.3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1803.0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2009.8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SYC</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Seychelles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SLE</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Sierra Leone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1958.3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1965.9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2893.5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2870.1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2917.2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4275.4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4328.9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SGP</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Singapore</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2960.0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2784.0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3147.0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4432.2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3894.3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5044.3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6636.6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5447.4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8085.3</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SVK</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Slovakia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1645.1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1852.1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1915.5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2160.3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SVN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Slovenia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1789.2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2156.8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2751.6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2754.4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3994.6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SLB</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Solomon Islands</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210.5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228.4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285.1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422.8</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Somalia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2512.8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2471.0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3191.0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4349.8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4120.8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4591.6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ZAF</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South Africa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26887.4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26119.9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27677.4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31303.1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29446.6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33276.6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36444.0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33197.0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40008.5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SSD</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South Sudan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1561.9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1602.4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2091.5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2800.8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3041.8</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ESP</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Spain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108068.7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101835.2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114683.9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144251.8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127247.6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163528.2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192549.5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159001.6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233175.6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LKA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Sri Lanka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7516.4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7276.6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7764.0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8951.7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8359.7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9585.7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10661.2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9604.0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11834.9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SDN</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Sudan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2703.3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2672.6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2734.4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4047.9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3951.3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4146.9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6061.3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5841.9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6288.9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Suriname</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348.7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448.2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522.5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SWE</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Sweden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16529.9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15674.3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17432.1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23408.7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20924.2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26188.1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33150.0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27932.5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39342.1</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CHE</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Switzerland</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7551.2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7267.8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7845.7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8720.9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8044.2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9454.5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10071.8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8903.7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11393.2</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Syrian Arab Republic</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3568.1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3500.9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3636.5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4289.0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4120.4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4464.6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5155.7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4849.5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5481.2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TWN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Taiwan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9992.4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9786.8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10202.2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12235.4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11710.2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12784.2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14982.0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14011.5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16019.7</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TJK</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Tajikistan</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4770.1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4661.3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4881.4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6044.7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5757.3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6346.4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7659.8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7111.0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8251.0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THA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Thailand</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7022.1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6825.1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7224.9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8637.0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8133.2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9171.9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10623.1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9692.1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11643.6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TLS</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Timor-Leste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152.5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TGO</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Togo</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2249.7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2224.6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2275.0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3240.1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3397.1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4892.7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4719.2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5072.6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TKL</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Tokelau</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Tonga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37.23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36.31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38.15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TTO</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Trinidad and Tobago</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1416.3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1841.6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2069.3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2394.6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2861.0</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Tunisia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1421.1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2190.8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2125.1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2258.5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3377.4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3224.1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3537.9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Türkiye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32916.6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31509.6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34386.5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43975.9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40101.5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48224.6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58750.7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51036.2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67631.3</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TKM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Turkmenistan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1346.6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2187.8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1781.2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2687.2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3554.3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2596.9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4864.7</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TUV</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Tuvalu</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0.955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8.55</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UGA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Uganda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6373.8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6306.0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6442.2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8996.5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8795.9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9201.6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12698.4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12268.8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13143.1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UKR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Ukraine</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5964.0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5459.2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6515.4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5028.6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4172.2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6060.8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4240.0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3188.6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5637.9</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ARE</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Arab Emirates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5789.7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5386.1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6223.4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7889.1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6773.1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9188.9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10749.8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8517.3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13567.5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GBR</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Kingdom</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182994.5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172294.3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194359.2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240236.0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211541.8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272822.4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315382.9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259729.7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382961.2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TZA</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Republic of Tanzania</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7880.8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7805.3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7957.1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10631.3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10417.4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10849.6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14341.7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13903.7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14793.5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USA</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States of America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654917.2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650004.7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659866.9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837643.6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824434.5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851064.4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1071351.9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1045672.8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1097661.6</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VIR</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States Virgin Islands</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58.64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49.27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61.91</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URY</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Uruguay</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4041.2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3904.8</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4182.3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5022.6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4671.5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5400.1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6242.3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5588.7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6972.4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UZB</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Uzbekistan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5096.8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4294.9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6048.4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5399.9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3762.1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7750.7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5721.0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3295.5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9931.9</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VUT</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Vanuatu</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209.9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265.0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274.3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340.1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322.7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358.4</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VEN</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Venezuela (Bolivarian Republic of)</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3.05</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13868.6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13202.2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14568.7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18735.2</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16885.3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20787.7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25309.4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21595.9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29661.5</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VNM</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Viet Nam</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9306.3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9276.1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9336.5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13256.4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13165.9</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13347.6</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18883.2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18686.7</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19081.7</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YEM</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Yemen</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1728.8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1681.6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1777.3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2648.4</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2498.0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2807.7</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4057.1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3711.0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4435.6</w:t>
            </w:r>
          </w:p>
        </w:tc>
      </w:tr>
      <w:tr>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ZMB</w:t>
            </w:r>
          </w:p>
        </w:tc>
        <w:tc>
          <w:tcPr>
            <w:tcW w:type="dxa" w:w="12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Zambia</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3315.2</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3253.5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3378.0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5008.0</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4813.4</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5210.5</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7565.3</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7121.1</w:t>
            </w:r>
          </w:p>
        </w:tc>
        <w:tc>
          <w:tcPr>
            <w:tcW w:type="dxa" w:w="12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8037.2</w:t>
            </w:r>
          </w:p>
        </w:tc>
      </w:tr>
      <w:tr>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ZWE</w:t>
            </w:r>
          </w:p>
        </w:tc>
        <w:tc>
          <w:tcPr>
            <w:tcW w:type="dxa" w:w="12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Zimbabwe</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1335.1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1315.6</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1354.8</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1804.1</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1749.0</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1860.9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2437.9</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2325.3</w:t>
            </w:r>
          </w:p>
        </w:tc>
        <w:tc>
          <w:tcPr>
            <w:tcW w:type="dxa" w:w="12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2556.1</w:t>
            </w:r>
          </w:p>
        </w:tc>
      </w:tr>
    </w:tbl>
    <w:p>
      <w:pPr>
        <w:spacing w:after="200" w:before="120"/>
      </w:pPr>
      <w:r>
        <w:rPr>
          <w:rFonts w:ascii="Times New Roman" w:cs="Times New Roman" w:eastAsia="Times New Roman" w:hAnsi="Times New Roman"/>
          <w:i/>
          <w:iCs/>
          <w:sz w:val="16"/>
          <w:szCs w:val="16"/>
        </w:rPr>
        <w:t xml:space="preserve">Conditional projections under continuation of 2010–2021 trends; not official GBD uncertainty intervals.</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S6. Global burden projection scenarios (no change, 50% attenuated, recent-trend continuation, full-trend continuation) for 2030, 2040, and 2050.</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2057"/>
        <w:gridCol w:w="2057"/>
        <w:gridCol w:w="2057"/>
        <w:gridCol w:w="2057"/>
        <w:gridCol w:w="2057"/>
        <w:gridCol w:w="2057"/>
        <w:gridCol w:w="2057"/>
      </w:tblGrid>
      <w:tr>
        <w:trPr>
          <w:tblHeader/>
        </w:trPr>
        <w:tc>
          <w:tcPr>
            <w:tcW w:type="dxa" w:w="2057"/>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Scenario</w:t>
            </w:r>
          </w:p>
        </w:tc>
        <w:tc>
          <w:tcPr>
            <w:tcW w:type="dxa" w:w="2057"/>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Outcome</w:t>
            </w:r>
          </w:p>
        </w:tc>
        <w:tc>
          <w:tcPr>
            <w:tcW w:type="dxa" w:w="2057"/>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Target year</w:t>
            </w:r>
          </w:p>
        </w:tc>
        <w:tc>
          <w:tcPr>
            <w:tcW w:type="dxa" w:w="2057"/>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Projection</w:t>
            </w:r>
          </w:p>
        </w:tc>
        <w:tc>
          <w:tcPr>
            <w:tcW w:type="dxa" w:w="2057"/>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low</w:t>
            </w:r>
          </w:p>
        </w:tc>
        <w:tc>
          <w:tcPr>
            <w:tcW w:type="dxa" w:w="2057"/>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high</w:t>
            </w:r>
          </w:p>
        </w:tc>
        <w:tc>
          <w:tcPr>
            <w:tcW w:type="dxa" w:w="2057"/>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Aggregation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Attenuated trend (50% of 2000-2021 slope)</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4704296.5</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4659690.8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4749801.7</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Attenuated trend (50% of 2000-2021 slope)</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5584436.0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5472960.1</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5700693.9</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Attenuated trend (50% of 2000-2021 slope)</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6644480.5</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6442108.2</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6860250.3</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Attenuated trend (50% of 2000-2021 slope)</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53.05</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52.60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53.50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Attenuated trend (50% of 2000-2021 slope)</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54.64</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53.66</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55.66</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Attenuated trend (50% of 2000-2021 slope)</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56.38</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54.83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58.02</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Full-trend continuation (2000-2021)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5488898.6</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5385080.1</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5596932.4</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Full-trend continuation (2000-2021)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7784231.6</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7473154.2</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8122630.5</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Full-trend continuation (2000-2021)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11135600.7</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10451475.8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11914611.5</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Full-trend continuation (2000-2021)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54.47</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53.55</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55.43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Full-trend continuation (2000-2021)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58.08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55.97</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60.34</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Full-trend continuation (2000-2021)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62.34</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58.84</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66.25</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 change from 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 change from 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 change from 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4039789.8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 change from 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 change from 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 change from 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Recent-trend continuation (2010-2021)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5246588.7</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5112397.3</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5386365.7</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Recent-trend continuation (2010-2021)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7051824.8</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6677720.5</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7459189.2</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Recent-trend continuation (2010-2021)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gbd2021_dalys_number</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9528706.9</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8768110.9</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10394430.7</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Sum across locations</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Recent-trend continuation (2010-2021)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2030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52.42</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51.14</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53.74</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Recent-trend continuation (2010-2021)</w:t>
            </w:r>
          </w:p>
        </w:tc>
        <w:tc>
          <w:tcPr>
            <w:tcW w:type="dxa" w:w="2057"/>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53.40</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50.68</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56.36</w:t>
            </w:r>
          </w:p>
        </w:tc>
        <w:tc>
          <w:tcPr>
            <w:tcW w:type="dxa" w:w="2057"/>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r>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Recent-trend continuation (2010-2021)</w:t>
            </w:r>
          </w:p>
        </w:tc>
        <w:tc>
          <w:tcPr>
            <w:tcW w:type="dxa" w:w="2057"/>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gbd2021_dalys_study_asr_per_100k</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54.64</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50.40</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59.42</w:t>
            </w:r>
          </w:p>
        </w:tc>
        <w:tc>
          <w:tcPr>
            <w:tcW w:type="dxa" w:w="2057"/>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Fixed 2021 population-weighted mean</w:t>
            </w:r>
          </w:p>
        </w:tc>
      </w:tr>
    </w:tbl>
    <w:p>
      <w:pPr>
        <w:spacing w:after="200" w:before="120"/>
      </w:pPr>
      <w:r>
        <w:rPr>
          <w:rFonts w:ascii="Times New Roman" w:cs="Times New Roman" w:eastAsia="Times New Roman" w:hAnsi="Times New Roman"/>
          <w:i/>
          <w:iCs/>
          <w:sz w:val="16"/>
          <w:szCs w:val="16"/>
        </w:rPr>
        <w:t xml:space="preserve">Population-weighted aggregation across 204 countries/territories.</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S7. Annual observed global burden, 2000–2021.</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2880"/>
        <w:gridCol w:w="2880"/>
        <w:gridCol w:w="2880"/>
        <w:gridCol w:w="2880"/>
        <w:gridCol w:w="2880"/>
      </w:tblGrid>
      <w:tr>
        <w:trPr>
          <w:tblHeader/>
        </w:trPr>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Year</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Global DALYs</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Implied population</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Crude rate /100k</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Standardized rate /100k</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2000</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2093587.8</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5846052151.8</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35.81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46.24</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2001</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2165485.3</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5922578397.9</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36.56</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46.69</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2002</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2231679.5</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6000470059.4</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37.19</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47.05</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2003</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2340229.2</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6079643143.1</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38.49</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48.08</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2004</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2435146.9</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6160095223.3</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39.53</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48.74</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2005</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2497807.7</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6241897547.7</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40.02</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48.68</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2006</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2564007.3</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6325510115.1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40.53</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48.85</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2007</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2676726.3</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6410989668.7</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41.75</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49.84</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2008</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2779550.7</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6499034394.9</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42.77</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50.49</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2009</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2876409.5</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6589115380.4</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43.65</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50.73</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2010</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2978758.0</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6677849304.6</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44.61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51.03</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2011</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3093168.6</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6765099270.8</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45.72</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51.48</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2012</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3196221.9</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6852657414.3</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46.64</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51.71</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2013</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3294664.7</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6940176847.9</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47.47</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52.14</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2014</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3397970.1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7028113733.4</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48.35</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52.66</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2015</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3488572.5</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7116899292.1</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49.02</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52.47</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2016</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3596330.5</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7205641228.8</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49.91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52.49</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2017</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3707374.7</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7294837464.7</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50.82</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52.50</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2018</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3837136.1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7384468398.2</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51.96</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52.81</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2019</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3948743.0</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7472913744.1</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52.84</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52.89</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2020</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3972719.3</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7555822079.9</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52.58</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52.01</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2021</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4039789.8</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7630216332.6</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52.94</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51.73</w:t>
            </w:r>
          </w:p>
        </w:tc>
      </w:tr>
    </w:tbl>
    <w:p>
      <w:pPr>
        <w:spacing w:after="200" w:before="120"/>
      </w:pPr>
      <w:r>
        <w:rPr>
          <w:rFonts w:ascii="Times New Roman" w:cs="Times New Roman" w:eastAsia="Times New Roman" w:hAnsi="Times New Roman"/>
          <w:i/>
          <w:iCs/>
          <w:sz w:val="16"/>
          <w:szCs w:val="16"/>
        </w:rPr>
        <w:t xml:space="preserve">Crude rate and population-weighted, study-standardized rate across countries.</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S9. Gelbach (2016) decomposition of the attenuation of the tuberculosis coefficient after adjustment for the available structural block.</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2880"/>
        <w:gridCol w:w="2880"/>
        <w:gridCol w:w="2880"/>
        <w:gridCol w:w="2880"/>
        <w:gridCol w:w="2880"/>
      </w:tblGrid>
      <w:tr>
        <w:trPr>
          <w:tblHeader/>
        </w:trPr>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Confounder</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gamma_k</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delta_k</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Contribution_k</w:t>
            </w:r>
          </w:p>
        </w:tc>
        <w:tc>
          <w:tcPr>
            <w:tcW w:type="dxa" w:w="288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 of total attenuation</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Societal poverty</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0.0082</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0.250</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0.0020</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49.26</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-0.0093</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-0.204</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0.0019</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45.46</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Vulnerable employment</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0.0034</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0.199</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0.0007</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16.39</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Secondary education</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0.013</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-0.030</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-0.0004</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-9.61</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Population density</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-0.0031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0.033</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-2.50</w:t>
            </w:r>
          </w:p>
        </w:tc>
      </w:tr>
      <w:tr>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288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-0.0004</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-0.074</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0.0000</w:t>
            </w:r>
          </w:p>
        </w:tc>
        <w:tc>
          <w:tcPr>
            <w:tcW w:type="dxa" w:w="288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0.786</w:t>
            </w:r>
          </w:p>
        </w:tc>
      </w:tr>
      <w:tr>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Urban population</w:t>
            </w:r>
          </w:p>
        </w:tc>
        <w:tc>
          <w:tcPr>
            <w:tcW w:type="dxa" w:w="288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-0.0002</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-0.051</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0.0000</w:t>
            </w:r>
          </w:p>
        </w:tc>
        <w:tc>
          <w:tcPr>
            <w:tcW w:type="dxa" w:w="288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0.215</w:t>
            </w:r>
          </w:p>
        </w:tc>
      </w:tr>
    </w:tbl>
    <w:p>
      <w:pPr>
        <w:spacing w:after="200" w:before="120"/>
      </w:pPr>
      <w:r>
        <w:rPr>
          <w:rFonts w:ascii="Times New Roman" w:cs="Times New Roman" w:eastAsia="Times New Roman" w:hAnsi="Times New Roman"/>
          <w:i/>
          <w:iCs/>
          <w:sz w:val="16"/>
          <w:szCs w:val="16"/>
        </w:rPr>
        <w:t xml:space="preserve">gamma_k = confounder's own coefficient in the long model; delta_k = tuberculosis coefficient in the confounder's auxiliary regression; contribution_k = gamma_k × delta_k. Identity verified: sum of contributions = total attenuation (log scale).</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S10. Country-income heterogeneity: the four main associations re-estimated separately in the below- and above-median average-income country halves.</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gridCol w:w="1800"/>
        <w:gridCol w:w="1800"/>
        <w:gridCol w:w="1800"/>
      </w:tblGrid>
      <w:tr>
        <w:trPr>
          <w:tblHeader/>
        </w:trPr>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Factor</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Income group</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 change</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low</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95% CI high</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 value</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n</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Countries</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Tuberculosis incidence</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Below-median income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-0.233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0.884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0.254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1803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Tuberculosis incidence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Above-median income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1776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Below-median income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Clean-cooking access</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Above-median income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Societal poverty</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Below-median income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0.347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Societal poverty</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Above-median income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0.322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Below-median income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0.541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1995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UHC service coverage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Above-median income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0.0018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1911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w:t>
            </w:r>
          </w:p>
        </w:tc>
      </w:tr>
    </w:tbl>
    <w:p>
      <w:pPr>
        <w:spacing w:after="200" w:before="120"/>
      </w:pPr>
      <w:r>
        <w:rPr>
          <w:rFonts w:ascii="Times New Roman" w:cs="Times New Roman" w:eastAsia="Times New Roman" w:hAnsi="Times New Roman"/>
          <w:i/>
          <w:iCs/>
          <w:sz w:val="16"/>
          <w:szCs w:val="16"/>
        </w:rPr>
        <w:t xml:space="preserve">Classification by each country's 2000–2021 average GDP per capita (PPP), split at the median; percent change per within-country SD.</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S11. Illustrative country-level DALYs averted under two coverage targets (universal clean-cooking access; UHC service-coverage index ≥ 80), 2021.</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gridCol w:w="1800"/>
        <w:gridCol w:w="1800"/>
        <w:gridCol w:w="1800"/>
      </w:tblGrid>
      <w:tr>
        <w:trPr>
          <w:tblHeader/>
        </w:trPr>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ISO3</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Country</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Clean cooking (%)</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Gap to 100%</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DALYs averted (cooking)</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UHC index</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Gap to 80</w:t>
            </w:r>
          </w:p>
        </w:tc>
        <w:tc>
          <w:tcPr>
            <w:tcW w:type="dxa" w:w="18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DALYs averted (UHC)</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China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7898.9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PRK</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Democratic People's Republic of Korea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715.9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KHM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Cambodia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51.21</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IDN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Indonesia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1037.7</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LAO</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Lao People's Democratic Republic</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74.85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26.69</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MYS</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Malaysia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25.59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MDV</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Maldives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MMR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Myanmar</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790.6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648.2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PHL</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Philippines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198.8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83.13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LKA</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Sri Lanka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992.3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THA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Thailand</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212.8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TLS</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Timor-Leste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VNM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Viet Nam</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97.20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47.45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FJI</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Fiji</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24.15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KIR</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Kiribati</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MHL</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Marshall Islands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FSM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Micronesia (Federated States of)</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3.15</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PNG</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Papua New Guinea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1336.8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1131.2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WSM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Samoa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15.03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SLB</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Solomon Islands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35.53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Tonga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VUT</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Vanuatu</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30.69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15.94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Armenia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42.27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AZE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Azerbaijan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112.6</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GEO</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Georgia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31.38</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KAZ</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Kazakhstan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63.63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KGZ</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Kyrgyzstan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20.79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10.46</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MNG</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Mongolia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31.49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TJK</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Tajikistan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135.1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TKM</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Turkmenistan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0.219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UZB</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Uzbekistan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239.4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18.17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ALB</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Albania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33.69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35.75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BIH</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Bosnia and Herzegovina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51.61</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HRV</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Croatia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CZE</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Czechia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HUN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Hungary</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MKD</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North Macedonia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MNE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Montenegro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POL</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Poland</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ROU</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Romania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162.7</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SRB</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Serbia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57.20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SVK</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Slovakia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SVN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Slovenia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BLR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Belarus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EST</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Estonia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0.834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LVA</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Latvia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4.91</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LTU</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Lithuania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MDA</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Republic of Moldova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0.774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RUS</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Russian Federation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UKR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Ukraine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85.09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26.11</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Brunei Darussalam</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JPN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Japan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KOR</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Republic of Korea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SGP</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Singapore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Australia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NZL</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New Zealand</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AND</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Andorra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AUT</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Austria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Belgium</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CYP</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Cyprus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31.05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DNK</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Denmark</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Finland</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FRA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France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DEU</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Germany</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GRC</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Greece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71.01</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ISL</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Iceland</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IRL</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Ireland</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Israel</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ITA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Italy</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LUX</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Luxembourg</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MLT</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Malta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NLD</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Netherlands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Norway</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PRT</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Portugal</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ESP</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Spain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Sweden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CHE</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Switzerland</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GBR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Kingdom</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ARG</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Argentina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CHL</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Chile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URY</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Uruguay</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Canada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USA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States of America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ATG</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Antigua and Barbuda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BHS</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Bahamas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BRB</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Barbados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BLZ</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Belize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16.39</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CUB</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Cuba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DMA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Dominica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87.10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0.697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Dominican Republic</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10.28</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GRD</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Grenada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0.642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GUY</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Guyana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HTI</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Haiti</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889.1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527.3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JAM</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Jamaica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13.96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14.51</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LCA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Lucia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VCT</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Vincent and the Grenadines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0.865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0.844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SUR</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Suriname</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TTO</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Trinidad and Tobago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24.95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BOL</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Bolivia (Plurinational State of)</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444.4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814.3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ECU</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Ecuador</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316.5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176.0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PER</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Peru</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2364.5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3632.7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COL</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Colombia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410.9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CRI</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Costa Rica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41.03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SLV</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El Salvador</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50.02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21.20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GTM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Guatemala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1128.8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662.0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HND</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Honduras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688.7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336.3</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MEX</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Mexico</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85.05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14.95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3784.3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385.4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NIC</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Nicaragua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133.1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43.94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Panama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VEN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Venezuela (Bolivarian Republic of)</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118.7</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Brazil</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909.4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PRY</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Paraguay</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DZA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Algeria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112.5</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Bahrain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4.03</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EGY</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Egypt</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272.1</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Iran (Islamic Republic of)</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24.43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IRQ</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Iraq</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0.600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298.2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JOR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Jordan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136.4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KWT</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Kuwait</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Morocco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148.4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OMN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Oman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QAT</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Qatar</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SAU</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Saudi Arabia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Syrian Arab Republic</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66.86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89.62</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Tunisia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0.242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Türkiye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284.6</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ARE</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Arab Emirates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YEM</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Yemen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145.3</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AFG</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Afghanistan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131.2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BGD</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Bangladesh</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15072.3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8869.0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BTN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Bhutan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10.97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18.59</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India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81103.8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53650.4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NPL</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Nepal</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3877.3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2577.3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PAK</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Pakistan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8244.8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6424.7</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AGO</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Angola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399.3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492.4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CAF</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Central African Republic</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185.6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136.5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COG</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Congo</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138.1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117.2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COD</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Democratic Republic of the Congo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3179.9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2084.0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GNQ</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Equatorial Guinea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77.20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17.96</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GAB</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Gabon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33.44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BDI</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Burundi</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316.5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175.9</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COM</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Comoros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23.72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10.81</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DJI</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Djibouti</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26.99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ERI</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Eritrea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171.2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123.4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ETH</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Ethiopia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1970.5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1642.8</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KEN</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Kenya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1212.7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688.5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MDG</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Madagascar</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1282.8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928.8</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MWI</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Malawi</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469.5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192.5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MUS</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Mauritius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52.34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MOZ</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Mozambique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93.50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580.9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323.9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RWA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Rwanda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378.5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161.0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SYC</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Seychelles</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0.048</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Somalia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419.6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342.6</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TZA</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United Republic of Tanzania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1244.7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722.6</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UGA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Uganda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1024.7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451.4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ZMB</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Zambia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89.80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461.9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197.4</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BWA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Botswana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40.52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35.47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LSO</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Lesotho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49.58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37.55</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NAM</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Namibia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52.50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74.04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41.32</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ZAF</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South Africa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656.4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695.1</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SWZ</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Eswatini</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50.50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30.36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12.16</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ZWE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Zimbabwe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30.30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84.38</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Benin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94.20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282.0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BFA</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Burkina Faso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14.60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469.3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299.7</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CMR</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Cameroon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28.40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905.9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714.8</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CPV</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Cabo Verde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82.10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4.28</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TCD</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Chad</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497.5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450.5</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CIV</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Côte d'Ivoire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39.35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60.65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624.2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530.1</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GMB</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Gambia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95.86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48.21</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GHA</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Ghana</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29.90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70.10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1024.9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591.3</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GIN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Guinea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486.3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301.3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GNB</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Guinea-Bissau</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0.950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99.05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79.82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45.88</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LBR</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Liberia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0.700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197.5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101.4</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MLI</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Mali</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98.80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1295.3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784.7</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MRT</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Mauritania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51.90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83.74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97.89</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NER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Niger</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95.90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648.8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462.1</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NGA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Nigeria</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21.85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78.15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4802.6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47</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3144.5</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STP</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Sao Tome and Principe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96.10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23.10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8.18</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Senegal</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32.10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67.90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457.5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330.8</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SLE</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Sierra Leone</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0.800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99.20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304.0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170.0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TGO</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Togo</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88.60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316.5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231.7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MCO</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Monaco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85</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NRU</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Nauru</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61</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19</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0.423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PLW</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Palau</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73</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0.310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KNA</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Saint Kitts and Nevis</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SMR</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San Marino</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74</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0.150</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TUV</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Tuvalu</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76.40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23.60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0.353</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SSD</w:t>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South Sudan</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100</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266.8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163.9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SDN</w:t>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Sudan</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65.70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34.30</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155.2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46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34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225.7</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72</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8</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50.79</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68</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12</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106.6</w:t>
            </w:r>
          </w:p>
        </w:tc>
      </w:tr>
      <w:tr>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69</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w:t>
            </w:r>
          </w:p>
        </w:tc>
        <w:tc>
          <w:tcPr>
            <w:tcW w:type="dxa" w:w="1800"/>
            <w:shd w:fill="D8E9F2" w:val="clear"/>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23.36</w:t>
            </w:r>
          </w:p>
        </w:tc>
      </w:tr>
      <w:tr>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66</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14</w:t>
            </w:r>
          </w:p>
        </w:tc>
        <w:tc>
          <w:tcPr>
            <w:tcW w:type="dxa" w:w="18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114.9</w:t>
            </w:r>
          </w:p>
        </w:tc>
      </w:tr>
    </w:tbl>
    <w:p>
      <w:pPr>
        <w:spacing w:after="200" w:before="120"/>
      </w:pPr>
      <w:r>
        <w:rPr>
          <w:rFonts w:ascii="Times New Roman" w:cs="Times New Roman" w:eastAsia="Times New Roman" w:hAnsi="Times New Roman"/>
          <w:i/>
          <w:iCs/>
          <w:sz w:val="16"/>
          <w:szCs w:val="16"/>
        </w:rPr>
        <w:t xml:space="preserve">Illustrative calculation applying the estimated coefficient to each country's 2021 coverage gap; not causal estimates or forecasts.</w:t>
      </w:r>
    </w:p>
    <w:p>
      <w:pPr>
        <w:sectPr>
          <w:pgSz w:w="15840" w:h="12240" w:orient="portrait"/>
          <w:pgMar w:top="900" w:right="720" w:bottom="900" w:left="720" w:header="708" w:footer="708" w:gutter="0"/>
          <w:pgNumType/>
          <w:docGrid w:linePitch="360"/>
        </w:sectPr>
      </w:pPr>
    </w:p>
    <w:p>
      <w:pPr>
        <w:spacing w:after="120" w:before="200"/>
      </w:pPr>
      <w:r>
        <w:rPr>
          <w:rFonts w:ascii="Times New Roman" w:cs="Times New Roman" w:eastAsia="Times New Roman" w:hAnsi="Times New Roman"/>
          <w:b/>
          <w:bCs/>
          <w:sz w:val="20"/>
          <w:szCs w:val="20"/>
        </w:rPr>
        <w:t xml:space="preserve">Supplementary Table S12. Moran's I test for spatial autocorrelation in country-level DALY-rate trends (EAPC).</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400"/>
        <w:gridCol w:w="2400"/>
        <w:gridCol w:w="2400"/>
        <w:gridCol w:w="2400"/>
      </w:tblGrid>
      <w:tr>
        <w:trPr>
          <w:tblHeader/>
        </w:trPr>
        <w:tc>
          <w:tcPr>
            <w:tcW w:type="dxa" w:w="24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Statistic</w:t>
            </w:r>
          </w:p>
        </w:tc>
        <w:tc>
          <w:tcPr>
            <w:tcW w:type="dxa" w:w="24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Value</w:t>
            </w:r>
          </w:p>
        </w:tc>
        <w:tc>
          <w:tcPr>
            <w:tcW w:type="dxa" w:w="24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Expected under H0</w:t>
            </w:r>
          </w:p>
        </w:tc>
        <w:tc>
          <w:tcPr>
            <w:tcW w:type="dxa" w:w="24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Countries</w:t>
            </w:r>
          </w:p>
        </w:tc>
        <w:tc>
          <w:tcPr>
            <w:tcW w:type="dxa" w:w="24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Permutations</w:t>
            </w:r>
          </w:p>
        </w:tc>
        <w:tc>
          <w:tcPr>
            <w:tcW w:type="dxa" w:w="2400"/>
            <w:shd w:fill="1F4D78" w:val="clear"/>
            <w:tcMar>
              <w:top w:type="dxa" w:w="40"/>
              <w:left w:type="dxa" w:w="60"/>
              <w:bottom w:type="dxa" w:w="40"/>
              <w:right w:type="dxa" w:w="60"/>
            </w:tcMar>
            <w:vAlign w:val="center"/>
          </w:tcPr>
          <w:p>
            <w:pPr>
              <w:jc w:val="center"/>
            </w:pPr>
            <w:r>
              <w:rPr>
                <w:rFonts w:ascii="Times New Roman" w:cs="Times New Roman" w:eastAsia="Times New Roman" w:hAnsi="Times New Roman"/>
                <w:b/>
                <w:bCs/>
                <w:color w:val="FFFFFF"/>
                <w:sz w:val="16"/>
                <w:szCs w:val="16"/>
              </w:rPr>
              <w:t xml:space="preserve">P value (permutation)</w:t>
            </w:r>
          </w:p>
        </w:tc>
      </w:tr>
      <w:tr>
        <w:tc>
          <w:tcPr>
            <w:tcW w:type="dxa" w:w="24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Moran's I</w:t>
            </w:r>
          </w:p>
        </w:tc>
        <w:tc>
          <w:tcPr>
            <w:tcW w:type="dxa" w:w="2400"/>
            <w:tcMar>
              <w:top w:type="dxa" w:w="40"/>
              <w:left w:type="dxa" w:w="60"/>
              <w:bottom w:type="dxa" w:w="40"/>
              <w:right w:type="dxa" w:w="60"/>
            </w:tcMar>
            <w:vAlign w:val="center"/>
          </w:tcPr>
          <w:p>
            <w:pPr>
              <w:jc w:val="left"/>
            </w:pPr>
            <w:r>
              <w:rPr>
                <w:rFonts w:ascii="Times New Roman" w:cs="Times New Roman" w:eastAsia="Times New Roman" w:hAnsi="Times New Roman"/>
                <w:sz w:val="16"/>
                <w:szCs w:val="16"/>
              </w:rPr>
              <w:t xml:space="preserve">0.125</w:t>
            </w:r>
          </w:p>
        </w:tc>
        <w:tc>
          <w:tcPr>
            <w:tcW w:type="dxa" w:w="24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-0.0049</w:t>
            </w:r>
          </w:p>
        </w:tc>
        <w:tc>
          <w:tcPr>
            <w:tcW w:type="dxa" w:w="24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204</w:t>
            </w:r>
          </w:p>
        </w:tc>
        <w:tc>
          <w:tcPr>
            <w:tcW w:type="dxa" w:w="24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9999</w:t>
            </w:r>
          </w:p>
        </w:tc>
        <w:tc>
          <w:tcPr>
            <w:tcW w:type="dxa" w:w="2400"/>
            <w:tcMar>
              <w:top w:type="dxa" w:w="40"/>
              <w:left w:type="dxa" w:w="60"/>
              <w:bottom w:type="dxa" w:w="40"/>
              <w:right w:type="dxa" w:w="60"/>
            </w:tcMar>
            <w:vAlign w:val="center"/>
          </w:tcPr>
          <w:p>
            <w:pPr>
              <w:jc w:val="center"/>
            </w:pPr>
            <w:r>
              <w:rPr>
                <w:rFonts w:ascii="Times New Roman" w:cs="Times New Roman" w:eastAsia="Times New Roman" w:hAnsi="Times New Roman"/>
                <w:sz w:val="16"/>
                <w:szCs w:val="16"/>
              </w:rPr>
              <w:t xml:space="preserve">0.0001</w:t>
            </w:r>
          </w:p>
        </w:tc>
      </w:tr>
    </w:tbl>
    <w:p>
      <w:pPr>
        <w:spacing w:after="200" w:before="120"/>
      </w:pPr>
      <w:r>
        <w:rPr>
          <w:rFonts w:ascii="Times New Roman" w:cs="Times New Roman" w:eastAsia="Times New Roman" w:hAnsi="Times New Roman"/>
          <w:i/>
          <w:iCs/>
          <w:sz w:val="16"/>
          <w:szCs w:val="16"/>
        </w:rPr>
        <w:t xml:space="preserve">Inverse-distance weights between country centroids; significance assessed by 9,999 permutations.</w:t>
      </w:r>
    </w:p>
    <w:p>
      <w:pPr>
        <w:sectPr>
          <w:pgSz w:w="15840" w:h="12240" w:orient="portrait"/>
          <w:pgMar w:top="900" w:right="720" w:bottom="900" w:left="720" w:header="708" w:footer="708" w:gutter="0"/>
          <w:pgNumType/>
          <w:docGrid w:linePitch="360"/>
        </w:sectPr>
      </w:pPr>
    </w:p>
    <w:p>
      <w:pPr>
        <w:spacing w:after="160"/>
      </w:pPr>
      <w:r>
        <w:rPr>
          <w:rFonts w:ascii="Times New Roman" w:cs="Times New Roman" w:eastAsia="Times New Roman" w:hAnsi="Times New Roman"/>
          <w:b/>
          <w:bCs/>
          <w:sz w:val="24"/>
          <w:szCs w:val="24"/>
        </w:rPr>
        <w:t xml:space="preserve">Note on the S8 data</w:t>
      </w:r>
    </w:p>
    <w:p>
      <w:r>
        <w:rPr>
          <w:rFonts w:ascii="Times New Roman" w:cs="Times New Roman" w:eastAsia="Times New Roman" w:hAnsi="Times New Roman"/>
          <w:sz w:val="22"/>
          <w:szCs w:val="22"/>
        </w:rPr>
        <w:t xml:space="preserve">The complete projection grid (country × scenario × outcome × target year; 4,896 rows) underlying Supplementary Tables S5 and S6 is provided as a companion Excel file (ILD_Supplementary_Tables_v4.xlsx, sheet S8_All_Scenario_Projections) given its size, and is not reproduced here as a printed table.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4a98dbe532e77857f3ca75c393bdb441ff906ea.png"/><Relationship Id="rId8" Type="http://schemas.openxmlformats.org/officeDocument/2006/relationships/image" Target="media/ea7337820fda5fd0406441d3b4f1672a39eae29b.png"/><Relationship Id="rId9" Type="http://schemas.openxmlformats.org/officeDocument/2006/relationships/image" Target="media/d4f16eff9cf90b3d2c068c26edd3cf42b4abcea4.png"/><Relationship Id="rId10" Type="http://schemas.openxmlformats.org/officeDocument/2006/relationships/image" Target="media/66812fbc7964f6f1a55018f08b4b08b205ea21bf.png"/><Relationship Id="rId11" Type="http://schemas.openxmlformats.org/officeDocument/2006/relationships/image" Target="media/8a8c1d1faa6181fa1d2f796c89532f72e69aa53c.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2026-07-31T13:59:36.354Z</dcterms:created>
  <dcterms:modified xsi:type="dcterms:W3CDTF">2026-07-31T13:59:36.376Z</dcterms:modified>
</cp:coreProperties>
</file>

<file path=docProps/custom.xml><?xml version="1.0" encoding="utf-8"?>
<Properties xmlns="http://schemas.openxmlformats.org/officeDocument/2006/custom-properties" xmlns:vt="http://schemas.openxmlformats.org/officeDocument/2006/docPropsVTypes"/>
</file>