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32B25">
      <w:pPr>
        <w:pStyle w:val="2"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80" w:line="288" w:lineRule="auto"/>
        <w:ind w:left="80" w:leftChars="0" w:right="80" w:rightChars="0" w:firstLine="0" w:firstLineChars="0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1"/>
          <w:szCs w:val="21"/>
          <w:u w:val="none"/>
          <w:lang w:val="en-US" w:eastAsia="zh-CN"/>
        </w:rPr>
      </w:pPr>
      <w:bookmarkStart w:id="1" w:name="_GoBack"/>
      <w:bookmarkEnd w:id="1"/>
      <w:bookmarkStart w:id="0" w:name="_Ref11236"/>
      <w:r>
        <w:rPr>
          <w:rFonts w:hint="default" w:ascii="Times New Roman" w:hAnsi="Times New Roman" w:eastAsia="Arial" w:cs="Times New Roman"/>
          <w:b/>
          <w:bCs/>
          <w:i w:val="0"/>
          <w:strike w:val="0"/>
          <w:color w:val="000000"/>
          <w:sz w:val="21"/>
          <w:szCs w:val="21"/>
          <w:u w:val="none"/>
          <w:lang w:val="en-US" w:eastAsia="zh-CN" w:bidi="ar-SA"/>
        </w:rPr>
        <w:t xml:space="preserve">Supplementary Table </w:t>
      </w:r>
      <w:r>
        <w:rPr>
          <w:rFonts w:hint="eastAsia" w:eastAsia="Arial" w:cs="Times New Roman"/>
          <w:b/>
          <w:bCs/>
          <w:i w:val="0"/>
          <w:strike w:val="0"/>
          <w:color w:val="000000"/>
          <w:sz w:val="21"/>
          <w:szCs w:val="21"/>
          <w:u w:val="none"/>
          <w:lang w:val="en-US" w:eastAsia="zh-CN" w:bidi="ar-SA"/>
        </w:rPr>
        <w:t>1</w:t>
      </w:r>
      <w:r>
        <w:rPr>
          <w:rFonts w:hint="default" w:ascii="Times New Roman" w:hAnsi="Times New Roman" w:eastAsia="Arial" w:cs="Times New Roman"/>
          <w:b w:val="0"/>
          <w:bCs w:val="0"/>
          <w:i w:val="0"/>
          <w:strike w:val="0"/>
          <w:color w:val="000000"/>
          <w:sz w:val="21"/>
          <w:szCs w:val="21"/>
          <w:u w:val="none"/>
          <w:lang w:val="en-US" w:eastAsia="zh-CN" w:bidi="ar-SA"/>
        </w:rPr>
        <w:t>. Univariate analysis o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1"/>
          <w:szCs w:val="21"/>
          <w:u w:val="none"/>
          <w:lang w:val="en-US" w:eastAsia="zh-CN"/>
        </w:rPr>
        <w:t>f baseline characteristics and Futile Recanalization</w:t>
      </w:r>
      <w:bookmarkEnd w:id="0"/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9"/>
        <w:gridCol w:w="2264"/>
        <w:gridCol w:w="2949"/>
      </w:tblGrid>
      <w:tr w14:paraId="61B8DA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bottom w:val="single" w:color="auto" w:sz="4" w:space="0"/>
            </w:tcBorders>
            <w:noWrap w:val="0"/>
            <w:vAlign w:val="top"/>
          </w:tcPr>
          <w:p w14:paraId="4329FBE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Variables </w:t>
            </w:r>
          </w:p>
        </w:tc>
        <w:tc>
          <w:tcPr>
            <w:tcW w:w="2264" w:type="dxa"/>
            <w:tcBorders>
              <w:bottom w:val="single" w:color="auto" w:sz="4" w:space="0"/>
            </w:tcBorders>
            <w:noWrap w:val="0"/>
            <w:vAlign w:val="top"/>
          </w:tcPr>
          <w:p w14:paraId="30D5D852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OR (95% CI)</w:t>
            </w:r>
          </w:p>
        </w:tc>
        <w:tc>
          <w:tcPr>
            <w:tcW w:w="2949" w:type="dxa"/>
            <w:tcBorders>
              <w:bottom w:val="single" w:color="auto" w:sz="4" w:space="0"/>
            </w:tcBorders>
            <w:noWrap w:val="0"/>
            <w:vAlign w:val="top"/>
          </w:tcPr>
          <w:p w14:paraId="5D53DE14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P-value</w:t>
            </w:r>
          </w:p>
        </w:tc>
      </w:tr>
      <w:tr w14:paraId="128A3E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6594E091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Admission WBC, ×10⁹/L</w:t>
            </w:r>
          </w:p>
        </w:tc>
        <w:tc>
          <w:tcPr>
            <w:tcW w:w="2264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2C19D804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1.295 (1.204 - 1.393)</w:t>
            </w:r>
          </w:p>
        </w:tc>
        <w:tc>
          <w:tcPr>
            <w:tcW w:w="2949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25C9E4E2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 w14:paraId="09FC13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53B63B69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Postoperative WBC, ×10⁹/L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3DEB1879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1.180 (1.114 - 1.250)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7FFEA5F7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 w14:paraId="571759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3946C621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Postoperative hs-CRP, mg/L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5C41023F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1.024 (1.015 - 1.033)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5FABA7A0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 w14:paraId="478E14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49BD3C4D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Admission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ln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SIRI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4BDA2221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1.245 (1.102 - 1.498)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769D69C3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 w14:paraId="31ACC7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0DB7282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Postoperative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ln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SIRI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3645BF3E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1.328 (1.182 - 1.576)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1AE99CAD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 w14:paraId="2CB9F5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64612B72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Admission Neutrophils, ×10⁹/L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232833D2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1.320 (1.224 - 1.423)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7379A6C7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 w14:paraId="0C4F54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27E3E7C1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Postoperative Neutrophils, ×10⁹/L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6BF94872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1.205 (1.135 - 1.279)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06678DD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 w14:paraId="52C00C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2075DA24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Admission NIHSS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4D020FFD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1.077 (1.046 - 1.110)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24DF7BB5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 w14:paraId="05312C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7CD193C7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Admission GCS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29F05650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0.821 (0.754 - 0.895)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64883870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 w14:paraId="6CBA31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748D65E5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BUN, mmol/L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6956070F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1.231 (1.120 - 1.353)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20AF2A7A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 w14:paraId="04A8D3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729B7B9D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Admission Monocytes, ×10⁹/L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23DD2BE6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3.358 (1.642 - 6.865)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2394149A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 w14:paraId="632F6E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54EDE4F0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Number of passes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75C2FF8F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1.297 (1.093 - 1.538)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73C65EC3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0.00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</w:tr>
      <w:tr w14:paraId="76706C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22648CCE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Admission hs-CRP, mg/L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50945C85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1.034 (1.012 - 1.057)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29C946B5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0.00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</w:tr>
      <w:tr w14:paraId="362200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2F587FD3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Posterior Circulation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0C154FD1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1.816 (1.474 –2.453)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68CCD9A8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0.00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</w:tr>
      <w:tr w14:paraId="6C5FC4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18E7E784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Age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0D6A4DBD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1.020 (1.004 - 1.036)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0DC88025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0.012</w:t>
            </w:r>
          </w:p>
        </w:tc>
      </w:tr>
      <w:tr w14:paraId="655E2E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7C95D3B6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ASPECTS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7B044192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0.850 (0.744 - 0.971)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354149DA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0.01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</w:tr>
      <w:tr w14:paraId="40B82F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61E034E4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AF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62E8656E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1.617 (1.064 - 2.458)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763A15AF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0.02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</w:tr>
      <w:tr w14:paraId="24EF6D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7181B88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HT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14B8C743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3.099 (1.154 - 8.320)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40278F5A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0.02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</w:tr>
      <w:tr w14:paraId="00766B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684A5D89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Creatinine, μmol/L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2245A651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1.006 (1.001 - 1.012)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0ACE36E8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0.034</w:t>
            </w:r>
          </w:p>
        </w:tc>
      </w:tr>
      <w:tr w14:paraId="6885F7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117FF9D7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BMI, kg/m2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59E47824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0.942 (0.890 - 0.997)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32D1ABC2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0.03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</w:tr>
      <w:tr w14:paraId="21E651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7E92D187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Blood glucose, mmol/L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6364F548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0.997 (0.991 - 1.004)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3169436F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0.39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</w:tr>
      <w:tr w14:paraId="34CBA7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082D73D7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Postoperative Monocytes, ×10⁹/L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5A47F0D9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1.661 (1.011 - 2.729)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3D8CF253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0.045</w:t>
            </w:r>
          </w:p>
        </w:tc>
      </w:tr>
      <w:tr w14:paraId="25DAEE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795E294D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Albumin, g/L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79CF4DAA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0.955 (0.910 - 1.003)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1DBA4DE2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0.06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</w:tr>
      <w:tr w14:paraId="5CB2BD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54EC1B67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Postoperative Lymphocytes, ×10⁹/L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669F0B46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0.820 (0.663 - 1.014)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22563CE8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0.067</w:t>
            </w:r>
          </w:p>
        </w:tc>
      </w:tr>
      <w:tr w14:paraId="07E6F1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0EC30A35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Onset-to-door time, min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53B89653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1.005 (1.002 - 1.009)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2A167426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0.021</w:t>
            </w:r>
          </w:p>
        </w:tc>
      </w:tr>
      <w:tr w14:paraId="1BAC38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3777CA58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Admission Lymphocytes, ×10⁹/L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120F6F8F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0.879 (0.750 - 1.030)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47D112E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0.111</w:t>
            </w:r>
          </w:p>
        </w:tc>
      </w:tr>
      <w:tr w14:paraId="636633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7FA772B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Smoking history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424C2728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0.767 (0.521 - 1.127)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7E2E5262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0.17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</w:tr>
      <w:tr w14:paraId="6572E1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60FEF7A2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LAA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1FBD4ACC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0.812 (0.542 - 1.216)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0C227C77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0.31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</w:tr>
      <w:tr w14:paraId="210D66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37D93A71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Male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7FB1382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1.191 (0.811 - 1.748)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69197429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0.37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</w:tr>
      <w:tr w14:paraId="0933FD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19DCE976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Hypertension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4629729A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1.169 (0.802 - 1.705)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78AA3DB1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0.416</w:t>
            </w:r>
          </w:p>
        </w:tc>
      </w:tr>
      <w:tr w14:paraId="217614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7FD6F4FC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Admission Platelets, ×10⁹/L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354ABD37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1.001 (0.998 - 1.003)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35F377B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0.452</w:t>
            </w:r>
          </w:p>
        </w:tc>
      </w:tr>
      <w:tr w14:paraId="7C2E01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76297006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Intravenous Thrombolysis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3A382F1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1.177 (0.750 - 1.848)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77A5D7AE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0.47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</w:tr>
      <w:tr w14:paraId="5A62A0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189BF5CF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Diabetes mellitus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570C5680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1.105 (0.737 - 1.658)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1CB42C37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0.628</w:t>
            </w:r>
          </w:p>
        </w:tc>
      </w:tr>
      <w:tr w14:paraId="0BC8C1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136EDB1A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Postoperative Platelets, ×10⁹/L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5B0A2570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1.003 (0.998 - 1.009)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5DC8434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0.72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</w:tr>
      <w:tr w14:paraId="26CE59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2172A098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Regular drinker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35F709CE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0.918 (0.536 - 1.573)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71893775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0.75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</w:tr>
      <w:tr w14:paraId="2DF135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3E3105A1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Hospital to reperfusion time, min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05EEEF43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1.001 (0.999 - 1.004)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0CC1B02E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0.757</w:t>
            </w:r>
          </w:p>
        </w:tc>
      </w:tr>
      <w:tr w14:paraId="194AD8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6360555B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Previous stroke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19306A1F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1.072 (0.683 - 1.683)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487EB6C4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0.763</w:t>
            </w:r>
          </w:p>
        </w:tc>
      </w:tr>
      <w:tr w14:paraId="50ADAC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18202B61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LDL-C, mmol/L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594CDC82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1.008 (0.929 - 1.094)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59DADE0C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0.84</w:t>
            </w:r>
            <w:r>
              <w:rPr>
                <w:rFonts w:hint="eastAsia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</w:tr>
      <w:tr w14:paraId="104C42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690FB0BC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TC, mmol/L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6E0F4E88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0.989 (0.845 - 1.157)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69B6444D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0.887</w:t>
            </w:r>
          </w:p>
        </w:tc>
      </w:tr>
      <w:tr w14:paraId="22F393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9" w:type="dxa"/>
            <w:tcBorders>
              <w:tl2br w:val="nil"/>
              <w:tr2bl w:val="nil"/>
            </w:tcBorders>
            <w:noWrap w:val="0"/>
            <w:vAlign w:val="top"/>
          </w:tcPr>
          <w:p w14:paraId="13FA47BA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Coronary heart disease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noWrap w:val="0"/>
            <w:vAlign w:val="top"/>
          </w:tcPr>
          <w:p w14:paraId="43373560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1.040 (0.589 - 1.835)</w:t>
            </w:r>
          </w:p>
        </w:tc>
        <w:tc>
          <w:tcPr>
            <w:tcW w:w="2949" w:type="dxa"/>
            <w:tcBorders>
              <w:tl2br w:val="nil"/>
              <w:tr2bl w:val="nil"/>
            </w:tcBorders>
            <w:noWrap w:val="0"/>
            <w:vAlign w:val="top"/>
          </w:tcPr>
          <w:p w14:paraId="2DF142DC">
            <w:pPr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288" w:lineRule="auto"/>
              <w:ind w:left="80" w:leftChars="0" w:right="80" w:rightChars="0" w:firstLine="0" w:firstLineChars="0"/>
              <w:jc w:val="left"/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0.893</w:t>
            </w:r>
          </w:p>
        </w:tc>
      </w:tr>
    </w:tbl>
    <w:p w14:paraId="437D6A5C">
      <w:pPr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80" w:line="288" w:lineRule="auto"/>
        <w:ind w:left="80" w:leftChars="0" w:right="80" w:rightChars="0" w:firstLine="0" w:firstLineChars="0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1"/>
          <w:szCs w:val="21"/>
          <w:u w:val="none"/>
          <w:lang w:val="en-US" w:eastAsia="zh-CN"/>
        </w:rPr>
        <w:t>Abbreviations: OR, odds ratio; CI, confidence interval; WBC, White Blood Cell; ln-SIRI, natural log-transformed systemic inflammatory response index; NIHSS, the National Institutes of Health Stroke Scale; GCS, Glasgow Coma Scale; BUN, blood urea nitrogen; hs-CRP, high-sensitivity C-reactive protein; ASPECTS, Alberta Stroke Program Early CT Score; AF, atrial fibrillation; HT, Hemorrhagic Transformation; BMI, Body Mass Index; LAA, Large Artery Atherosclerosis; LDL-C, low-density lipoprotein cholesterol; TC, Total cholesterol.</w:t>
      </w:r>
    </w:p>
    <w:p w14:paraId="23C709FA">
      <w:pPr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80" w:line="288" w:lineRule="auto"/>
        <w:ind w:left="80" w:leftChars="0" w:right="80" w:rightChars="0" w:firstLine="0" w:firstLineChars="0"/>
        <w:jc w:val="left"/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1"/>
          <w:szCs w:val="21"/>
          <w:u w:val="none"/>
          <w:lang w:val="en-US" w:eastAsia="zh-CN"/>
        </w:rPr>
      </w:pPr>
    </w:p>
    <w:p w14:paraId="2DDB377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578EF"/>
    <w:rsid w:val="0C6A2581"/>
    <w:rsid w:val="3F20694C"/>
    <w:rsid w:val="534704F3"/>
    <w:rsid w:val="592720CA"/>
    <w:rsid w:val="60391307"/>
    <w:rsid w:val="629D1EDE"/>
    <w:rsid w:val="64DC6F84"/>
    <w:rsid w:val="6E9A55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="Calibri" w:cs="Times New Roman"/>
      <w:sz w:val="24"/>
      <w:szCs w:val="22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3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3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="Calibri" w:cs="Times New Roman"/>
      <w:sz w:val="24"/>
      <w:szCs w:val="22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373</Words>
  <Characters>2183</Characters>
  <Lines>0</Lines>
  <Paragraphs>0</Paragraphs>
  <TotalTime>0</TotalTime>
  <ScaleCrop>false</ScaleCrop>
  <LinksUpToDate>false</LinksUpToDate>
  <CharactersWithSpaces>2432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2026-06-05T07:04:17Z</dcterms:created>
  <dc:creator>y'm'q</dc:creator>
  <cp:lastModifiedBy>杨梦琦</cp:lastModifiedBy>
  <dcterms:modified xsi:type="dcterms:W3CDTF">2026-08-06T15:05:57Z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eyJoZGlkIjoiYTc2ZGZiNzZiNDVlOGViOWVmM2JhOTY0NGJkNjUyYzgiLCJ1c2VySWQiOiIzMzk1NDQyNzUifQ==</vt:lpwstr>
  </property>
  <property fmtid="{D5CDD505-2E9C-101B-9397-08002B2CF9AE}" pid="4" name="ICV">
    <vt:lpwstr>5CEF9739F51345A19F85ACA966F63F80_13</vt:lpwstr>
  </property>
</Properties>
</file>