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01F10D" w14:textId="77777777" w:rsidR="0099286C" w:rsidRDefault="003B4BA8">
      <w:pPr>
        <w:spacing w:after="120"/>
      </w:pPr>
      <w:r>
        <w:rPr>
          <w:b/>
          <w:bCs/>
          <w:sz w:val="26"/>
          <w:szCs w:val="26"/>
        </w:rPr>
        <w:t>Supplementary Table. Expanded CFIR 2022–RE-AIM Conceptual Mapping</w:t>
      </w:r>
    </w:p>
    <w:p w14:paraId="2501F10E" w14:textId="77777777" w:rsidR="0099286C" w:rsidRDefault="003B4BA8">
      <w:pPr>
        <w:spacing w:after="60"/>
      </w:pPr>
      <w:r>
        <w:rPr>
          <w:i/>
          <w:iCs/>
          <w:sz w:val="20"/>
          <w:szCs w:val="20"/>
        </w:rPr>
        <w:t>Manuscript: Facilitators and barriers to implementing genetic risk assessment and germline testing services for breast cancer patients in Thailand: a CFIR-guided multisite implementation study.</w:t>
      </w:r>
    </w:p>
    <w:p w14:paraId="2501F10F" w14:textId="4C25D061" w:rsidR="0099286C" w:rsidRDefault="003B4BA8">
      <w:pPr>
        <w:spacing w:after="200"/>
      </w:pPr>
      <w:r>
        <w:rPr>
          <w:sz w:val="20"/>
          <w:szCs w:val="20"/>
        </w:rPr>
        <w:t xml:space="preserve">This table extends the empirical findings-based mapping in Table 3 (main text) into a full conceptual matrix across all five CFIR 2022 domains and all five RE-AIM dimensions. Shaded, non-italic cells indicate linkages empirically grounded in this study's qualitative themes and/or </w:t>
      </w:r>
      <w:bookmarkStart w:id="0" w:name="_GoBack"/>
      <w:bookmarkEnd w:id="0"/>
      <w:r>
        <w:rPr>
          <w:sz w:val="20"/>
          <w:szCs w:val="20"/>
        </w:rPr>
        <w:t>service indicators (with theme reference). Unshaded, italicized cells indicate conceptually relevant linkages that were not directly assessed in this study and are noted as directions for future evaluation, most notably for the Effectiveness and Maintenance dimensions of RE-AIM.</w:t>
      </w:r>
    </w:p>
    <w:tbl>
      <w:tblPr>
        <w:tblW w:w="13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50"/>
        <w:gridCol w:w="2200"/>
        <w:gridCol w:w="2000"/>
        <w:gridCol w:w="2000"/>
        <w:gridCol w:w="2000"/>
        <w:gridCol w:w="2000"/>
        <w:gridCol w:w="1930"/>
      </w:tblGrid>
      <w:tr w:rsidR="0099286C" w:rsidRPr="006536E0" w14:paraId="2501F117" w14:textId="77777777">
        <w:trPr>
          <w:tblHeader/>
        </w:trPr>
        <w:tc>
          <w:tcPr>
            <w:tcW w:w="1550" w:type="dxa"/>
            <w:tcBorders>
              <w:top w:val="single" w:sz="2" w:space="0" w:color="999999"/>
              <w:left w:val="single" w:sz="2" w:space="0" w:color="999999"/>
              <w:bottom w:val="single" w:sz="2" w:space="0" w:color="999999"/>
              <w:right w:val="single" w:sz="2" w:space="0" w:color="999999"/>
            </w:tcBorders>
            <w:shd w:val="clear" w:color="auto" w:fill="D9D9D9"/>
            <w:tcMar>
              <w:top w:w="80" w:type="dxa"/>
              <w:left w:w="90" w:type="dxa"/>
              <w:bottom w:w="80" w:type="dxa"/>
              <w:right w:w="90" w:type="dxa"/>
            </w:tcMar>
            <w:vAlign w:val="center"/>
          </w:tcPr>
          <w:p w14:paraId="2501F110" w14:textId="77777777" w:rsidR="0099286C" w:rsidRPr="006536E0" w:rsidRDefault="003B4BA8">
            <w:pPr>
              <w:rPr>
                <w:sz w:val="16"/>
                <w:szCs w:val="16"/>
              </w:rPr>
            </w:pPr>
            <w:r w:rsidRPr="006536E0">
              <w:rPr>
                <w:rFonts w:cs="Times New Roman"/>
                <w:b/>
                <w:bCs/>
                <w:sz w:val="16"/>
                <w:szCs w:val="16"/>
              </w:rPr>
              <w:t>CFIR 2022 Domain</w:t>
            </w:r>
          </w:p>
        </w:tc>
        <w:tc>
          <w:tcPr>
            <w:tcW w:w="2200" w:type="dxa"/>
            <w:tcBorders>
              <w:top w:val="single" w:sz="2" w:space="0" w:color="999999"/>
              <w:left w:val="single" w:sz="2" w:space="0" w:color="999999"/>
              <w:bottom w:val="single" w:sz="2" w:space="0" w:color="999999"/>
              <w:right w:val="single" w:sz="2" w:space="0" w:color="999999"/>
            </w:tcBorders>
            <w:shd w:val="clear" w:color="auto" w:fill="D9D9D9"/>
            <w:tcMar>
              <w:top w:w="80" w:type="dxa"/>
              <w:left w:w="90" w:type="dxa"/>
              <w:bottom w:w="80" w:type="dxa"/>
              <w:right w:w="90" w:type="dxa"/>
            </w:tcMar>
            <w:vAlign w:val="center"/>
          </w:tcPr>
          <w:p w14:paraId="2501F111" w14:textId="77777777" w:rsidR="0099286C" w:rsidRPr="006536E0" w:rsidRDefault="003B4BA8">
            <w:pPr>
              <w:rPr>
                <w:sz w:val="16"/>
                <w:szCs w:val="16"/>
              </w:rPr>
            </w:pPr>
            <w:r w:rsidRPr="006536E0">
              <w:rPr>
                <w:rFonts w:cs="Times New Roman"/>
                <w:b/>
                <w:bCs/>
                <w:sz w:val="16"/>
                <w:szCs w:val="16"/>
              </w:rPr>
              <w:t>Representative constructs (this study)</w:t>
            </w:r>
          </w:p>
        </w:tc>
        <w:tc>
          <w:tcPr>
            <w:tcW w:w="2000" w:type="dxa"/>
            <w:tcBorders>
              <w:top w:val="single" w:sz="2" w:space="0" w:color="999999"/>
              <w:left w:val="single" w:sz="2" w:space="0" w:color="999999"/>
              <w:bottom w:val="single" w:sz="2" w:space="0" w:color="999999"/>
              <w:right w:val="single" w:sz="2" w:space="0" w:color="999999"/>
            </w:tcBorders>
            <w:shd w:val="clear" w:color="auto" w:fill="D9D9D9"/>
            <w:tcMar>
              <w:top w:w="80" w:type="dxa"/>
              <w:left w:w="90" w:type="dxa"/>
              <w:bottom w:w="80" w:type="dxa"/>
              <w:right w:w="90" w:type="dxa"/>
            </w:tcMar>
            <w:vAlign w:val="center"/>
          </w:tcPr>
          <w:p w14:paraId="2501F112" w14:textId="77777777" w:rsidR="0099286C" w:rsidRPr="006536E0" w:rsidRDefault="003B4BA8">
            <w:pPr>
              <w:rPr>
                <w:sz w:val="16"/>
                <w:szCs w:val="16"/>
              </w:rPr>
            </w:pPr>
            <w:r w:rsidRPr="006536E0">
              <w:rPr>
                <w:rFonts w:cs="Times New Roman"/>
                <w:b/>
                <w:bCs/>
                <w:sz w:val="16"/>
                <w:szCs w:val="16"/>
              </w:rPr>
              <w:t>Reach</w:t>
            </w:r>
          </w:p>
        </w:tc>
        <w:tc>
          <w:tcPr>
            <w:tcW w:w="2000" w:type="dxa"/>
            <w:tcBorders>
              <w:top w:val="single" w:sz="2" w:space="0" w:color="999999"/>
              <w:left w:val="single" w:sz="2" w:space="0" w:color="999999"/>
              <w:bottom w:val="single" w:sz="2" w:space="0" w:color="999999"/>
              <w:right w:val="single" w:sz="2" w:space="0" w:color="999999"/>
            </w:tcBorders>
            <w:shd w:val="clear" w:color="auto" w:fill="D9D9D9"/>
            <w:tcMar>
              <w:top w:w="80" w:type="dxa"/>
              <w:left w:w="90" w:type="dxa"/>
              <w:bottom w:w="80" w:type="dxa"/>
              <w:right w:w="90" w:type="dxa"/>
            </w:tcMar>
            <w:vAlign w:val="center"/>
          </w:tcPr>
          <w:p w14:paraId="2501F113" w14:textId="77777777" w:rsidR="0099286C" w:rsidRPr="006536E0" w:rsidRDefault="003B4BA8">
            <w:pPr>
              <w:rPr>
                <w:sz w:val="16"/>
                <w:szCs w:val="16"/>
              </w:rPr>
            </w:pPr>
            <w:r w:rsidRPr="006536E0">
              <w:rPr>
                <w:rFonts w:cs="Times New Roman"/>
                <w:b/>
                <w:bCs/>
                <w:sz w:val="16"/>
                <w:szCs w:val="16"/>
              </w:rPr>
              <w:t>Effectiveness</w:t>
            </w:r>
          </w:p>
        </w:tc>
        <w:tc>
          <w:tcPr>
            <w:tcW w:w="2000" w:type="dxa"/>
            <w:tcBorders>
              <w:top w:val="single" w:sz="2" w:space="0" w:color="999999"/>
              <w:left w:val="single" w:sz="2" w:space="0" w:color="999999"/>
              <w:bottom w:val="single" w:sz="2" w:space="0" w:color="999999"/>
              <w:right w:val="single" w:sz="2" w:space="0" w:color="999999"/>
            </w:tcBorders>
            <w:shd w:val="clear" w:color="auto" w:fill="D9D9D9"/>
            <w:tcMar>
              <w:top w:w="80" w:type="dxa"/>
              <w:left w:w="90" w:type="dxa"/>
              <w:bottom w:w="80" w:type="dxa"/>
              <w:right w:w="90" w:type="dxa"/>
            </w:tcMar>
            <w:vAlign w:val="center"/>
          </w:tcPr>
          <w:p w14:paraId="2501F114" w14:textId="77777777" w:rsidR="0099286C" w:rsidRPr="006536E0" w:rsidRDefault="003B4BA8">
            <w:pPr>
              <w:rPr>
                <w:sz w:val="16"/>
                <w:szCs w:val="16"/>
              </w:rPr>
            </w:pPr>
            <w:r w:rsidRPr="006536E0">
              <w:rPr>
                <w:rFonts w:cs="Times New Roman"/>
                <w:b/>
                <w:bCs/>
                <w:sz w:val="16"/>
                <w:szCs w:val="16"/>
              </w:rPr>
              <w:t>Adoption</w:t>
            </w:r>
          </w:p>
        </w:tc>
        <w:tc>
          <w:tcPr>
            <w:tcW w:w="2000" w:type="dxa"/>
            <w:tcBorders>
              <w:top w:val="single" w:sz="2" w:space="0" w:color="999999"/>
              <w:left w:val="single" w:sz="2" w:space="0" w:color="999999"/>
              <w:bottom w:val="single" w:sz="2" w:space="0" w:color="999999"/>
              <w:right w:val="single" w:sz="2" w:space="0" w:color="999999"/>
            </w:tcBorders>
            <w:shd w:val="clear" w:color="auto" w:fill="D9D9D9"/>
            <w:tcMar>
              <w:top w:w="80" w:type="dxa"/>
              <w:left w:w="90" w:type="dxa"/>
              <w:bottom w:w="80" w:type="dxa"/>
              <w:right w:w="90" w:type="dxa"/>
            </w:tcMar>
            <w:vAlign w:val="center"/>
          </w:tcPr>
          <w:p w14:paraId="2501F115" w14:textId="77777777" w:rsidR="0099286C" w:rsidRPr="006536E0" w:rsidRDefault="003B4BA8">
            <w:pPr>
              <w:rPr>
                <w:sz w:val="16"/>
                <w:szCs w:val="16"/>
              </w:rPr>
            </w:pPr>
            <w:r w:rsidRPr="006536E0">
              <w:rPr>
                <w:rFonts w:cs="Times New Roman"/>
                <w:b/>
                <w:bCs/>
                <w:sz w:val="16"/>
                <w:szCs w:val="16"/>
              </w:rPr>
              <w:t>Implementation</w:t>
            </w:r>
          </w:p>
        </w:tc>
        <w:tc>
          <w:tcPr>
            <w:tcW w:w="1930" w:type="dxa"/>
            <w:tcBorders>
              <w:top w:val="single" w:sz="2" w:space="0" w:color="999999"/>
              <w:left w:val="single" w:sz="2" w:space="0" w:color="999999"/>
              <w:bottom w:val="single" w:sz="2" w:space="0" w:color="999999"/>
              <w:right w:val="single" w:sz="2" w:space="0" w:color="999999"/>
            </w:tcBorders>
            <w:shd w:val="clear" w:color="auto" w:fill="D9D9D9"/>
            <w:tcMar>
              <w:top w:w="80" w:type="dxa"/>
              <w:left w:w="90" w:type="dxa"/>
              <w:bottom w:w="80" w:type="dxa"/>
              <w:right w:w="90" w:type="dxa"/>
            </w:tcMar>
            <w:vAlign w:val="center"/>
          </w:tcPr>
          <w:p w14:paraId="2501F116" w14:textId="77777777" w:rsidR="0099286C" w:rsidRPr="006536E0" w:rsidRDefault="003B4BA8">
            <w:pPr>
              <w:rPr>
                <w:sz w:val="16"/>
                <w:szCs w:val="16"/>
              </w:rPr>
            </w:pPr>
            <w:r w:rsidRPr="006536E0">
              <w:rPr>
                <w:rFonts w:cs="Times New Roman"/>
                <w:b/>
                <w:bCs/>
                <w:sz w:val="16"/>
                <w:szCs w:val="16"/>
              </w:rPr>
              <w:t>Maintenance</w:t>
            </w:r>
          </w:p>
        </w:tc>
      </w:tr>
      <w:tr w:rsidR="0099286C" w:rsidRPr="006536E0" w14:paraId="2501F11F" w14:textId="77777777">
        <w:tc>
          <w:tcPr>
            <w:tcW w:w="1550" w:type="dxa"/>
            <w:tcBorders>
              <w:top w:val="single" w:sz="2" w:space="0" w:color="999999"/>
              <w:left w:val="single" w:sz="2" w:space="0" w:color="999999"/>
              <w:bottom w:val="single" w:sz="2" w:space="0" w:color="999999"/>
              <w:right w:val="single" w:sz="2" w:space="0" w:color="999999"/>
            </w:tcBorders>
            <w:tcMar>
              <w:top w:w="70" w:type="dxa"/>
              <w:left w:w="90" w:type="dxa"/>
              <w:bottom w:w="70" w:type="dxa"/>
              <w:right w:w="90" w:type="dxa"/>
            </w:tcMar>
          </w:tcPr>
          <w:p w14:paraId="2501F118" w14:textId="77777777" w:rsidR="0099286C" w:rsidRPr="006536E0" w:rsidRDefault="003B4BA8">
            <w:pPr>
              <w:rPr>
                <w:sz w:val="16"/>
                <w:szCs w:val="16"/>
              </w:rPr>
            </w:pPr>
            <w:r w:rsidRPr="006536E0">
              <w:rPr>
                <w:rFonts w:cs="Times New Roman"/>
                <w:b/>
                <w:bCs/>
                <w:sz w:val="16"/>
                <w:szCs w:val="16"/>
              </w:rPr>
              <w:t>Innovation</w:t>
            </w:r>
          </w:p>
        </w:tc>
        <w:tc>
          <w:tcPr>
            <w:tcW w:w="2200" w:type="dxa"/>
            <w:tcBorders>
              <w:top w:val="single" w:sz="2" w:space="0" w:color="999999"/>
              <w:left w:val="single" w:sz="2" w:space="0" w:color="999999"/>
              <w:bottom w:val="single" w:sz="2" w:space="0" w:color="999999"/>
              <w:right w:val="single" w:sz="2" w:space="0" w:color="999999"/>
            </w:tcBorders>
            <w:tcMar>
              <w:top w:w="70" w:type="dxa"/>
              <w:left w:w="90" w:type="dxa"/>
              <w:bottom w:w="70" w:type="dxa"/>
              <w:right w:w="90" w:type="dxa"/>
            </w:tcMar>
          </w:tcPr>
          <w:p w14:paraId="2501F119" w14:textId="77777777" w:rsidR="0099286C" w:rsidRPr="006536E0" w:rsidRDefault="003B4BA8">
            <w:pPr>
              <w:rPr>
                <w:sz w:val="16"/>
                <w:szCs w:val="16"/>
              </w:rPr>
            </w:pPr>
            <w:r w:rsidRPr="006536E0">
              <w:rPr>
                <w:rFonts w:cs="Times New Roman"/>
                <w:sz w:val="16"/>
                <w:szCs w:val="16"/>
              </w:rPr>
              <w:t>Innovation Design; Relative Advantage; Complexity; Cost</w:t>
            </w:r>
          </w:p>
        </w:tc>
        <w:tc>
          <w:tcPr>
            <w:tcW w:w="2000" w:type="dxa"/>
            <w:tcBorders>
              <w:top w:val="single" w:sz="2" w:space="0" w:color="999999"/>
              <w:left w:val="single" w:sz="2" w:space="0" w:color="999999"/>
              <w:bottom w:val="single" w:sz="2" w:space="0" w:color="999999"/>
              <w:right w:val="single" w:sz="2" w:space="0" w:color="999999"/>
            </w:tcBorders>
            <w:tcMar>
              <w:top w:w="70" w:type="dxa"/>
              <w:left w:w="90" w:type="dxa"/>
              <w:bottom w:w="70" w:type="dxa"/>
              <w:right w:w="90" w:type="dxa"/>
            </w:tcMar>
          </w:tcPr>
          <w:p w14:paraId="2501F11A" w14:textId="77777777" w:rsidR="0099286C" w:rsidRPr="006536E0" w:rsidRDefault="003B4BA8">
            <w:pPr>
              <w:rPr>
                <w:sz w:val="16"/>
                <w:szCs w:val="16"/>
              </w:rPr>
            </w:pPr>
            <w:r w:rsidRPr="006536E0">
              <w:rPr>
                <w:rFonts w:cs="Times New Roman"/>
                <w:i/>
                <w:iCs/>
                <w:sz w:val="16"/>
                <w:szCs w:val="16"/>
              </w:rPr>
              <w:t>Test complexity/cost as a conceptual barrier to patient uptake, overlapping with Outer Setting financing (not separately measured).</w:t>
            </w:r>
          </w:p>
        </w:tc>
        <w:tc>
          <w:tcPr>
            <w:tcW w:w="2000" w:type="dxa"/>
            <w:tcBorders>
              <w:top w:val="single" w:sz="2" w:space="0" w:color="999999"/>
              <w:left w:val="single" w:sz="2" w:space="0" w:color="999999"/>
              <w:bottom w:val="single" w:sz="2" w:space="0" w:color="999999"/>
              <w:right w:val="single" w:sz="2" w:space="0" w:color="999999"/>
            </w:tcBorders>
            <w:tcMar>
              <w:top w:w="70" w:type="dxa"/>
              <w:left w:w="90" w:type="dxa"/>
              <w:bottom w:w="70" w:type="dxa"/>
              <w:right w:w="90" w:type="dxa"/>
            </w:tcMar>
          </w:tcPr>
          <w:p w14:paraId="2501F11B" w14:textId="77777777" w:rsidR="0099286C" w:rsidRPr="006536E0" w:rsidRDefault="003B4BA8">
            <w:pPr>
              <w:rPr>
                <w:sz w:val="16"/>
                <w:szCs w:val="16"/>
              </w:rPr>
            </w:pPr>
            <w:r w:rsidRPr="006536E0">
              <w:rPr>
                <w:rFonts w:cs="Times New Roman"/>
                <w:i/>
                <w:iCs/>
                <w:sz w:val="16"/>
                <w:szCs w:val="16"/>
              </w:rPr>
              <w:t>Clinical/analytic validity of germline testing assumed established; not assessed in this study.</w:t>
            </w:r>
          </w:p>
        </w:tc>
        <w:tc>
          <w:tcPr>
            <w:tcW w:w="2000" w:type="dxa"/>
            <w:tcBorders>
              <w:top w:val="single" w:sz="2" w:space="0" w:color="999999"/>
              <w:left w:val="single" w:sz="2" w:space="0" w:color="999999"/>
              <w:bottom w:val="single" w:sz="2" w:space="0" w:color="999999"/>
              <w:right w:val="single" w:sz="2" w:space="0" w:color="999999"/>
            </w:tcBorders>
            <w:shd w:val="clear" w:color="auto" w:fill="EAF3EA"/>
            <w:tcMar>
              <w:top w:w="70" w:type="dxa"/>
              <w:left w:w="90" w:type="dxa"/>
              <w:bottom w:w="70" w:type="dxa"/>
              <w:right w:w="90" w:type="dxa"/>
            </w:tcMar>
          </w:tcPr>
          <w:p w14:paraId="2501F11C" w14:textId="77777777" w:rsidR="0099286C" w:rsidRPr="006536E0" w:rsidRDefault="003B4BA8">
            <w:pPr>
              <w:rPr>
                <w:sz w:val="16"/>
                <w:szCs w:val="16"/>
              </w:rPr>
            </w:pPr>
            <w:r w:rsidRPr="006536E0">
              <w:rPr>
                <w:rFonts w:cs="Times New Roman"/>
                <w:sz w:val="16"/>
                <w:szCs w:val="16"/>
              </w:rPr>
              <w:t>Perceived relative advantage and manageable complexity of the testing pathway support clinician adoption (Theme 2).</w:t>
            </w:r>
          </w:p>
        </w:tc>
        <w:tc>
          <w:tcPr>
            <w:tcW w:w="2000" w:type="dxa"/>
            <w:tcBorders>
              <w:top w:val="single" w:sz="2" w:space="0" w:color="999999"/>
              <w:left w:val="single" w:sz="2" w:space="0" w:color="999999"/>
              <w:bottom w:val="single" w:sz="2" w:space="0" w:color="999999"/>
              <w:right w:val="single" w:sz="2" w:space="0" w:color="999999"/>
            </w:tcBorders>
            <w:shd w:val="clear" w:color="auto" w:fill="EAF3EA"/>
            <w:tcMar>
              <w:top w:w="70" w:type="dxa"/>
              <w:left w:w="90" w:type="dxa"/>
              <w:bottom w:w="70" w:type="dxa"/>
              <w:right w:w="90" w:type="dxa"/>
            </w:tcMar>
          </w:tcPr>
          <w:p w14:paraId="2501F11D" w14:textId="77777777" w:rsidR="0099286C" w:rsidRPr="006536E0" w:rsidRDefault="003B4BA8">
            <w:pPr>
              <w:rPr>
                <w:sz w:val="16"/>
                <w:szCs w:val="16"/>
              </w:rPr>
            </w:pPr>
            <w:r w:rsidRPr="006536E0">
              <w:rPr>
                <w:rFonts w:cs="Times New Roman"/>
                <w:sz w:val="16"/>
                <w:szCs w:val="16"/>
              </w:rPr>
              <w:t>Turnaround time and result complexity affect how consistently results translate into clinical action (Theme 4).</w:t>
            </w:r>
          </w:p>
        </w:tc>
        <w:tc>
          <w:tcPr>
            <w:tcW w:w="1930" w:type="dxa"/>
            <w:tcBorders>
              <w:top w:val="single" w:sz="2" w:space="0" w:color="999999"/>
              <w:left w:val="single" w:sz="2" w:space="0" w:color="999999"/>
              <w:bottom w:val="single" w:sz="2" w:space="0" w:color="999999"/>
              <w:right w:val="single" w:sz="2" w:space="0" w:color="999999"/>
            </w:tcBorders>
            <w:tcMar>
              <w:top w:w="70" w:type="dxa"/>
              <w:left w:w="90" w:type="dxa"/>
              <w:bottom w:w="70" w:type="dxa"/>
              <w:right w:w="90" w:type="dxa"/>
            </w:tcMar>
          </w:tcPr>
          <w:p w14:paraId="2501F11E" w14:textId="77777777" w:rsidR="0099286C" w:rsidRPr="006536E0" w:rsidRDefault="003B4BA8">
            <w:pPr>
              <w:rPr>
                <w:sz w:val="16"/>
                <w:szCs w:val="16"/>
              </w:rPr>
            </w:pPr>
            <w:r w:rsidRPr="006536E0">
              <w:rPr>
                <w:rFonts w:cs="Times New Roman"/>
                <w:i/>
                <w:iCs/>
                <w:sz w:val="16"/>
                <w:szCs w:val="16"/>
              </w:rPr>
              <w:t>Sustained perceived value of the innovation over time not assessed; flagged as a future research direction.</w:t>
            </w:r>
          </w:p>
        </w:tc>
      </w:tr>
      <w:tr w:rsidR="0099286C" w:rsidRPr="006536E0" w14:paraId="2501F127" w14:textId="77777777">
        <w:tc>
          <w:tcPr>
            <w:tcW w:w="1550" w:type="dxa"/>
            <w:tcBorders>
              <w:top w:val="single" w:sz="2" w:space="0" w:color="999999"/>
              <w:left w:val="single" w:sz="2" w:space="0" w:color="999999"/>
              <w:bottom w:val="single" w:sz="2" w:space="0" w:color="999999"/>
              <w:right w:val="single" w:sz="2" w:space="0" w:color="999999"/>
            </w:tcBorders>
            <w:tcMar>
              <w:top w:w="70" w:type="dxa"/>
              <w:left w:w="90" w:type="dxa"/>
              <w:bottom w:w="70" w:type="dxa"/>
              <w:right w:w="90" w:type="dxa"/>
            </w:tcMar>
          </w:tcPr>
          <w:p w14:paraId="2501F120" w14:textId="77777777" w:rsidR="0099286C" w:rsidRPr="006536E0" w:rsidRDefault="003B4BA8">
            <w:pPr>
              <w:rPr>
                <w:sz w:val="16"/>
                <w:szCs w:val="16"/>
              </w:rPr>
            </w:pPr>
            <w:r w:rsidRPr="006536E0">
              <w:rPr>
                <w:rFonts w:cs="Times New Roman"/>
                <w:b/>
                <w:bCs/>
                <w:sz w:val="16"/>
                <w:szCs w:val="16"/>
              </w:rPr>
              <w:t>Outer Setting</w:t>
            </w:r>
          </w:p>
        </w:tc>
        <w:tc>
          <w:tcPr>
            <w:tcW w:w="2200" w:type="dxa"/>
            <w:tcBorders>
              <w:top w:val="single" w:sz="2" w:space="0" w:color="999999"/>
              <w:left w:val="single" w:sz="2" w:space="0" w:color="999999"/>
              <w:bottom w:val="single" w:sz="2" w:space="0" w:color="999999"/>
              <w:right w:val="single" w:sz="2" w:space="0" w:color="999999"/>
            </w:tcBorders>
            <w:tcMar>
              <w:top w:w="70" w:type="dxa"/>
              <w:left w:w="90" w:type="dxa"/>
              <w:bottom w:w="70" w:type="dxa"/>
              <w:right w:w="90" w:type="dxa"/>
            </w:tcMar>
          </w:tcPr>
          <w:p w14:paraId="2501F121" w14:textId="77777777" w:rsidR="0099286C" w:rsidRPr="006536E0" w:rsidRDefault="003B4BA8">
            <w:pPr>
              <w:rPr>
                <w:sz w:val="16"/>
                <w:szCs w:val="16"/>
              </w:rPr>
            </w:pPr>
            <w:r w:rsidRPr="006536E0">
              <w:rPr>
                <w:rFonts w:cs="Times New Roman"/>
                <w:sz w:val="16"/>
                <w:szCs w:val="16"/>
              </w:rPr>
              <w:t>Policies &amp; Laws (NHSO coverage); Financing; Local Conditions; Partnerships &amp; Connections</w:t>
            </w:r>
          </w:p>
        </w:tc>
        <w:tc>
          <w:tcPr>
            <w:tcW w:w="2000" w:type="dxa"/>
            <w:tcBorders>
              <w:top w:val="single" w:sz="2" w:space="0" w:color="999999"/>
              <w:left w:val="single" w:sz="2" w:space="0" w:color="999999"/>
              <w:bottom w:val="single" w:sz="2" w:space="0" w:color="999999"/>
              <w:right w:val="single" w:sz="2" w:space="0" w:color="999999"/>
            </w:tcBorders>
            <w:shd w:val="clear" w:color="auto" w:fill="EAF3EA"/>
            <w:tcMar>
              <w:top w:w="70" w:type="dxa"/>
              <w:left w:w="90" w:type="dxa"/>
              <w:bottom w:w="70" w:type="dxa"/>
              <w:right w:w="90" w:type="dxa"/>
            </w:tcMar>
          </w:tcPr>
          <w:p w14:paraId="2501F122" w14:textId="77777777" w:rsidR="0099286C" w:rsidRPr="006536E0" w:rsidRDefault="003B4BA8">
            <w:pPr>
              <w:rPr>
                <w:sz w:val="16"/>
                <w:szCs w:val="16"/>
              </w:rPr>
            </w:pPr>
            <w:r w:rsidRPr="006536E0">
              <w:rPr>
                <w:rFonts w:cs="Times New Roman"/>
                <w:sz w:val="16"/>
                <w:szCs w:val="16"/>
              </w:rPr>
              <w:t>National benefit coverage and eligibility documentation are the principal determinants of who reaches testing (Theme 1).</w:t>
            </w:r>
          </w:p>
        </w:tc>
        <w:tc>
          <w:tcPr>
            <w:tcW w:w="2000" w:type="dxa"/>
            <w:tcBorders>
              <w:top w:val="single" w:sz="2" w:space="0" w:color="999999"/>
              <w:left w:val="single" w:sz="2" w:space="0" w:color="999999"/>
              <w:bottom w:val="single" w:sz="2" w:space="0" w:color="999999"/>
              <w:right w:val="single" w:sz="2" w:space="0" w:color="999999"/>
            </w:tcBorders>
            <w:tcMar>
              <w:top w:w="70" w:type="dxa"/>
              <w:left w:w="90" w:type="dxa"/>
              <w:bottom w:w="70" w:type="dxa"/>
              <w:right w:w="90" w:type="dxa"/>
            </w:tcMar>
          </w:tcPr>
          <w:p w14:paraId="2501F123" w14:textId="77777777" w:rsidR="0099286C" w:rsidRPr="006536E0" w:rsidRDefault="003B4BA8">
            <w:pPr>
              <w:rPr>
                <w:sz w:val="16"/>
                <w:szCs w:val="16"/>
              </w:rPr>
            </w:pPr>
            <w:r w:rsidRPr="006536E0">
              <w:rPr>
                <w:rFonts w:cs="Times New Roman"/>
                <w:i/>
                <w:iCs/>
                <w:sz w:val="16"/>
                <w:szCs w:val="16"/>
              </w:rPr>
              <w:t>External quality assurance/laboratory accreditation policies not evaluated.</w:t>
            </w:r>
          </w:p>
        </w:tc>
        <w:tc>
          <w:tcPr>
            <w:tcW w:w="2000" w:type="dxa"/>
            <w:tcBorders>
              <w:top w:val="single" w:sz="2" w:space="0" w:color="999999"/>
              <w:left w:val="single" w:sz="2" w:space="0" w:color="999999"/>
              <w:bottom w:val="single" w:sz="2" w:space="0" w:color="999999"/>
              <w:right w:val="single" w:sz="2" w:space="0" w:color="999999"/>
            </w:tcBorders>
            <w:tcMar>
              <w:top w:w="70" w:type="dxa"/>
              <w:left w:w="90" w:type="dxa"/>
              <w:bottom w:w="70" w:type="dxa"/>
              <w:right w:w="90" w:type="dxa"/>
            </w:tcMar>
          </w:tcPr>
          <w:p w14:paraId="2501F124" w14:textId="77777777" w:rsidR="0099286C" w:rsidRPr="006536E0" w:rsidRDefault="003B4BA8">
            <w:pPr>
              <w:rPr>
                <w:sz w:val="16"/>
                <w:szCs w:val="16"/>
              </w:rPr>
            </w:pPr>
            <w:r w:rsidRPr="006536E0">
              <w:rPr>
                <w:rFonts w:cs="Times New Roman"/>
                <w:i/>
                <w:iCs/>
                <w:sz w:val="16"/>
                <w:szCs w:val="16"/>
              </w:rPr>
              <w:t>Referral norms may be shaped by external policy signals; not directly measured in this study.</w:t>
            </w:r>
          </w:p>
        </w:tc>
        <w:tc>
          <w:tcPr>
            <w:tcW w:w="2000" w:type="dxa"/>
            <w:tcBorders>
              <w:top w:val="single" w:sz="2" w:space="0" w:color="999999"/>
              <w:left w:val="single" w:sz="2" w:space="0" w:color="999999"/>
              <w:bottom w:val="single" w:sz="2" w:space="0" w:color="999999"/>
              <w:right w:val="single" w:sz="2" w:space="0" w:color="999999"/>
            </w:tcBorders>
            <w:shd w:val="clear" w:color="auto" w:fill="EAF3EA"/>
            <w:tcMar>
              <w:top w:w="70" w:type="dxa"/>
              <w:left w:w="90" w:type="dxa"/>
              <w:bottom w:w="70" w:type="dxa"/>
              <w:right w:w="90" w:type="dxa"/>
            </w:tcMar>
          </w:tcPr>
          <w:p w14:paraId="2501F125" w14:textId="77777777" w:rsidR="0099286C" w:rsidRPr="006536E0" w:rsidRDefault="003B4BA8">
            <w:pPr>
              <w:rPr>
                <w:sz w:val="16"/>
                <w:szCs w:val="16"/>
              </w:rPr>
            </w:pPr>
            <w:r w:rsidRPr="006536E0">
              <w:rPr>
                <w:rFonts w:cs="Times New Roman"/>
                <w:sz w:val="16"/>
                <w:szCs w:val="16"/>
              </w:rPr>
              <w:t>Reimbursement rules and coverage gaps (e.g., non-BRCA genes) shape which results are implemented into care (Theme 1).</w:t>
            </w:r>
          </w:p>
        </w:tc>
        <w:tc>
          <w:tcPr>
            <w:tcW w:w="1930" w:type="dxa"/>
            <w:tcBorders>
              <w:top w:val="single" w:sz="2" w:space="0" w:color="999999"/>
              <w:left w:val="single" w:sz="2" w:space="0" w:color="999999"/>
              <w:bottom w:val="single" w:sz="2" w:space="0" w:color="999999"/>
              <w:right w:val="single" w:sz="2" w:space="0" w:color="999999"/>
            </w:tcBorders>
            <w:tcMar>
              <w:top w:w="70" w:type="dxa"/>
              <w:left w:w="90" w:type="dxa"/>
              <w:bottom w:w="70" w:type="dxa"/>
              <w:right w:w="90" w:type="dxa"/>
            </w:tcMar>
          </w:tcPr>
          <w:p w14:paraId="2501F126" w14:textId="77777777" w:rsidR="0099286C" w:rsidRPr="006536E0" w:rsidRDefault="003B4BA8">
            <w:pPr>
              <w:rPr>
                <w:sz w:val="16"/>
                <w:szCs w:val="16"/>
              </w:rPr>
            </w:pPr>
            <w:r w:rsidRPr="006536E0">
              <w:rPr>
                <w:rFonts w:cs="Times New Roman"/>
                <w:i/>
                <w:iCs/>
                <w:sz w:val="16"/>
                <w:szCs w:val="16"/>
              </w:rPr>
              <w:t>Policy and funding stability required for sustained service delivery; not assessed – future direction.</w:t>
            </w:r>
          </w:p>
        </w:tc>
      </w:tr>
      <w:tr w:rsidR="0099286C" w:rsidRPr="006536E0" w14:paraId="2501F12F" w14:textId="77777777">
        <w:tc>
          <w:tcPr>
            <w:tcW w:w="1550" w:type="dxa"/>
            <w:tcBorders>
              <w:top w:val="single" w:sz="2" w:space="0" w:color="999999"/>
              <w:left w:val="single" w:sz="2" w:space="0" w:color="999999"/>
              <w:bottom w:val="single" w:sz="2" w:space="0" w:color="999999"/>
              <w:right w:val="single" w:sz="2" w:space="0" w:color="999999"/>
            </w:tcBorders>
            <w:tcMar>
              <w:top w:w="70" w:type="dxa"/>
              <w:left w:w="90" w:type="dxa"/>
              <w:bottom w:w="70" w:type="dxa"/>
              <w:right w:w="90" w:type="dxa"/>
            </w:tcMar>
          </w:tcPr>
          <w:p w14:paraId="2501F128" w14:textId="77777777" w:rsidR="0099286C" w:rsidRPr="006536E0" w:rsidRDefault="003B4BA8">
            <w:pPr>
              <w:rPr>
                <w:sz w:val="16"/>
                <w:szCs w:val="16"/>
              </w:rPr>
            </w:pPr>
            <w:r w:rsidRPr="006536E0">
              <w:rPr>
                <w:rFonts w:cs="Times New Roman"/>
                <w:b/>
                <w:bCs/>
                <w:sz w:val="16"/>
                <w:szCs w:val="16"/>
              </w:rPr>
              <w:t>Inner Setting</w:t>
            </w:r>
          </w:p>
        </w:tc>
        <w:tc>
          <w:tcPr>
            <w:tcW w:w="2200" w:type="dxa"/>
            <w:tcBorders>
              <w:top w:val="single" w:sz="2" w:space="0" w:color="999999"/>
              <w:left w:val="single" w:sz="2" w:space="0" w:color="999999"/>
              <w:bottom w:val="single" w:sz="2" w:space="0" w:color="999999"/>
              <w:right w:val="single" w:sz="2" w:space="0" w:color="999999"/>
            </w:tcBorders>
            <w:tcMar>
              <w:top w:w="70" w:type="dxa"/>
              <w:left w:w="90" w:type="dxa"/>
              <w:bottom w:w="70" w:type="dxa"/>
              <w:right w:w="90" w:type="dxa"/>
            </w:tcMar>
          </w:tcPr>
          <w:p w14:paraId="2501F129" w14:textId="77777777" w:rsidR="0099286C" w:rsidRPr="006536E0" w:rsidRDefault="003B4BA8">
            <w:pPr>
              <w:rPr>
                <w:sz w:val="16"/>
                <w:szCs w:val="16"/>
              </w:rPr>
            </w:pPr>
            <w:r w:rsidRPr="006536E0">
              <w:rPr>
                <w:rFonts w:cs="Times New Roman"/>
                <w:sz w:val="16"/>
                <w:szCs w:val="16"/>
              </w:rPr>
              <w:t>Available Resources; Work Infrastructure; Access to Knowledge &amp; Information; Leadership Engagement</w:t>
            </w:r>
          </w:p>
        </w:tc>
        <w:tc>
          <w:tcPr>
            <w:tcW w:w="2000" w:type="dxa"/>
            <w:tcBorders>
              <w:top w:val="single" w:sz="2" w:space="0" w:color="999999"/>
              <w:left w:val="single" w:sz="2" w:space="0" w:color="999999"/>
              <w:bottom w:val="single" w:sz="2" w:space="0" w:color="999999"/>
              <w:right w:val="single" w:sz="2" w:space="0" w:color="999999"/>
            </w:tcBorders>
            <w:shd w:val="clear" w:color="auto" w:fill="EAF3EA"/>
            <w:tcMar>
              <w:top w:w="70" w:type="dxa"/>
              <w:left w:w="90" w:type="dxa"/>
              <w:bottom w:w="70" w:type="dxa"/>
              <w:right w:w="90" w:type="dxa"/>
            </w:tcMar>
          </w:tcPr>
          <w:p w14:paraId="2501F12A" w14:textId="77777777" w:rsidR="0099286C" w:rsidRPr="006536E0" w:rsidRDefault="003B4BA8">
            <w:pPr>
              <w:rPr>
                <w:sz w:val="16"/>
                <w:szCs w:val="16"/>
              </w:rPr>
            </w:pPr>
            <w:r w:rsidRPr="006536E0">
              <w:rPr>
                <w:rFonts w:cs="Times New Roman"/>
                <w:sz w:val="16"/>
                <w:szCs w:val="16"/>
              </w:rPr>
              <w:t>Genetic counseling capacity indirectly limits how many patients can be processed through the pathway (Theme 3).</w:t>
            </w:r>
          </w:p>
        </w:tc>
        <w:tc>
          <w:tcPr>
            <w:tcW w:w="2000" w:type="dxa"/>
            <w:tcBorders>
              <w:top w:val="single" w:sz="2" w:space="0" w:color="999999"/>
              <w:left w:val="single" w:sz="2" w:space="0" w:color="999999"/>
              <w:bottom w:val="single" w:sz="2" w:space="0" w:color="999999"/>
              <w:right w:val="single" w:sz="2" w:space="0" w:color="999999"/>
            </w:tcBorders>
            <w:tcMar>
              <w:top w:w="70" w:type="dxa"/>
              <w:left w:w="90" w:type="dxa"/>
              <w:bottom w:w="70" w:type="dxa"/>
              <w:right w:w="90" w:type="dxa"/>
            </w:tcMar>
          </w:tcPr>
          <w:p w14:paraId="2501F12B" w14:textId="77777777" w:rsidR="0099286C" w:rsidRPr="006536E0" w:rsidRDefault="003B4BA8">
            <w:pPr>
              <w:rPr>
                <w:sz w:val="16"/>
                <w:szCs w:val="16"/>
              </w:rPr>
            </w:pPr>
            <w:r w:rsidRPr="006536E0">
              <w:rPr>
                <w:rFonts w:cs="Times New Roman"/>
                <w:i/>
                <w:iCs/>
                <w:sz w:val="16"/>
                <w:szCs w:val="16"/>
              </w:rPr>
              <w:t>Not directly assessed in this study.</w:t>
            </w:r>
          </w:p>
        </w:tc>
        <w:tc>
          <w:tcPr>
            <w:tcW w:w="2000" w:type="dxa"/>
            <w:tcBorders>
              <w:top w:val="single" w:sz="2" w:space="0" w:color="999999"/>
              <w:left w:val="single" w:sz="2" w:space="0" w:color="999999"/>
              <w:bottom w:val="single" w:sz="2" w:space="0" w:color="999999"/>
              <w:right w:val="single" w:sz="2" w:space="0" w:color="999999"/>
            </w:tcBorders>
            <w:shd w:val="clear" w:color="auto" w:fill="EAF3EA"/>
            <w:tcMar>
              <w:top w:w="70" w:type="dxa"/>
              <w:left w:w="90" w:type="dxa"/>
              <w:bottom w:w="70" w:type="dxa"/>
              <w:right w:w="90" w:type="dxa"/>
            </w:tcMar>
          </w:tcPr>
          <w:p w14:paraId="2501F12C" w14:textId="77777777" w:rsidR="0099286C" w:rsidRPr="006536E0" w:rsidRDefault="003B4BA8">
            <w:pPr>
              <w:rPr>
                <w:sz w:val="16"/>
                <w:szCs w:val="16"/>
              </w:rPr>
            </w:pPr>
            <w:r w:rsidRPr="006536E0">
              <w:rPr>
                <w:rFonts w:cs="Times New Roman"/>
                <w:sz w:val="16"/>
                <w:szCs w:val="16"/>
              </w:rPr>
              <w:t>Workforce capacity and leadership engagement are strongly linked to consistent adoption across sites (Theme 3).</w:t>
            </w:r>
          </w:p>
        </w:tc>
        <w:tc>
          <w:tcPr>
            <w:tcW w:w="2000" w:type="dxa"/>
            <w:tcBorders>
              <w:top w:val="single" w:sz="2" w:space="0" w:color="999999"/>
              <w:left w:val="single" w:sz="2" w:space="0" w:color="999999"/>
              <w:bottom w:val="single" w:sz="2" w:space="0" w:color="999999"/>
              <w:right w:val="single" w:sz="2" w:space="0" w:color="999999"/>
            </w:tcBorders>
            <w:shd w:val="clear" w:color="auto" w:fill="EAF3EA"/>
            <w:tcMar>
              <w:top w:w="70" w:type="dxa"/>
              <w:left w:w="90" w:type="dxa"/>
              <w:bottom w:w="70" w:type="dxa"/>
              <w:right w:w="90" w:type="dxa"/>
            </w:tcMar>
          </w:tcPr>
          <w:p w14:paraId="2501F12D" w14:textId="77777777" w:rsidR="0099286C" w:rsidRPr="006536E0" w:rsidRDefault="003B4BA8">
            <w:pPr>
              <w:rPr>
                <w:sz w:val="16"/>
                <w:szCs w:val="16"/>
              </w:rPr>
            </w:pPr>
            <w:r w:rsidRPr="006536E0">
              <w:rPr>
                <w:rFonts w:cs="Times New Roman"/>
                <w:sz w:val="16"/>
                <w:szCs w:val="16"/>
              </w:rPr>
              <w:t>Work infrastructure and interdepartmental coordination directly shape implementation consistency (Themes 2 and 4).</w:t>
            </w:r>
          </w:p>
        </w:tc>
        <w:tc>
          <w:tcPr>
            <w:tcW w:w="1930" w:type="dxa"/>
            <w:tcBorders>
              <w:top w:val="single" w:sz="2" w:space="0" w:color="999999"/>
              <w:left w:val="single" w:sz="2" w:space="0" w:color="999999"/>
              <w:bottom w:val="single" w:sz="2" w:space="0" w:color="999999"/>
              <w:right w:val="single" w:sz="2" w:space="0" w:color="999999"/>
            </w:tcBorders>
            <w:tcMar>
              <w:top w:w="70" w:type="dxa"/>
              <w:left w:w="90" w:type="dxa"/>
              <w:bottom w:w="70" w:type="dxa"/>
              <w:right w:w="90" w:type="dxa"/>
            </w:tcMar>
          </w:tcPr>
          <w:p w14:paraId="2501F12E" w14:textId="77777777" w:rsidR="0099286C" w:rsidRPr="006536E0" w:rsidRDefault="003B4BA8">
            <w:pPr>
              <w:rPr>
                <w:sz w:val="16"/>
                <w:szCs w:val="16"/>
              </w:rPr>
            </w:pPr>
            <w:r w:rsidRPr="006536E0">
              <w:rPr>
                <w:rFonts w:cs="Times New Roman"/>
                <w:i/>
                <w:iCs/>
                <w:sz w:val="16"/>
                <w:szCs w:val="16"/>
              </w:rPr>
              <w:t>Sustained staffing and infrastructure investment not assessed; flagged as a future direction.</w:t>
            </w:r>
          </w:p>
        </w:tc>
      </w:tr>
      <w:tr w:rsidR="0099286C" w:rsidRPr="006536E0" w14:paraId="2501F137" w14:textId="77777777">
        <w:tc>
          <w:tcPr>
            <w:tcW w:w="1550" w:type="dxa"/>
            <w:tcBorders>
              <w:top w:val="single" w:sz="2" w:space="0" w:color="999999"/>
              <w:left w:val="single" w:sz="2" w:space="0" w:color="999999"/>
              <w:bottom w:val="single" w:sz="2" w:space="0" w:color="999999"/>
              <w:right w:val="single" w:sz="2" w:space="0" w:color="999999"/>
            </w:tcBorders>
            <w:tcMar>
              <w:top w:w="70" w:type="dxa"/>
              <w:left w:w="90" w:type="dxa"/>
              <w:bottom w:w="70" w:type="dxa"/>
              <w:right w:w="90" w:type="dxa"/>
            </w:tcMar>
          </w:tcPr>
          <w:p w14:paraId="2501F130" w14:textId="77777777" w:rsidR="0099286C" w:rsidRPr="006536E0" w:rsidRDefault="003B4BA8">
            <w:pPr>
              <w:rPr>
                <w:sz w:val="16"/>
                <w:szCs w:val="16"/>
              </w:rPr>
            </w:pPr>
            <w:r w:rsidRPr="006536E0">
              <w:rPr>
                <w:rFonts w:cs="Times New Roman"/>
                <w:b/>
                <w:bCs/>
                <w:sz w:val="16"/>
                <w:szCs w:val="16"/>
              </w:rPr>
              <w:t>Individuals (Roles and Characteristics)</w:t>
            </w:r>
          </w:p>
        </w:tc>
        <w:tc>
          <w:tcPr>
            <w:tcW w:w="2200" w:type="dxa"/>
            <w:tcBorders>
              <w:top w:val="single" w:sz="2" w:space="0" w:color="999999"/>
              <w:left w:val="single" w:sz="2" w:space="0" w:color="999999"/>
              <w:bottom w:val="single" w:sz="2" w:space="0" w:color="999999"/>
              <w:right w:val="single" w:sz="2" w:space="0" w:color="999999"/>
            </w:tcBorders>
            <w:tcMar>
              <w:top w:w="70" w:type="dxa"/>
              <w:left w:w="90" w:type="dxa"/>
              <w:bottom w:w="70" w:type="dxa"/>
              <w:right w:w="90" w:type="dxa"/>
            </w:tcMar>
          </w:tcPr>
          <w:p w14:paraId="2501F131" w14:textId="77777777" w:rsidR="0099286C" w:rsidRPr="006536E0" w:rsidRDefault="003B4BA8">
            <w:pPr>
              <w:rPr>
                <w:sz w:val="16"/>
                <w:szCs w:val="16"/>
              </w:rPr>
            </w:pPr>
            <w:r w:rsidRPr="006536E0">
              <w:rPr>
                <w:rFonts w:cs="Times New Roman"/>
                <w:sz w:val="16"/>
                <w:szCs w:val="16"/>
              </w:rPr>
              <w:t>Implementation Leads/Champions; Innovation Deliverers (clinicians); Innovation Recipients (patients)</w:t>
            </w:r>
          </w:p>
        </w:tc>
        <w:tc>
          <w:tcPr>
            <w:tcW w:w="2000" w:type="dxa"/>
            <w:tcBorders>
              <w:top w:val="single" w:sz="2" w:space="0" w:color="999999"/>
              <w:left w:val="single" w:sz="2" w:space="0" w:color="999999"/>
              <w:bottom w:val="single" w:sz="2" w:space="0" w:color="999999"/>
              <w:right w:val="single" w:sz="2" w:space="0" w:color="999999"/>
            </w:tcBorders>
            <w:tcMar>
              <w:top w:w="70" w:type="dxa"/>
              <w:left w:w="90" w:type="dxa"/>
              <w:bottom w:w="70" w:type="dxa"/>
              <w:right w:w="90" w:type="dxa"/>
            </w:tcMar>
          </w:tcPr>
          <w:p w14:paraId="2501F132" w14:textId="77777777" w:rsidR="0099286C" w:rsidRPr="006536E0" w:rsidRDefault="003B4BA8">
            <w:pPr>
              <w:rPr>
                <w:sz w:val="16"/>
                <w:szCs w:val="16"/>
              </w:rPr>
            </w:pPr>
            <w:r w:rsidRPr="006536E0">
              <w:rPr>
                <w:rFonts w:cs="Times New Roman"/>
                <w:i/>
                <w:iCs/>
                <w:sz w:val="16"/>
                <w:szCs w:val="16"/>
              </w:rPr>
              <w:t>Patient-level capability and motivation (health literacy, willingness to travel) conceptually relevant; not directly measured.</w:t>
            </w:r>
          </w:p>
        </w:tc>
        <w:tc>
          <w:tcPr>
            <w:tcW w:w="2000" w:type="dxa"/>
            <w:tcBorders>
              <w:top w:val="single" w:sz="2" w:space="0" w:color="999999"/>
              <w:left w:val="single" w:sz="2" w:space="0" w:color="999999"/>
              <w:bottom w:val="single" w:sz="2" w:space="0" w:color="999999"/>
              <w:right w:val="single" w:sz="2" w:space="0" w:color="999999"/>
            </w:tcBorders>
            <w:tcMar>
              <w:top w:w="70" w:type="dxa"/>
              <w:left w:w="90" w:type="dxa"/>
              <w:bottom w:w="70" w:type="dxa"/>
              <w:right w:w="90" w:type="dxa"/>
            </w:tcMar>
          </w:tcPr>
          <w:p w14:paraId="2501F133" w14:textId="77777777" w:rsidR="0099286C" w:rsidRPr="006536E0" w:rsidRDefault="003B4BA8">
            <w:pPr>
              <w:rPr>
                <w:sz w:val="16"/>
                <w:szCs w:val="16"/>
              </w:rPr>
            </w:pPr>
            <w:r w:rsidRPr="006536E0">
              <w:rPr>
                <w:rFonts w:cs="Times New Roman"/>
                <w:i/>
                <w:iCs/>
                <w:sz w:val="16"/>
                <w:szCs w:val="16"/>
              </w:rPr>
              <w:t>Clinician skill in interpreting/communicating results not assessed.</w:t>
            </w:r>
          </w:p>
        </w:tc>
        <w:tc>
          <w:tcPr>
            <w:tcW w:w="2000" w:type="dxa"/>
            <w:tcBorders>
              <w:top w:val="single" w:sz="2" w:space="0" w:color="999999"/>
              <w:left w:val="single" w:sz="2" w:space="0" w:color="999999"/>
              <w:bottom w:val="single" w:sz="2" w:space="0" w:color="999999"/>
              <w:right w:val="single" w:sz="2" w:space="0" w:color="999999"/>
            </w:tcBorders>
            <w:shd w:val="clear" w:color="auto" w:fill="EAF3EA"/>
            <w:tcMar>
              <w:top w:w="70" w:type="dxa"/>
              <w:left w:w="90" w:type="dxa"/>
              <w:bottom w:w="70" w:type="dxa"/>
              <w:right w:w="90" w:type="dxa"/>
            </w:tcMar>
          </w:tcPr>
          <w:p w14:paraId="2501F134" w14:textId="77777777" w:rsidR="0099286C" w:rsidRPr="006536E0" w:rsidRDefault="003B4BA8">
            <w:pPr>
              <w:rPr>
                <w:sz w:val="16"/>
                <w:szCs w:val="16"/>
              </w:rPr>
            </w:pPr>
            <w:r w:rsidRPr="006536E0">
              <w:rPr>
                <w:rFonts w:cs="Times New Roman"/>
                <w:sz w:val="16"/>
                <w:szCs w:val="16"/>
              </w:rPr>
              <w:t>Presence or absence of a designated champion strongly predicts adoption consistency across sites (Theme 3).</w:t>
            </w:r>
          </w:p>
        </w:tc>
        <w:tc>
          <w:tcPr>
            <w:tcW w:w="2000" w:type="dxa"/>
            <w:tcBorders>
              <w:top w:val="single" w:sz="2" w:space="0" w:color="999999"/>
              <w:left w:val="single" w:sz="2" w:space="0" w:color="999999"/>
              <w:bottom w:val="single" w:sz="2" w:space="0" w:color="999999"/>
              <w:right w:val="single" w:sz="2" w:space="0" w:color="999999"/>
            </w:tcBorders>
            <w:shd w:val="clear" w:color="auto" w:fill="EAF3EA"/>
            <w:tcMar>
              <w:top w:w="70" w:type="dxa"/>
              <w:left w:w="90" w:type="dxa"/>
              <w:bottom w:w="70" w:type="dxa"/>
              <w:right w:w="90" w:type="dxa"/>
            </w:tcMar>
          </w:tcPr>
          <w:p w14:paraId="2501F135" w14:textId="77777777" w:rsidR="0099286C" w:rsidRPr="006536E0" w:rsidRDefault="003B4BA8">
            <w:pPr>
              <w:rPr>
                <w:sz w:val="16"/>
                <w:szCs w:val="16"/>
              </w:rPr>
            </w:pPr>
            <w:r w:rsidRPr="006536E0">
              <w:rPr>
                <w:rFonts w:cs="Times New Roman"/>
                <w:sz w:val="16"/>
                <w:szCs w:val="16"/>
              </w:rPr>
              <w:t>Reliance on individual clinician judgment versus standardized screening affects implementation consistency (Theme 2).</w:t>
            </w:r>
          </w:p>
        </w:tc>
        <w:tc>
          <w:tcPr>
            <w:tcW w:w="1930" w:type="dxa"/>
            <w:tcBorders>
              <w:top w:val="single" w:sz="2" w:space="0" w:color="999999"/>
              <w:left w:val="single" w:sz="2" w:space="0" w:color="999999"/>
              <w:bottom w:val="single" w:sz="2" w:space="0" w:color="999999"/>
              <w:right w:val="single" w:sz="2" w:space="0" w:color="999999"/>
            </w:tcBorders>
            <w:tcMar>
              <w:top w:w="70" w:type="dxa"/>
              <w:left w:w="90" w:type="dxa"/>
              <w:bottom w:w="70" w:type="dxa"/>
              <w:right w:w="90" w:type="dxa"/>
            </w:tcMar>
          </w:tcPr>
          <w:p w14:paraId="2501F136" w14:textId="77777777" w:rsidR="0099286C" w:rsidRPr="006536E0" w:rsidRDefault="003B4BA8">
            <w:pPr>
              <w:rPr>
                <w:sz w:val="16"/>
                <w:szCs w:val="16"/>
              </w:rPr>
            </w:pPr>
            <w:r w:rsidRPr="006536E0">
              <w:rPr>
                <w:rFonts w:cs="Times New Roman"/>
                <w:i/>
                <w:iCs/>
                <w:sz w:val="16"/>
                <w:szCs w:val="16"/>
              </w:rPr>
              <w:t>Champion turnover/succession as a sustainability risk; not assessed – future direction.</w:t>
            </w:r>
          </w:p>
        </w:tc>
      </w:tr>
      <w:tr w:rsidR="0099286C" w:rsidRPr="006536E0" w14:paraId="2501F13F" w14:textId="77777777">
        <w:tc>
          <w:tcPr>
            <w:tcW w:w="1550" w:type="dxa"/>
            <w:tcBorders>
              <w:top w:val="single" w:sz="2" w:space="0" w:color="999999"/>
              <w:left w:val="single" w:sz="2" w:space="0" w:color="999999"/>
              <w:bottom w:val="single" w:sz="2" w:space="0" w:color="999999"/>
              <w:right w:val="single" w:sz="2" w:space="0" w:color="999999"/>
            </w:tcBorders>
            <w:tcMar>
              <w:top w:w="70" w:type="dxa"/>
              <w:left w:w="90" w:type="dxa"/>
              <w:bottom w:w="70" w:type="dxa"/>
              <w:right w:w="90" w:type="dxa"/>
            </w:tcMar>
          </w:tcPr>
          <w:p w14:paraId="2501F138" w14:textId="77777777" w:rsidR="0099286C" w:rsidRPr="006536E0" w:rsidRDefault="003B4BA8">
            <w:pPr>
              <w:rPr>
                <w:sz w:val="16"/>
                <w:szCs w:val="16"/>
              </w:rPr>
            </w:pPr>
            <w:r w:rsidRPr="006536E0">
              <w:rPr>
                <w:rFonts w:cs="Times New Roman"/>
                <w:b/>
                <w:bCs/>
                <w:sz w:val="16"/>
                <w:szCs w:val="16"/>
              </w:rPr>
              <w:t>Implementation Process</w:t>
            </w:r>
          </w:p>
        </w:tc>
        <w:tc>
          <w:tcPr>
            <w:tcW w:w="2200" w:type="dxa"/>
            <w:tcBorders>
              <w:top w:val="single" w:sz="2" w:space="0" w:color="999999"/>
              <w:left w:val="single" w:sz="2" w:space="0" w:color="999999"/>
              <w:bottom w:val="single" w:sz="2" w:space="0" w:color="999999"/>
              <w:right w:val="single" w:sz="2" w:space="0" w:color="999999"/>
            </w:tcBorders>
            <w:tcMar>
              <w:top w:w="70" w:type="dxa"/>
              <w:left w:w="90" w:type="dxa"/>
              <w:bottom w:w="70" w:type="dxa"/>
              <w:right w:w="90" w:type="dxa"/>
            </w:tcMar>
          </w:tcPr>
          <w:p w14:paraId="2501F139" w14:textId="77777777" w:rsidR="0099286C" w:rsidRPr="006536E0" w:rsidRDefault="003B4BA8">
            <w:pPr>
              <w:rPr>
                <w:sz w:val="16"/>
                <w:szCs w:val="16"/>
              </w:rPr>
            </w:pPr>
            <w:r w:rsidRPr="006536E0">
              <w:rPr>
                <w:rFonts w:cs="Times New Roman"/>
                <w:sz w:val="16"/>
                <w:szCs w:val="16"/>
              </w:rPr>
              <w:t>Assessing Context; Engaging; Reflecting &amp; Evaluating; Adapting</w:t>
            </w:r>
          </w:p>
        </w:tc>
        <w:tc>
          <w:tcPr>
            <w:tcW w:w="2000" w:type="dxa"/>
            <w:tcBorders>
              <w:top w:val="single" w:sz="2" w:space="0" w:color="999999"/>
              <w:left w:val="single" w:sz="2" w:space="0" w:color="999999"/>
              <w:bottom w:val="single" w:sz="2" w:space="0" w:color="999999"/>
              <w:right w:val="single" w:sz="2" w:space="0" w:color="999999"/>
            </w:tcBorders>
            <w:tcMar>
              <w:top w:w="70" w:type="dxa"/>
              <w:left w:w="90" w:type="dxa"/>
              <w:bottom w:w="70" w:type="dxa"/>
              <w:right w:w="90" w:type="dxa"/>
            </w:tcMar>
          </w:tcPr>
          <w:p w14:paraId="2501F13A" w14:textId="77777777" w:rsidR="0099286C" w:rsidRPr="006536E0" w:rsidRDefault="003B4BA8">
            <w:pPr>
              <w:rPr>
                <w:sz w:val="16"/>
                <w:szCs w:val="16"/>
              </w:rPr>
            </w:pPr>
            <w:r w:rsidRPr="006536E0">
              <w:rPr>
                <w:rFonts w:cs="Times New Roman"/>
                <w:i/>
                <w:iCs/>
                <w:sz w:val="16"/>
                <w:szCs w:val="16"/>
              </w:rPr>
              <w:t>Systematic outreach/engagement strategies could conceptually expand reach; not directly assessed.</w:t>
            </w:r>
          </w:p>
        </w:tc>
        <w:tc>
          <w:tcPr>
            <w:tcW w:w="2000" w:type="dxa"/>
            <w:tcBorders>
              <w:top w:val="single" w:sz="2" w:space="0" w:color="999999"/>
              <w:left w:val="single" w:sz="2" w:space="0" w:color="999999"/>
              <w:bottom w:val="single" w:sz="2" w:space="0" w:color="999999"/>
              <w:right w:val="single" w:sz="2" w:space="0" w:color="999999"/>
            </w:tcBorders>
            <w:tcMar>
              <w:top w:w="70" w:type="dxa"/>
              <w:left w:w="90" w:type="dxa"/>
              <w:bottom w:w="70" w:type="dxa"/>
              <w:right w:w="90" w:type="dxa"/>
            </w:tcMar>
          </w:tcPr>
          <w:p w14:paraId="2501F13B" w14:textId="77777777" w:rsidR="0099286C" w:rsidRPr="006536E0" w:rsidRDefault="003B4BA8">
            <w:pPr>
              <w:rPr>
                <w:sz w:val="16"/>
                <w:szCs w:val="16"/>
              </w:rPr>
            </w:pPr>
            <w:r w:rsidRPr="006536E0">
              <w:rPr>
                <w:rFonts w:cs="Times New Roman"/>
                <w:i/>
                <w:iCs/>
                <w:sz w:val="16"/>
                <w:szCs w:val="16"/>
              </w:rPr>
              <w:t>Not assessed in this study.</w:t>
            </w:r>
          </w:p>
        </w:tc>
        <w:tc>
          <w:tcPr>
            <w:tcW w:w="2000" w:type="dxa"/>
            <w:tcBorders>
              <w:top w:val="single" w:sz="2" w:space="0" w:color="999999"/>
              <w:left w:val="single" w:sz="2" w:space="0" w:color="999999"/>
              <w:bottom w:val="single" w:sz="2" w:space="0" w:color="999999"/>
              <w:right w:val="single" w:sz="2" w:space="0" w:color="999999"/>
            </w:tcBorders>
            <w:shd w:val="clear" w:color="auto" w:fill="EAF3EA"/>
            <w:tcMar>
              <w:top w:w="70" w:type="dxa"/>
              <w:left w:w="90" w:type="dxa"/>
              <w:bottom w:w="70" w:type="dxa"/>
              <w:right w:w="90" w:type="dxa"/>
            </w:tcMar>
          </w:tcPr>
          <w:p w14:paraId="2501F13C" w14:textId="77777777" w:rsidR="0099286C" w:rsidRPr="006536E0" w:rsidRDefault="003B4BA8">
            <w:pPr>
              <w:rPr>
                <w:sz w:val="16"/>
                <w:szCs w:val="16"/>
              </w:rPr>
            </w:pPr>
            <w:r w:rsidRPr="006536E0">
              <w:rPr>
                <w:rFonts w:cs="Times New Roman"/>
                <w:sz w:val="16"/>
                <w:szCs w:val="16"/>
              </w:rPr>
              <w:t>Audit-and-feedback and engagement processes support consistent adoption of screening practices (Theme 3).</w:t>
            </w:r>
          </w:p>
        </w:tc>
        <w:tc>
          <w:tcPr>
            <w:tcW w:w="2000" w:type="dxa"/>
            <w:tcBorders>
              <w:top w:val="single" w:sz="2" w:space="0" w:color="999999"/>
              <w:left w:val="single" w:sz="2" w:space="0" w:color="999999"/>
              <w:bottom w:val="single" w:sz="2" w:space="0" w:color="999999"/>
              <w:right w:val="single" w:sz="2" w:space="0" w:color="999999"/>
            </w:tcBorders>
            <w:shd w:val="clear" w:color="auto" w:fill="EAF3EA"/>
            <w:tcMar>
              <w:top w:w="70" w:type="dxa"/>
              <w:left w:w="90" w:type="dxa"/>
              <w:bottom w:w="70" w:type="dxa"/>
              <w:right w:w="90" w:type="dxa"/>
            </w:tcMar>
          </w:tcPr>
          <w:p w14:paraId="2501F13D" w14:textId="77777777" w:rsidR="0099286C" w:rsidRPr="006536E0" w:rsidRDefault="003B4BA8">
            <w:pPr>
              <w:rPr>
                <w:sz w:val="16"/>
                <w:szCs w:val="16"/>
              </w:rPr>
            </w:pPr>
            <w:r w:rsidRPr="006536E0">
              <w:rPr>
                <w:rFonts w:cs="Times New Roman"/>
                <w:sz w:val="16"/>
                <w:szCs w:val="16"/>
              </w:rPr>
              <w:t>Absence of a structured process for reflecting and evaluating (e.g., cascade-testing tracking) weakens implementation follow-through (Theme 4).</w:t>
            </w:r>
          </w:p>
        </w:tc>
        <w:tc>
          <w:tcPr>
            <w:tcW w:w="1930" w:type="dxa"/>
            <w:tcBorders>
              <w:top w:val="single" w:sz="2" w:space="0" w:color="999999"/>
              <w:left w:val="single" w:sz="2" w:space="0" w:color="999999"/>
              <w:bottom w:val="single" w:sz="2" w:space="0" w:color="999999"/>
              <w:right w:val="single" w:sz="2" w:space="0" w:color="999999"/>
            </w:tcBorders>
            <w:tcMar>
              <w:top w:w="70" w:type="dxa"/>
              <w:left w:w="90" w:type="dxa"/>
              <w:bottom w:w="70" w:type="dxa"/>
              <w:right w:w="90" w:type="dxa"/>
            </w:tcMar>
          </w:tcPr>
          <w:p w14:paraId="2501F13E" w14:textId="77777777" w:rsidR="0099286C" w:rsidRPr="006536E0" w:rsidRDefault="003B4BA8">
            <w:pPr>
              <w:rPr>
                <w:sz w:val="16"/>
                <w:szCs w:val="16"/>
              </w:rPr>
            </w:pPr>
            <w:r w:rsidRPr="006536E0">
              <w:rPr>
                <w:rFonts w:cs="Times New Roman"/>
                <w:i/>
                <w:iCs/>
                <w:sz w:val="16"/>
                <w:szCs w:val="16"/>
              </w:rPr>
              <w:t>No formal tracking/evaluation process was observed; this gap is itself a sustainability risk, but was not empirically measured as a Maintenance outcome.</w:t>
            </w:r>
          </w:p>
        </w:tc>
      </w:tr>
    </w:tbl>
    <w:p w14:paraId="2501F140" w14:textId="77777777" w:rsidR="0099286C" w:rsidRDefault="003B4BA8">
      <w:pPr>
        <w:spacing w:before="200"/>
      </w:pPr>
      <w:r>
        <w:rPr>
          <w:i/>
          <w:iCs/>
          <w:sz w:val="18"/>
          <w:szCs w:val="18"/>
        </w:rPr>
        <w:t>Note. CFIR = Consolidated Framework for Implementation Research (2022 update); RE-AIM = Reach, Effectiveness, Adoption, Implementation, Maintenance; NHSO = National Health Security Office. Theme numbers refer to the four cross-setting implementation themes reported in the Results and in Table 3 of the main text.</w:t>
      </w:r>
    </w:p>
    <w:sectPr w:rsidR="0099286C" w:rsidSect="00BD2A3B">
      <w:pgSz w:w="16838" w:h="11906" w:orient="landscape"/>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886C8A"/>
    <w:multiLevelType w:val="hybridMultilevel"/>
    <w:tmpl w:val="8B64E900"/>
    <w:lvl w:ilvl="0" w:tplc="354027B0">
      <w:start w:val="1"/>
      <w:numFmt w:val="bullet"/>
      <w:lvlText w:val="●"/>
      <w:lvlJc w:val="left"/>
      <w:pPr>
        <w:ind w:left="720" w:hanging="360"/>
      </w:pPr>
    </w:lvl>
    <w:lvl w:ilvl="1" w:tplc="CD26CF30">
      <w:start w:val="1"/>
      <w:numFmt w:val="bullet"/>
      <w:lvlText w:val="○"/>
      <w:lvlJc w:val="left"/>
      <w:pPr>
        <w:ind w:left="1440" w:hanging="360"/>
      </w:pPr>
    </w:lvl>
    <w:lvl w:ilvl="2" w:tplc="E482D5CC">
      <w:start w:val="1"/>
      <w:numFmt w:val="bullet"/>
      <w:lvlText w:val="■"/>
      <w:lvlJc w:val="left"/>
      <w:pPr>
        <w:ind w:left="2160" w:hanging="360"/>
      </w:pPr>
    </w:lvl>
    <w:lvl w:ilvl="3" w:tplc="7264F9A4">
      <w:start w:val="1"/>
      <w:numFmt w:val="bullet"/>
      <w:lvlText w:val="●"/>
      <w:lvlJc w:val="left"/>
      <w:pPr>
        <w:ind w:left="2880" w:hanging="360"/>
      </w:pPr>
    </w:lvl>
    <w:lvl w:ilvl="4" w:tplc="BAD03E18">
      <w:start w:val="1"/>
      <w:numFmt w:val="bullet"/>
      <w:lvlText w:val="○"/>
      <w:lvlJc w:val="left"/>
      <w:pPr>
        <w:ind w:left="3600" w:hanging="360"/>
      </w:pPr>
    </w:lvl>
    <w:lvl w:ilvl="5" w:tplc="B2B45B68">
      <w:start w:val="1"/>
      <w:numFmt w:val="bullet"/>
      <w:lvlText w:val="■"/>
      <w:lvlJc w:val="left"/>
      <w:pPr>
        <w:ind w:left="4320" w:hanging="360"/>
      </w:pPr>
    </w:lvl>
    <w:lvl w:ilvl="6" w:tplc="16B2EF6E">
      <w:start w:val="1"/>
      <w:numFmt w:val="bullet"/>
      <w:lvlText w:val="●"/>
      <w:lvlJc w:val="left"/>
      <w:pPr>
        <w:ind w:left="5040" w:hanging="360"/>
      </w:pPr>
    </w:lvl>
    <w:lvl w:ilvl="7" w:tplc="E02ED0B8">
      <w:start w:val="1"/>
      <w:numFmt w:val="bullet"/>
      <w:lvlText w:val="●"/>
      <w:lvlJc w:val="left"/>
      <w:pPr>
        <w:ind w:left="5760" w:hanging="360"/>
      </w:pPr>
    </w:lvl>
    <w:lvl w:ilvl="8" w:tplc="BA84F96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jA0NjYBYjMjSzMjYyUdpeDU4uLM/DyQAsNaAPoJB3EsAAAA"/>
  </w:docVars>
  <w:rsids>
    <w:rsidRoot w:val="0099286C"/>
    <w:rsid w:val="003B4BA8"/>
    <w:rsid w:val="003C3427"/>
    <w:rsid w:val="003F0F82"/>
    <w:rsid w:val="006536E0"/>
    <w:rsid w:val="00762AE3"/>
    <w:rsid w:val="008D7943"/>
    <w:rsid w:val="0099286C"/>
    <w:rsid w:val="00BD2A3B"/>
    <w:rsid w:val="00D30F72"/>
  </w:rsids>
  <m:mathPr>
    <m:mathFont m:val="Cambria Math"/>
    <m:brkBin m:val="before"/>
    <m:brkBinSub m:val="--"/>
    <m:smallFrac m:val="0"/>
    <m:dispDef/>
    <m:lMargin m:val="0"/>
    <m:rMargin m:val="0"/>
    <m:defJc m:val="centerGroup"/>
    <m:wrapIndent m:val="1440"/>
    <m:intLim m:val="subSup"/>
    <m:naryLim m:val="undOvr"/>
  </m:mathPr>
  <w:themeFontLang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1F10D"/>
  <w15:docId w15:val="{4094A84C-52AC-D643-BE17-25EC04508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eastAsia="en-US" w:bidi="th-TH"/>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Angsana New"/>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648</Words>
  <Characters>3699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none</cp:lastModifiedBy>
  <cp:revision>2</cp:revision>
  <dcterms:created xsi:type="dcterms:W3CDTF">2026-07-10T07:37:00Z</dcterms:created>
  <dcterms:modified xsi:type="dcterms:W3CDTF">2026-07-10T07:37:00Z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e2b55b88-46c8-4a45-86ec-c2e9648ab567</vt:lpwstr>
  </property>
</Properties>
</file>