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9840E" w14:textId="77777777" w:rsidR="00C40376" w:rsidRPr="00667992" w:rsidRDefault="00C40376" w:rsidP="00C40376">
      <w:pPr>
        <w:pStyle w:val="Title"/>
        <w:spacing w:line="480" w:lineRule="auto"/>
        <w:jc w:val="center"/>
        <w:rPr>
          <w:rFonts w:ascii="Times New Roman" w:hAnsi="Times New Roman" w:cs="Times New Roman"/>
          <w:sz w:val="32"/>
          <w:szCs w:val="32"/>
        </w:rPr>
      </w:pPr>
      <w:r w:rsidRPr="00667992">
        <w:rPr>
          <w:rFonts w:ascii="Times New Roman" w:hAnsi="Times New Roman" w:cs="Times New Roman"/>
          <w:b/>
          <w:sz w:val="32"/>
          <w:szCs w:val="32"/>
        </w:rPr>
        <w:t>Additional file 1. Reporting checklist and verification-search documentation</w:t>
      </w:r>
    </w:p>
    <w:p w14:paraId="096BF697" w14:textId="77777777" w:rsidR="00C40376" w:rsidRPr="0040629A" w:rsidRDefault="00C40376" w:rsidP="00C40376">
      <w:pPr>
        <w:spacing w:line="480" w:lineRule="auto"/>
        <w:rPr>
          <w:rFonts w:ascii="Times New Roman" w:hAnsi="Times New Roman" w:cs="Times New Roman"/>
          <w:sz w:val="24"/>
          <w:szCs w:val="24"/>
        </w:rPr>
      </w:pPr>
      <w:r w:rsidRPr="0040629A">
        <w:rPr>
          <w:rFonts w:ascii="Times New Roman" w:hAnsi="Times New Roman" w:cs="Times New Roman"/>
          <w:sz w:val="24"/>
          <w:szCs w:val="24"/>
        </w:rPr>
        <w:t>Manuscript: Choosing Among Randomized Design Families for Implementation Strategy Trials: A Question-Driven Framework with Practical Tools and Exemplars</w:t>
      </w:r>
    </w:p>
    <w:p w14:paraId="0DDFA8BE" w14:textId="77777777" w:rsidR="00C40376" w:rsidRPr="0040629A" w:rsidRDefault="00C40376" w:rsidP="008E0C6D">
      <w:pPr>
        <w:spacing w:line="480" w:lineRule="auto"/>
        <w:rPr>
          <w:rFonts w:ascii="Times New Roman" w:hAnsi="Times New Roman" w:cs="Times New Roman"/>
          <w:sz w:val="24"/>
          <w:szCs w:val="24"/>
        </w:rPr>
      </w:pPr>
      <w:r w:rsidRPr="0040629A">
        <w:rPr>
          <w:rFonts w:ascii="Times New Roman" w:hAnsi="Times New Roman" w:cs="Times New Roman"/>
          <w:i/>
          <w:sz w:val="24"/>
          <w:szCs w:val="24"/>
        </w:rPr>
        <w:t>Current manuscript version: May 31, 2026 reporting-aligned revision</w:t>
      </w:r>
    </w:p>
    <w:p w14:paraId="5859491A" w14:textId="77777777" w:rsidR="00C40376" w:rsidRPr="0012092B" w:rsidRDefault="00C40376" w:rsidP="00C40376">
      <w:pPr>
        <w:pStyle w:val="Heading1"/>
        <w:numPr>
          <w:ilvl w:val="0"/>
          <w:numId w:val="0"/>
        </w:numPr>
        <w:spacing w:line="480" w:lineRule="auto"/>
        <w:ind w:left="288" w:hanging="288"/>
        <w:rPr>
          <w:rFonts w:ascii="Times New Roman" w:hAnsi="Times New Roman"/>
          <w:sz w:val="26"/>
          <w:szCs w:val="26"/>
        </w:rPr>
      </w:pPr>
      <w:r w:rsidRPr="0012092B">
        <w:rPr>
          <w:rFonts w:ascii="Times New Roman" w:hAnsi="Times New Roman"/>
          <w:sz w:val="26"/>
          <w:szCs w:val="26"/>
        </w:rPr>
        <w:t>1. Purpose and scope</w:t>
      </w:r>
    </w:p>
    <w:p w14:paraId="7456609B" w14:textId="77777777" w:rsidR="00C40376" w:rsidRPr="0040629A" w:rsidRDefault="00C40376" w:rsidP="00C40376">
      <w:pPr>
        <w:spacing w:after="80" w:line="480" w:lineRule="auto"/>
        <w:rPr>
          <w:rFonts w:ascii="Times New Roman" w:hAnsi="Times New Roman" w:cs="Times New Roman"/>
          <w:sz w:val="24"/>
          <w:szCs w:val="24"/>
        </w:rPr>
      </w:pPr>
      <w:r w:rsidRPr="0040629A">
        <w:rPr>
          <w:rFonts w:ascii="Times New Roman" w:hAnsi="Times New Roman" w:cs="Times New Roman"/>
          <w:sz w:val="24"/>
          <w:szCs w:val="24"/>
        </w:rPr>
        <w:t>The current manuscript is a focused methodological synthesis, not a systematic review or meta-analysis. It was developed through purposive identification of foundational methods papers and illustrative trials, but contemporaneous records of the initial exploratory search were unavailable.</w:t>
      </w:r>
    </w:p>
    <w:p w14:paraId="30C5054F" w14:textId="77777777" w:rsidR="00C40376" w:rsidRPr="0040629A" w:rsidRDefault="00C40376" w:rsidP="00C40376">
      <w:pPr>
        <w:spacing w:after="80" w:line="480" w:lineRule="auto"/>
        <w:rPr>
          <w:rFonts w:ascii="Times New Roman" w:hAnsi="Times New Roman" w:cs="Times New Roman"/>
          <w:sz w:val="24"/>
          <w:szCs w:val="24"/>
        </w:rPr>
      </w:pPr>
      <w:r w:rsidRPr="0040629A">
        <w:rPr>
          <w:rFonts w:ascii="Times New Roman" w:hAnsi="Times New Roman" w:cs="Times New Roman"/>
          <w:sz w:val="24"/>
          <w:szCs w:val="24"/>
        </w:rPr>
        <w:t>To improve transparency and align the reporting file with the current manuscript, a structured verification and update search was conducted on May 31, 2026. Its purpose was to verify the report type and randomized factor of cited exemplars and to identify recent examples across four design families. It was not designed to estimate pooled effects, exhaustively enumerate all eligible trials, or replace a formal systematic review.</w:t>
      </w:r>
    </w:p>
    <w:p w14:paraId="116969DD" w14:textId="77777777" w:rsidR="00C40376" w:rsidRDefault="00C40376" w:rsidP="00C40376">
      <w:pPr>
        <w:spacing w:after="80" w:line="480" w:lineRule="auto"/>
        <w:rPr>
          <w:rFonts w:ascii="Times New Roman" w:hAnsi="Times New Roman" w:cs="Times New Roman"/>
          <w:sz w:val="24"/>
          <w:szCs w:val="24"/>
        </w:rPr>
      </w:pPr>
      <w:r w:rsidRPr="0040629A">
        <w:rPr>
          <w:rFonts w:ascii="Times New Roman" w:hAnsi="Times New Roman" w:cs="Times New Roman"/>
          <w:sz w:val="24"/>
          <w:szCs w:val="24"/>
        </w:rPr>
        <w:t>Reporting is organized using the literature-search and report-inclusion standards of Atkinson et al. These EQUATOR-listed standards apply to the Methods/Procedure portion of a synthesis and do not imply that the focused review followed PRISMA.</w:t>
      </w:r>
    </w:p>
    <w:p w14:paraId="51F03710" w14:textId="77777777" w:rsidR="00C40376" w:rsidRPr="0040629A" w:rsidRDefault="00C40376" w:rsidP="00C40376">
      <w:pPr>
        <w:pStyle w:val="Heading1"/>
        <w:numPr>
          <w:ilvl w:val="0"/>
          <w:numId w:val="0"/>
        </w:numPr>
        <w:spacing w:line="480" w:lineRule="auto"/>
        <w:ind w:left="288" w:hanging="288"/>
        <w:rPr>
          <w:rFonts w:ascii="Times New Roman" w:hAnsi="Times New Roman"/>
          <w:sz w:val="24"/>
          <w:szCs w:val="24"/>
        </w:rPr>
      </w:pPr>
      <w:r w:rsidRPr="0040629A">
        <w:rPr>
          <w:rFonts w:ascii="Times New Roman" w:hAnsi="Times New Roman"/>
          <w:sz w:val="24"/>
          <w:szCs w:val="24"/>
        </w:rPr>
        <w:lastRenderedPageBreak/>
        <w:t xml:space="preserve">2. </w:t>
      </w:r>
      <w:r w:rsidRPr="0012092B">
        <w:rPr>
          <w:rFonts w:ascii="Times New Roman" w:hAnsi="Times New Roman"/>
          <w:sz w:val="26"/>
          <w:szCs w:val="26"/>
        </w:rPr>
        <w:t>Completed Atkinson-based reporting checklist</w:t>
      </w:r>
    </w:p>
    <w:tbl>
      <w:tblPr>
        <w:tblStyle w:val="TableGrid"/>
        <w:tblW w:w="0" w:type="auto"/>
        <w:jc w:val="center"/>
        <w:tblLook w:val="04A0" w:firstRow="1" w:lastRow="0" w:firstColumn="1" w:lastColumn="0" w:noHBand="0" w:noVBand="1"/>
      </w:tblPr>
      <w:tblGrid>
        <w:gridCol w:w="2044"/>
        <w:gridCol w:w="1296"/>
        <w:gridCol w:w="2237"/>
        <w:gridCol w:w="3773"/>
      </w:tblGrid>
      <w:tr w:rsidR="00C40376" w:rsidRPr="0040629A" w14:paraId="71DFA41C" w14:textId="77777777" w:rsidTr="00AC3E9E">
        <w:trPr>
          <w:tblHeader/>
          <w:jc w:val="center"/>
        </w:trPr>
        <w:tc>
          <w:tcPr>
            <w:tcW w:w="2880" w:type="dxa"/>
            <w:shd w:val="clear" w:color="auto" w:fill="D9EAF7"/>
          </w:tcPr>
          <w:p w14:paraId="077D47B1"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b/>
                <w:sz w:val="24"/>
                <w:szCs w:val="24"/>
              </w:rPr>
              <w:t>Reporting item</w:t>
            </w:r>
          </w:p>
        </w:tc>
        <w:tc>
          <w:tcPr>
            <w:tcW w:w="1080" w:type="dxa"/>
            <w:shd w:val="clear" w:color="auto" w:fill="D9EAF7"/>
          </w:tcPr>
          <w:p w14:paraId="6C3413D6"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b/>
                <w:sz w:val="24"/>
                <w:szCs w:val="24"/>
              </w:rPr>
              <w:t>Reported?</w:t>
            </w:r>
          </w:p>
        </w:tc>
        <w:tc>
          <w:tcPr>
            <w:tcW w:w="3600" w:type="dxa"/>
            <w:shd w:val="clear" w:color="auto" w:fill="D9EAF7"/>
          </w:tcPr>
          <w:p w14:paraId="24E9DDF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b/>
                <w:sz w:val="24"/>
                <w:szCs w:val="24"/>
              </w:rPr>
              <w:t>Location</w:t>
            </w:r>
          </w:p>
        </w:tc>
        <w:tc>
          <w:tcPr>
            <w:tcW w:w="7200" w:type="dxa"/>
            <w:shd w:val="clear" w:color="auto" w:fill="D9EAF7"/>
          </w:tcPr>
          <w:p w14:paraId="3AF55C3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b/>
                <w:sz w:val="24"/>
                <w:szCs w:val="24"/>
              </w:rPr>
              <w:t>How the item was addressed</w:t>
            </w:r>
          </w:p>
        </w:tc>
      </w:tr>
      <w:tr w:rsidR="00C40376" w:rsidRPr="0040629A" w14:paraId="404A2B4C" w14:textId="77777777" w:rsidTr="00AC3E9E">
        <w:trPr>
          <w:cantSplit/>
          <w:jc w:val="center"/>
        </w:trPr>
        <w:tc>
          <w:tcPr>
            <w:tcW w:w="2880" w:type="dxa"/>
          </w:tcPr>
          <w:p w14:paraId="2BA7C93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Searcher characteristics</w:t>
            </w:r>
          </w:p>
        </w:tc>
        <w:tc>
          <w:tcPr>
            <w:tcW w:w="1080" w:type="dxa"/>
          </w:tcPr>
          <w:p w14:paraId="5EDF5DB5"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Yes</w:t>
            </w:r>
          </w:p>
        </w:tc>
        <w:tc>
          <w:tcPr>
            <w:tcW w:w="3600" w:type="dxa"/>
          </w:tcPr>
          <w:p w14:paraId="3A1AC5F7"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Methods: Literature identification and Eligibility and exemplar classification (pp. 6-7)</w:t>
            </w:r>
          </w:p>
        </w:tc>
        <w:tc>
          <w:tcPr>
            <w:tcW w:w="7200" w:type="dxa"/>
          </w:tcPr>
          <w:p w14:paraId="30296D12"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The corresponding author directed the search and source-classification process. ChatGPT assisted with retrieval organization and title deduplication.</w:t>
            </w:r>
          </w:p>
        </w:tc>
      </w:tr>
      <w:tr w:rsidR="00C40376" w:rsidRPr="0040629A" w14:paraId="35F0716A" w14:textId="77777777" w:rsidTr="00AC3E9E">
        <w:trPr>
          <w:cantSplit/>
          <w:jc w:val="center"/>
        </w:trPr>
        <w:tc>
          <w:tcPr>
            <w:tcW w:w="2880" w:type="dxa"/>
          </w:tcPr>
          <w:p w14:paraId="786BE1B1"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Initial screening material</w:t>
            </w:r>
          </w:p>
        </w:tc>
        <w:tc>
          <w:tcPr>
            <w:tcW w:w="1080" w:type="dxa"/>
          </w:tcPr>
          <w:p w14:paraId="5DBE3065"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Yes</w:t>
            </w:r>
          </w:p>
        </w:tc>
        <w:tc>
          <w:tcPr>
            <w:tcW w:w="3600" w:type="dxa"/>
          </w:tcPr>
          <w:p w14:paraId="64537E83"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Methods: Literature identification (p. 6)</w:t>
            </w:r>
          </w:p>
        </w:tc>
        <w:tc>
          <w:tcPr>
            <w:tcW w:w="7200" w:type="dxa"/>
          </w:tcPr>
          <w:p w14:paraId="7229500A"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Titles and abstracts were screened. Full publication records were examined when the randomized factor, report type, or boundary status was unclear.</w:t>
            </w:r>
          </w:p>
        </w:tc>
      </w:tr>
      <w:tr w:rsidR="00C40376" w:rsidRPr="0040629A" w14:paraId="4499017A" w14:textId="77777777" w:rsidTr="00AC3E9E">
        <w:trPr>
          <w:cantSplit/>
          <w:jc w:val="center"/>
        </w:trPr>
        <w:tc>
          <w:tcPr>
            <w:tcW w:w="2880" w:type="dxa"/>
          </w:tcPr>
          <w:p w14:paraId="643BCAFE"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Criteria for advancing records</w:t>
            </w:r>
          </w:p>
        </w:tc>
        <w:tc>
          <w:tcPr>
            <w:tcW w:w="1080" w:type="dxa"/>
          </w:tcPr>
          <w:p w14:paraId="64E76A2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Yes</w:t>
            </w:r>
          </w:p>
        </w:tc>
        <w:tc>
          <w:tcPr>
            <w:tcW w:w="3600" w:type="dxa"/>
          </w:tcPr>
          <w:p w14:paraId="1CE0725A"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Methods: Eligibility and exemplar classification (pp. 6-7)</w:t>
            </w:r>
          </w:p>
        </w:tc>
        <w:tc>
          <w:tcPr>
            <w:tcW w:w="7200" w:type="dxa"/>
          </w:tcPr>
          <w:p w14:paraId="698F96CC"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Records advanced when they addressed one of the four randomized design families or cross-cutting methods and were potentially relevant to implementation-strategy testing.</w:t>
            </w:r>
          </w:p>
        </w:tc>
      </w:tr>
      <w:tr w:rsidR="00C40376" w:rsidRPr="0040629A" w14:paraId="2E530F98" w14:textId="77777777" w:rsidTr="00AC3E9E">
        <w:trPr>
          <w:cantSplit/>
          <w:jc w:val="center"/>
        </w:trPr>
        <w:tc>
          <w:tcPr>
            <w:tcW w:w="2880" w:type="dxa"/>
          </w:tcPr>
          <w:p w14:paraId="3CDA7857"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lastRenderedPageBreak/>
              <w:t>Final inclusion definitions</w:t>
            </w:r>
          </w:p>
        </w:tc>
        <w:tc>
          <w:tcPr>
            <w:tcW w:w="1080" w:type="dxa"/>
          </w:tcPr>
          <w:p w14:paraId="24478556"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Yes</w:t>
            </w:r>
          </w:p>
        </w:tc>
        <w:tc>
          <w:tcPr>
            <w:tcW w:w="3600" w:type="dxa"/>
          </w:tcPr>
          <w:p w14:paraId="66D30503"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Methods: Eligibility and exemplar classification (pp. 6-7)</w:t>
            </w:r>
          </w:p>
        </w:tc>
        <w:tc>
          <w:tcPr>
            <w:tcW w:w="7200" w:type="dxa"/>
          </w:tcPr>
          <w:p w14:paraId="48743CF3"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Eligible exemplars randomized an implementation strategy, component, timing, intensity, or sequence. Trials randomizing only the evidence-based clinical intervention were not used as strategy-trial exemplars.</w:t>
            </w:r>
          </w:p>
        </w:tc>
      </w:tr>
      <w:tr w:rsidR="00C40376" w:rsidRPr="0040629A" w14:paraId="57B0146F" w14:textId="77777777" w:rsidTr="00AC3E9E">
        <w:trPr>
          <w:cantSplit/>
          <w:jc w:val="center"/>
        </w:trPr>
        <w:tc>
          <w:tcPr>
            <w:tcW w:w="2880" w:type="dxa"/>
          </w:tcPr>
          <w:p w14:paraId="438A017A"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Settings and participants</w:t>
            </w:r>
          </w:p>
        </w:tc>
        <w:tc>
          <w:tcPr>
            <w:tcW w:w="1080" w:type="dxa"/>
          </w:tcPr>
          <w:p w14:paraId="20677532"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Yes</w:t>
            </w:r>
          </w:p>
        </w:tc>
        <w:tc>
          <w:tcPr>
            <w:tcW w:w="3600" w:type="dxa"/>
          </w:tcPr>
          <w:p w14:paraId="3C07CAC4"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Methods: Review design and scope (p. 6); Discussion: Limitations (p. 19)</w:t>
            </w:r>
          </w:p>
        </w:tc>
        <w:tc>
          <w:tcPr>
            <w:tcW w:w="7200" w:type="dxa"/>
          </w:tcPr>
          <w:p w14:paraId="11FAA59C"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No setting or participant restriction was imposed. The retained examples span health care, mental health, primary care, school, and other service settings.</w:t>
            </w:r>
          </w:p>
        </w:tc>
      </w:tr>
      <w:tr w:rsidR="00C40376" w:rsidRPr="0040629A" w14:paraId="2669F21A" w14:textId="77777777" w:rsidTr="00AC3E9E">
        <w:trPr>
          <w:cantSplit/>
          <w:jc w:val="center"/>
        </w:trPr>
        <w:tc>
          <w:tcPr>
            <w:tcW w:w="2880" w:type="dxa"/>
          </w:tcPr>
          <w:p w14:paraId="190CBA1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Date restrictions</w:t>
            </w:r>
          </w:p>
        </w:tc>
        <w:tc>
          <w:tcPr>
            <w:tcW w:w="1080" w:type="dxa"/>
          </w:tcPr>
          <w:p w14:paraId="184C076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Yes</w:t>
            </w:r>
          </w:p>
        </w:tc>
        <w:tc>
          <w:tcPr>
            <w:tcW w:w="3600" w:type="dxa"/>
          </w:tcPr>
          <w:p w14:paraId="37C4EEB5"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Methods: Review design and scope and Literature identification (p. 6)</w:t>
            </w:r>
          </w:p>
        </w:tc>
        <w:tc>
          <w:tcPr>
            <w:tcW w:w="7200" w:type="dxa"/>
          </w:tcPr>
          <w:p w14:paraId="19066C00"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No publication-year exclusion criterion was used. The verification search updated the source base through May 31, 2026.</w:t>
            </w:r>
          </w:p>
        </w:tc>
      </w:tr>
      <w:tr w:rsidR="00C40376" w:rsidRPr="0040629A" w14:paraId="5E3366AD" w14:textId="77777777" w:rsidTr="00AC3E9E">
        <w:trPr>
          <w:cantSplit/>
          <w:jc w:val="center"/>
        </w:trPr>
        <w:tc>
          <w:tcPr>
            <w:tcW w:w="2880" w:type="dxa"/>
          </w:tcPr>
          <w:p w14:paraId="49798877"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lastRenderedPageBreak/>
              <w:t>Report and publication types</w:t>
            </w:r>
          </w:p>
        </w:tc>
        <w:tc>
          <w:tcPr>
            <w:tcW w:w="1080" w:type="dxa"/>
          </w:tcPr>
          <w:p w14:paraId="56751FD6"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Yes</w:t>
            </w:r>
          </w:p>
        </w:tc>
        <w:tc>
          <w:tcPr>
            <w:tcW w:w="3600" w:type="dxa"/>
          </w:tcPr>
          <w:p w14:paraId="66533014"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Methods: Eligibility and exemplar classification (pp. 6-7)</w:t>
            </w:r>
          </w:p>
        </w:tc>
        <w:tc>
          <w:tcPr>
            <w:tcW w:w="7200" w:type="dxa"/>
          </w:tcPr>
          <w:p w14:paraId="20685937"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Completed trials, protocols, methods papers, reviews, and boundary examples were classified separately. Peer-reviewed English-language reports were eligible.</w:t>
            </w:r>
          </w:p>
        </w:tc>
      </w:tr>
      <w:tr w:rsidR="00C40376" w:rsidRPr="0040629A" w14:paraId="5D22E6FB" w14:textId="77777777" w:rsidTr="00AC3E9E">
        <w:trPr>
          <w:cantSplit/>
          <w:jc w:val="center"/>
        </w:trPr>
        <w:tc>
          <w:tcPr>
            <w:tcW w:w="2880" w:type="dxa"/>
          </w:tcPr>
          <w:p w14:paraId="74F6D090"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Foreign-language reports</w:t>
            </w:r>
          </w:p>
        </w:tc>
        <w:tc>
          <w:tcPr>
            <w:tcW w:w="1080" w:type="dxa"/>
          </w:tcPr>
          <w:p w14:paraId="3BAC1CB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Yes</w:t>
            </w:r>
          </w:p>
        </w:tc>
        <w:tc>
          <w:tcPr>
            <w:tcW w:w="3600" w:type="dxa"/>
          </w:tcPr>
          <w:p w14:paraId="54D6BB26"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Methods: Eligibility and exemplar classification (p. 7)</w:t>
            </w:r>
          </w:p>
        </w:tc>
        <w:tc>
          <w:tcPr>
            <w:tcW w:w="7200" w:type="dxa"/>
          </w:tcPr>
          <w:p w14:paraId="4CD687C1"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The verification search used English-language terms and retained English-language reports.</w:t>
            </w:r>
          </w:p>
        </w:tc>
      </w:tr>
      <w:tr w:rsidR="00C40376" w:rsidRPr="0040629A" w14:paraId="47592D21" w14:textId="77777777" w:rsidTr="00AC3E9E">
        <w:trPr>
          <w:cantSplit/>
          <w:jc w:val="center"/>
        </w:trPr>
        <w:tc>
          <w:tcPr>
            <w:tcW w:w="2880" w:type="dxa"/>
          </w:tcPr>
          <w:p w14:paraId="1F040C4B"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Adequate information required</w:t>
            </w:r>
          </w:p>
        </w:tc>
        <w:tc>
          <w:tcPr>
            <w:tcW w:w="1080" w:type="dxa"/>
          </w:tcPr>
          <w:p w14:paraId="79585C4E"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Yes</w:t>
            </w:r>
          </w:p>
        </w:tc>
        <w:tc>
          <w:tcPr>
            <w:tcW w:w="3600" w:type="dxa"/>
          </w:tcPr>
          <w:p w14:paraId="4DDA0BFB"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Methods: Eligibility and exemplar classification (pp. 6-7)</w:t>
            </w:r>
          </w:p>
        </w:tc>
        <w:tc>
          <w:tcPr>
            <w:tcW w:w="7200" w:type="dxa"/>
          </w:tcPr>
          <w:p w14:paraId="410A688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The abstract or full publication record had to identify the randomized factor, allocation structure, report type, and relevance to an implementation decision.</w:t>
            </w:r>
          </w:p>
        </w:tc>
      </w:tr>
      <w:tr w:rsidR="00C40376" w:rsidRPr="0040629A" w14:paraId="14445308" w14:textId="77777777" w:rsidTr="00AC3E9E">
        <w:trPr>
          <w:cantSplit/>
          <w:jc w:val="center"/>
        </w:trPr>
        <w:tc>
          <w:tcPr>
            <w:tcW w:w="2880" w:type="dxa"/>
          </w:tcPr>
          <w:p w14:paraId="43253144"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Near-eligible excluded reports</w:t>
            </w:r>
          </w:p>
        </w:tc>
        <w:tc>
          <w:tcPr>
            <w:tcW w:w="1080" w:type="dxa"/>
          </w:tcPr>
          <w:p w14:paraId="04DFD53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Yes</w:t>
            </w:r>
          </w:p>
        </w:tc>
        <w:tc>
          <w:tcPr>
            <w:tcW w:w="3600" w:type="dxa"/>
          </w:tcPr>
          <w:p w14:paraId="1A03A52E"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Additional file 1: Candidate-source disposition log</w:t>
            </w:r>
          </w:p>
        </w:tc>
        <w:tc>
          <w:tcPr>
            <w:tcW w:w="7200" w:type="dxa"/>
          </w:tcPr>
          <w:p w14:paraId="18E49567"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The candidate-source log lists boundary, redundant, supporting, and excluded reports and provides a brief rationale for each disposition.</w:t>
            </w:r>
          </w:p>
        </w:tc>
      </w:tr>
      <w:tr w:rsidR="00C40376" w:rsidRPr="0040629A" w14:paraId="2DC1C71C" w14:textId="77777777" w:rsidTr="00AC3E9E">
        <w:trPr>
          <w:cantSplit/>
          <w:jc w:val="center"/>
        </w:trPr>
        <w:tc>
          <w:tcPr>
            <w:tcW w:w="2880" w:type="dxa"/>
          </w:tcPr>
          <w:p w14:paraId="1C321FBE"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lastRenderedPageBreak/>
              <w:t>Total result counts</w:t>
            </w:r>
          </w:p>
        </w:tc>
        <w:tc>
          <w:tcPr>
            <w:tcW w:w="1080" w:type="dxa"/>
          </w:tcPr>
          <w:p w14:paraId="49F87A97"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Yes</w:t>
            </w:r>
          </w:p>
        </w:tc>
        <w:tc>
          <w:tcPr>
            <w:tcW w:w="3600" w:type="dxa"/>
          </w:tcPr>
          <w:p w14:paraId="5C83C00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Methods: Literature identification (p. 6); Additional file 1: Result accounting</w:t>
            </w:r>
          </w:p>
        </w:tc>
        <w:tc>
          <w:tcPr>
            <w:tcW w:w="7200" w:type="dxa"/>
          </w:tcPr>
          <w:p w14:paraId="456AD031"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The eight searches returned 34 result records. After removal of one duplicate, one correction notice, and one metrics-only webpage, 31 unique candidate reports were screened.</w:t>
            </w:r>
          </w:p>
        </w:tc>
      </w:tr>
      <w:tr w:rsidR="00C40376" w:rsidRPr="0040629A" w14:paraId="472171A8" w14:textId="77777777" w:rsidTr="00AC3E9E">
        <w:trPr>
          <w:cantSplit/>
          <w:jc w:val="center"/>
        </w:trPr>
        <w:tc>
          <w:tcPr>
            <w:tcW w:w="2880" w:type="dxa"/>
          </w:tcPr>
          <w:p w14:paraId="7E0058CE"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Search platform and sources</w:t>
            </w:r>
          </w:p>
        </w:tc>
        <w:tc>
          <w:tcPr>
            <w:tcW w:w="1080" w:type="dxa"/>
          </w:tcPr>
          <w:p w14:paraId="6E5BDCA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Yes</w:t>
            </w:r>
          </w:p>
        </w:tc>
        <w:tc>
          <w:tcPr>
            <w:tcW w:w="3600" w:type="dxa"/>
          </w:tcPr>
          <w:p w14:paraId="552D02C1"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Methods: Literature identification (p. 6); Additional file 1: Search strategy</w:t>
            </w:r>
          </w:p>
        </w:tc>
        <w:tc>
          <w:tcPr>
            <w:tcW w:w="7200" w:type="dxa"/>
          </w:tcPr>
          <w:p w14:paraId="3ACF8B5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Domain-restricted web searches targeted PubMed/PubMed Central records and official publisher pages. The interface was OpenAI web search.</w:t>
            </w:r>
          </w:p>
        </w:tc>
      </w:tr>
      <w:tr w:rsidR="00C40376" w:rsidRPr="0040629A" w14:paraId="0025BE6D" w14:textId="77777777" w:rsidTr="00AC3E9E">
        <w:trPr>
          <w:cantSplit/>
          <w:jc w:val="center"/>
        </w:trPr>
        <w:tc>
          <w:tcPr>
            <w:tcW w:w="2880" w:type="dxa"/>
          </w:tcPr>
          <w:p w14:paraId="691206D5"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Complete search queries</w:t>
            </w:r>
          </w:p>
        </w:tc>
        <w:tc>
          <w:tcPr>
            <w:tcW w:w="1080" w:type="dxa"/>
          </w:tcPr>
          <w:p w14:paraId="739CFA2F"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Yes</w:t>
            </w:r>
          </w:p>
        </w:tc>
        <w:tc>
          <w:tcPr>
            <w:tcW w:w="3600" w:type="dxa"/>
          </w:tcPr>
          <w:p w14:paraId="6836D0FC"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Additional file 1: Search strategy</w:t>
            </w:r>
          </w:p>
        </w:tc>
        <w:tc>
          <w:tcPr>
            <w:tcW w:w="7200" w:type="dxa"/>
          </w:tcPr>
          <w:p w14:paraId="19FC53C0"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All eight verification-search queries are reproduced verbatim.</w:t>
            </w:r>
          </w:p>
        </w:tc>
      </w:tr>
      <w:tr w:rsidR="00C40376" w:rsidRPr="0040629A" w14:paraId="7112AC80" w14:textId="77777777" w:rsidTr="00AC3E9E">
        <w:trPr>
          <w:cantSplit/>
          <w:jc w:val="center"/>
        </w:trPr>
        <w:tc>
          <w:tcPr>
            <w:tcW w:w="2880" w:type="dxa"/>
          </w:tcPr>
          <w:p w14:paraId="43070EA0"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Search date</w:t>
            </w:r>
          </w:p>
        </w:tc>
        <w:tc>
          <w:tcPr>
            <w:tcW w:w="1080" w:type="dxa"/>
          </w:tcPr>
          <w:p w14:paraId="00C8DE5B"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Yes</w:t>
            </w:r>
          </w:p>
        </w:tc>
        <w:tc>
          <w:tcPr>
            <w:tcW w:w="3600" w:type="dxa"/>
          </w:tcPr>
          <w:p w14:paraId="3506FCD6"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Methods: Literature identification (p. 6); Additional file 1: Search strategy</w:t>
            </w:r>
          </w:p>
        </w:tc>
        <w:tc>
          <w:tcPr>
            <w:tcW w:w="7200" w:type="dxa"/>
          </w:tcPr>
          <w:p w14:paraId="681E64EC"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May 31, 2026.</w:t>
            </w:r>
          </w:p>
        </w:tc>
      </w:tr>
      <w:tr w:rsidR="00C40376" w:rsidRPr="0040629A" w14:paraId="1817D30E" w14:textId="77777777" w:rsidTr="00AC3E9E">
        <w:trPr>
          <w:cantSplit/>
          <w:jc w:val="center"/>
        </w:trPr>
        <w:tc>
          <w:tcPr>
            <w:tcW w:w="2880" w:type="dxa"/>
          </w:tcPr>
          <w:p w14:paraId="7470AF45"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lastRenderedPageBreak/>
              <w:t>Per-query database totals</w:t>
            </w:r>
          </w:p>
        </w:tc>
        <w:tc>
          <w:tcPr>
            <w:tcW w:w="1080" w:type="dxa"/>
          </w:tcPr>
          <w:p w14:paraId="2200E52D"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Partly</w:t>
            </w:r>
          </w:p>
        </w:tc>
        <w:tc>
          <w:tcPr>
            <w:tcW w:w="3600" w:type="dxa"/>
          </w:tcPr>
          <w:p w14:paraId="1764B39C"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Additional file 1: Search strategy and limitations</w:t>
            </w:r>
          </w:p>
        </w:tc>
        <w:tc>
          <w:tcPr>
            <w:tcW w:w="7200" w:type="dxa"/>
          </w:tcPr>
          <w:p w14:paraId="0D4B2D5C"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The interface returned ranked records but did not expose exhaustive database totals by query. The reported count is the number of records actually returned and screened.</w:t>
            </w:r>
          </w:p>
        </w:tc>
      </w:tr>
      <w:tr w:rsidR="00C40376" w:rsidRPr="0040629A" w14:paraId="35A7F47E" w14:textId="77777777" w:rsidTr="00AC3E9E">
        <w:trPr>
          <w:cantSplit/>
          <w:jc w:val="center"/>
        </w:trPr>
        <w:tc>
          <w:tcPr>
            <w:tcW w:w="2880" w:type="dxa"/>
          </w:tcPr>
          <w:p w14:paraId="65086F24"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Journal or bibliography hand-searching</w:t>
            </w:r>
          </w:p>
        </w:tc>
        <w:tc>
          <w:tcPr>
            <w:tcW w:w="1080" w:type="dxa"/>
          </w:tcPr>
          <w:p w14:paraId="0F9C949E"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No</w:t>
            </w:r>
          </w:p>
        </w:tc>
        <w:tc>
          <w:tcPr>
            <w:tcW w:w="3600" w:type="dxa"/>
          </w:tcPr>
          <w:p w14:paraId="04FE3164"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Methods: Literature identification (p. 6)</w:t>
            </w:r>
          </w:p>
        </w:tc>
        <w:tc>
          <w:tcPr>
            <w:tcW w:w="7200" w:type="dxa"/>
          </w:tcPr>
          <w:p w14:paraId="26B98174"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No new formal journal hand-search was conducted during the reconstruction.</w:t>
            </w:r>
          </w:p>
        </w:tc>
      </w:tr>
      <w:tr w:rsidR="00C40376" w:rsidRPr="0040629A" w14:paraId="776421F0" w14:textId="77777777" w:rsidTr="00AC3E9E">
        <w:trPr>
          <w:cantSplit/>
          <w:jc w:val="center"/>
        </w:trPr>
        <w:tc>
          <w:tcPr>
            <w:tcW w:w="2880" w:type="dxa"/>
          </w:tcPr>
          <w:p w14:paraId="075B45D7"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Backward reference-list searching</w:t>
            </w:r>
          </w:p>
        </w:tc>
        <w:tc>
          <w:tcPr>
            <w:tcW w:w="1080" w:type="dxa"/>
          </w:tcPr>
          <w:p w14:paraId="53930832"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Partly</w:t>
            </w:r>
          </w:p>
        </w:tc>
        <w:tc>
          <w:tcPr>
            <w:tcW w:w="3600" w:type="dxa"/>
          </w:tcPr>
          <w:p w14:paraId="4AAE3DC1"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Methods: Literature identification (p. 6)</w:t>
            </w:r>
          </w:p>
        </w:tc>
        <w:tc>
          <w:tcPr>
            <w:tcW w:w="7200" w:type="dxa"/>
          </w:tcPr>
          <w:p w14:paraId="1983FBEB"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The existing manuscript bibliography served as a seed set, but no new formal backward-search count was generated.</w:t>
            </w:r>
          </w:p>
        </w:tc>
      </w:tr>
      <w:tr w:rsidR="00C40376" w:rsidRPr="0040629A" w14:paraId="243E1934" w14:textId="77777777" w:rsidTr="00AC3E9E">
        <w:trPr>
          <w:cantSplit/>
          <w:jc w:val="center"/>
        </w:trPr>
        <w:tc>
          <w:tcPr>
            <w:tcW w:w="2880" w:type="dxa"/>
          </w:tcPr>
          <w:p w14:paraId="5776DD8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Forward citation searching</w:t>
            </w:r>
          </w:p>
        </w:tc>
        <w:tc>
          <w:tcPr>
            <w:tcW w:w="1080" w:type="dxa"/>
          </w:tcPr>
          <w:p w14:paraId="061DB99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No</w:t>
            </w:r>
          </w:p>
        </w:tc>
        <w:tc>
          <w:tcPr>
            <w:tcW w:w="3600" w:type="dxa"/>
          </w:tcPr>
          <w:p w14:paraId="3D65DA7B"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Methods: Literature identification (p. 6)</w:t>
            </w:r>
          </w:p>
        </w:tc>
        <w:tc>
          <w:tcPr>
            <w:tcW w:w="7200" w:type="dxa"/>
          </w:tcPr>
          <w:p w14:paraId="077B677F"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No formal citation-index search was conducted during the reconstruction.</w:t>
            </w:r>
          </w:p>
        </w:tc>
      </w:tr>
      <w:tr w:rsidR="00C40376" w:rsidRPr="0040629A" w14:paraId="6805EBD3" w14:textId="77777777" w:rsidTr="00AC3E9E">
        <w:trPr>
          <w:cantSplit/>
          <w:jc w:val="center"/>
        </w:trPr>
        <w:tc>
          <w:tcPr>
            <w:tcW w:w="2880" w:type="dxa"/>
          </w:tcPr>
          <w:p w14:paraId="7D599DDA"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Direct contact with authors or experts</w:t>
            </w:r>
          </w:p>
        </w:tc>
        <w:tc>
          <w:tcPr>
            <w:tcW w:w="1080" w:type="dxa"/>
          </w:tcPr>
          <w:p w14:paraId="7209BCB6"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No</w:t>
            </w:r>
          </w:p>
        </w:tc>
        <w:tc>
          <w:tcPr>
            <w:tcW w:w="3600" w:type="dxa"/>
          </w:tcPr>
          <w:p w14:paraId="7A999085"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Methods: Literature identification (p. 6)</w:t>
            </w:r>
          </w:p>
        </w:tc>
        <w:tc>
          <w:tcPr>
            <w:tcW w:w="7200" w:type="dxa"/>
          </w:tcPr>
          <w:p w14:paraId="704A28A3"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Not conducted.</w:t>
            </w:r>
          </w:p>
        </w:tc>
      </w:tr>
      <w:tr w:rsidR="00C40376" w:rsidRPr="0040629A" w14:paraId="58570047" w14:textId="77777777" w:rsidTr="00AC3E9E">
        <w:trPr>
          <w:cantSplit/>
          <w:jc w:val="center"/>
        </w:trPr>
        <w:tc>
          <w:tcPr>
            <w:tcW w:w="2880" w:type="dxa"/>
          </w:tcPr>
          <w:p w14:paraId="4634EC2C"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lastRenderedPageBreak/>
              <w:t>Duplicate independent screening</w:t>
            </w:r>
          </w:p>
        </w:tc>
        <w:tc>
          <w:tcPr>
            <w:tcW w:w="1080" w:type="dxa"/>
          </w:tcPr>
          <w:p w14:paraId="77552AC0"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No</w:t>
            </w:r>
          </w:p>
        </w:tc>
        <w:tc>
          <w:tcPr>
            <w:tcW w:w="3600" w:type="dxa"/>
          </w:tcPr>
          <w:p w14:paraId="1955EEA1"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Methods: Literature identification (p. 6); Discussion: Limitations (p. 19)</w:t>
            </w:r>
          </w:p>
        </w:tc>
        <w:tc>
          <w:tcPr>
            <w:tcW w:w="7200" w:type="dxa"/>
          </w:tcPr>
          <w:p w14:paraId="10B0591A"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No duplicate independent screening was conducted; this is reported as a limitation of the focused verification workflow.</w:t>
            </w:r>
          </w:p>
        </w:tc>
      </w:tr>
    </w:tbl>
    <w:p w14:paraId="1CB288B9" w14:textId="77777777" w:rsidR="00C40376" w:rsidRPr="0040629A" w:rsidRDefault="00C40376" w:rsidP="00C40376">
      <w:pPr>
        <w:pStyle w:val="Heading1"/>
        <w:numPr>
          <w:ilvl w:val="0"/>
          <w:numId w:val="0"/>
        </w:numPr>
        <w:spacing w:line="480" w:lineRule="auto"/>
        <w:ind w:left="288" w:hanging="288"/>
        <w:rPr>
          <w:rFonts w:ascii="Times New Roman" w:hAnsi="Times New Roman"/>
          <w:sz w:val="24"/>
          <w:szCs w:val="24"/>
        </w:rPr>
      </w:pPr>
      <w:r w:rsidRPr="0040629A">
        <w:rPr>
          <w:rFonts w:ascii="Times New Roman" w:hAnsi="Times New Roman"/>
          <w:sz w:val="24"/>
          <w:szCs w:val="24"/>
        </w:rPr>
        <w:t xml:space="preserve">3. </w:t>
      </w:r>
      <w:r w:rsidRPr="0012092B">
        <w:rPr>
          <w:rFonts w:ascii="Times New Roman" w:hAnsi="Times New Roman"/>
          <w:sz w:val="26"/>
          <w:szCs w:val="26"/>
        </w:rPr>
        <w:t>Verification and update search strategy</w:t>
      </w:r>
    </w:p>
    <w:p w14:paraId="0833EE63" w14:textId="77777777" w:rsidR="00C40376" w:rsidRPr="0040629A" w:rsidRDefault="00C40376" w:rsidP="00C40376">
      <w:pPr>
        <w:spacing w:after="40" w:line="480" w:lineRule="auto"/>
        <w:rPr>
          <w:rFonts w:ascii="Times New Roman" w:hAnsi="Times New Roman" w:cs="Times New Roman"/>
          <w:sz w:val="24"/>
          <w:szCs w:val="24"/>
        </w:rPr>
      </w:pPr>
      <w:r w:rsidRPr="0040629A">
        <w:rPr>
          <w:rFonts w:ascii="Times New Roman" w:hAnsi="Times New Roman" w:cs="Times New Roman"/>
          <w:b/>
          <w:sz w:val="24"/>
          <w:szCs w:val="24"/>
        </w:rPr>
        <w:t xml:space="preserve">Search date: </w:t>
      </w:r>
      <w:r w:rsidRPr="0040629A">
        <w:rPr>
          <w:rFonts w:ascii="Times New Roman" w:hAnsi="Times New Roman" w:cs="Times New Roman"/>
          <w:sz w:val="24"/>
          <w:szCs w:val="24"/>
        </w:rPr>
        <w:t>May 31, 2026</w:t>
      </w:r>
    </w:p>
    <w:p w14:paraId="4B4D02E3" w14:textId="77777777" w:rsidR="00C40376" w:rsidRPr="0040629A" w:rsidRDefault="00C40376" w:rsidP="00C40376">
      <w:pPr>
        <w:spacing w:after="40" w:line="480" w:lineRule="auto"/>
        <w:rPr>
          <w:rFonts w:ascii="Times New Roman" w:hAnsi="Times New Roman" w:cs="Times New Roman"/>
          <w:sz w:val="24"/>
          <w:szCs w:val="24"/>
        </w:rPr>
      </w:pPr>
      <w:r w:rsidRPr="0040629A">
        <w:rPr>
          <w:rFonts w:ascii="Times New Roman" w:hAnsi="Times New Roman" w:cs="Times New Roman"/>
          <w:b/>
          <w:sz w:val="24"/>
          <w:szCs w:val="24"/>
        </w:rPr>
        <w:t xml:space="preserve">Searcher/process lead: </w:t>
      </w:r>
      <w:r w:rsidRPr="00FC73A0">
        <w:rPr>
          <w:rFonts w:ascii="Times New Roman" w:hAnsi="Times New Roman" w:cs="Times New Roman"/>
          <w:bCs/>
          <w:sz w:val="24"/>
          <w:szCs w:val="24"/>
        </w:rPr>
        <w:t>JKA directed the search and source-classification process; ChatGPT assisted with retrieval organization and title deduplication</w:t>
      </w:r>
    </w:p>
    <w:p w14:paraId="64749DC6" w14:textId="6D5D6026" w:rsidR="00C40376" w:rsidRPr="00D67138" w:rsidRDefault="00C40376" w:rsidP="00C40376">
      <w:pPr>
        <w:spacing w:after="40" w:line="480" w:lineRule="auto"/>
        <w:rPr>
          <w:bCs/>
        </w:rPr>
      </w:pPr>
      <w:r w:rsidRPr="0040629A">
        <w:rPr>
          <w:rFonts w:ascii="Times New Roman" w:hAnsi="Times New Roman" w:cs="Times New Roman"/>
          <w:b/>
          <w:sz w:val="24"/>
          <w:szCs w:val="24"/>
        </w:rPr>
        <w:t xml:space="preserve">Search interface: </w:t>
      </w:r>
      <w:r w:rsidR="006378D7" w:rsidRPr="00FC73A0">
        <w:rPr>
          <w:rFonts w:ascii="Times New Roman" w:hAnsi="Times New Roman" w:cs="Times New Roman"/>
          <w:bCs/>
          <w:sz w:val="24"/>
          <w:szCs w:val="24"/>
        </w:rPr>
        <w:t>D</w:t>
      </w:r>
      <w:r w:rsidRPr="00FC73A0">
        <w:rPr>
          <w:rFonts w:ascii="Times New Roman" w:hAnsi="Times New Roman" w:cs="Times New Roman"/>
          <w:bCs/>
          <w:sz w:val="24"/>
          <w:szCs w:val="24"/>
        </w:rPr>
        <w:t xml:space="preserve">omain-restricted </w:t>
      </w:r>
      <w:r w:rsidR="006378D7" w:rsidRPr="00FC73A0">
        <w:rPr>
          <w:rFonts w:ascii="Times New Roman" w:hAnsi="Times New Roman" w:cs="Times New Roman"/>
          <w:bCs/>
          <w:sz w:val="24"/>
          <w:szCs w:val="24"/>
        </w:rPr>
        <w:t>web</w:t>
      </w:r>
      <w:r w:rsidR="00FC73A0" w:rsidRPr="00FC73A0">
        <w:rPr>
          <w:rFonts w:ascii="Times New Roman" w:hAnsi="Times New Roman" w:cs="Times New Roman"/>
          <w:bCs/>
          <w:sz w:val="24"/>
          <w:szCs w:val="24"/>
        </w:rPr>
        <w:t xml:space="preserve"> searches</w:t>
      </w:r>
      <w:r w:rsidRPr="00FC73A0">
        <w:rPr>
          <w:rFonts w:ascii="Times New Roman" w:hAnsi="Times New Roman" w:cs="Times New Roman"/>
          <w:bCs/>
          <w:sz w:val="24"/>
          <w:szCs w:val="24"/>
        </w:rPr>
        <w:t xml:space="preserve"> targeting PubMed/PubMed Central records and </w:t>
      </w:r>
      <w:r w:rsidR="00F92F00">
        <w:rPr>
          <w:rFonts w:ascii="Times New Roman" w:hAnsi="Times New Roman" w:cs="Times New Roman"/>
          <w:bCs/>
          <w:sz w:val="24"/>
          <w:szCs w:val="24"/>
        </w:rPr>
        <w:t xml:space="preserve">the </w:t>
      </w:r>
      <w:r w:rsidRPr="00FC73A0">
        <w:rPr>
          <w:rFonts w:ascii="Times New Roman" w:hAnsi="Times New Roman" w:cs="Times New Roman"/>
          <w:bCs/>
          <w:sz w:val="24"/>
          <w:szCs w:val="24"/>
        </w:rPr>
        <w:t xml:space="preserve">official </w:t>
      </w:r>
      <w:r w:rsidR="00F92F00" w:rsidRPr="00114F78">
        <w:rPr>
          <w:rFonts w:ascii="Times New Roman" w:hAnsi="Times New Roman" w:cs="Times New Roman"/>
          <w:bCs/>
          <w:i/>
          <w:iCs/>
          <w:sz w:val="24"/>
          <w:szCs w:val="24"/>
        </w:rPr>
        <w:t>Implementation</w:t>
      </w:r>
      <w:r w:rsidR="00114F78" w:rsidRPr="00114F78">
        <w:rPr>
          <w:rFonts w:ascii="Times New Roman" w:hAnsi="Times New Roman" w:cs="Times New Roman"/>
          <w:bCs/>
          <w:i/>
          <w:iCs/>
          <w:sz w:val="24"/>
          <w:szCs w:val="24"/>
        </w:rPr>
        <w:t xml:space="preserve"> Science</w:t>
      </w:r>
      <w:r w:rsidR="00114F78">
        <w:rPr>
          <w:rFonts w:ascii="Times New Roman" w:hAnsi="Times New Roman" w:cs="Times New Roman"/>
          <w:bCs/>
          <w:sz w:val="24"/>
          <w:szCs w:val="24"/>
        </w:rPr>
        <w:t xml:space="preserve"> </w:t>
      </w:r>
      <w:r w:rsidRPr="00FC73A0">
        <w:rPr>
          <w:rFonts w:ascii="Times New Roman" w:hAnsi="Times New Roman" w:cs="Times New Roman"/>
          <w:bCs/>
          <w:sz w:val="24"/>
          <w:szCs w:val="24"/>
        </w:rPr>
        <w:t xml:space="preserve">publisher </w:t>
      </w:r>
      <w:r w:rsidR="00114F78">
        <w:rPr>
          <w:rFonts w:ascii="Times New Roman" w:hAnsi="Times New Roman" w:cs="Times New Roman"/>
          <w:bCs/>
          <w:sz w:val="24"/>
          <w:szCs w:val="24"/>
        </w:rPr>
        <w:t>site.</w:t>
      </w:r>
      <w:r w:rsidR="00D67138">
        <w:rPr>
          <w:rFonts w:ascii="Times New Roman" w:hAnsi="Times New Roman" w:cs="Times New Roman"/>
          <w:bCs/>
          <w:sz w:val="24"/>
          <w:szCs w:val="24"/>
        </w:rPr>
        <w:t xml:space="preserve"> </w:t>
      </w:r>
      <w:r w:rsidR="00D67138" w:rsidRPr="00D67138">
        <w:rPr>
          <w:rFonts w:ascii="Times New Roman" w:hAnsi="Times New Roman" w:cs="Times New Roman"/>
          <w:bCs/>
          <w:sz w:val="24"/>
          <w:szCs w:val="24"/>
        </w:rPr>
        <w:t>Queries returned ranked PubMed-indexed and publisher-hosted records.</w:t>
      </w:r>
    </w:p>
    <w:p w14:paraId="68D59091" w14:textId="77777777" w:rsidR="00C40376" w:rsidRPr="0040629A" w:rsidRDefault="00C40376" w:rsidP="00C40376">
      <w:pPr>
        <w:spacing w:after="40" w:line="480" w:lineRule="auto"/>
        <w:rPr>
          <w:rFonts w:ascii="Times New Roman" w:hAnsi="Times New Roman" w:cs="Times New Roman"/>
          <w:sz w:val="24"/>
          <w:szCs w:val="24"/>
        </w:rPr>
      </w:pPr>
      <w:r w:rsidRPr="0040629A">
        <w:rPr>
          <w:rFonts w:ascii="Times New Roman" w:hAnsi="Times New Roman" w:cs="Times New Roman"/>
          <w:b/>
          <w:sz w:val="24"/>
          <w:szCs w:val="24"/>
        </w:rPr>
        <w:t xml:space="preserve">Language: </w:t>
      </w:r>
      <w:r w:rsidRPr="0040629A">
        <w:rPr>
          <w:rFonts w:ascii="Times New Roman" w:hAnsi="Times New Roman" w:cs="Times New Roman"/>
          <w:sz w:val="24"/>
          <w:szCs w:val="24"/>
        </w:rPr>
        <w:t>English</w:t>
      </w:r>
    </w:p>
    <w:p w14:paraId="6417EA22" w14:textId="77777777" w:rsidR="00C40376" w:rsidRPr="0040629A" w:rsidRDefault="00C40376" w:rsidP="00C40376">
      <w:pPr>
        <w:spacing w:after="40" w:line="480" w:lineRule="auto"/>
        <w:rPr>
          <w:rFonts w:ascii="Times New Roman" w:hAnsi="Times New Roman" w:cs="Times New Roman"/>
          <w:sz w:val="24"/>
          <w:szCs w:val="24"/>
        </w:rPr>
      </w:pPr>
      <w:r w:rsidRPr="0040629A">
        <w:rPr>
          <w:rFonts w:ascii="Times New Roman" w:hAnsi="Times New Roman" w:cs="Times New Roman"/>
          <w:b/>
          <w:sz w:val="24"/>
          <w:szCs w:val="24"/>
        </w:rPr>
        <w:t xml:space="preserve">Purpose: </w:t>
      </w:r>
      <w:r w:rsidRPr="00FC73A0">
        <w:rPr>
          <w:rFonts w:ascii="Times New Roman" w:hAnsi="Times New Roman" w:cs="Times New Roman"/>
          <w:bCs/>
          <w:sz w:val="24"/>
          <w:szCs w:val="24"/>
        </w:rPr>
        <w:t>Verification and updating of a purposively assembled exemplar set; not exhaustive evidence retrieval or effect estimation</w:t>
      </w:r>
    </w:p>
    <w:p w14:paraId="047E03EE" w14:textId="77777777" w:rsidR="00C40376" w:rsidRPr="0040629A" w:rsidRDefault="00C40376" w:rsidP="00C40376">
      <w:pPr>
        <w:spacing w:after="40" w:line="480" w:lineRule="auto"/>
        <w:rPr>
          <w:rFonts w:ascii="Times New Roman" w:hAnsi="Times New Roman" w:cs="Times New Roman"/>
          <w:sz w:val="24"/>
          <w:szCs w:val="24"/>
        </w:rPr>
      </w:pPr>
      <w:r w:rsidRPr="0040629A">
        <w:rPr>
          <w:rFonts w:ascii="Times New Roman" w:hAnsi="Times New Roman" w:cs="Times New Roman"/>
          <w:b/>
          <w:sz w:val="24"/>
          <w:szCs w:val="24"/>
        </w:rPr>
        <w:t xml:space="preserve">Result accounting: </w:t>
      </w:r>
      <w:r w:rsidRPr="0040629A">
        <w:rPr>
          <w:rFonts w:ascii="Times New Roman" w:hAnsi="Times New Roman" w:cs="Times New Roman"/>
          <w:sz w:val="24"/>
          <w:szCs w:val="24"/>
        </w:rPr>
        <w:t>34 returned result records; 3 removed before candidate screening; 31 unique candidate reports screened</w:t>
      </w:r>
    </w:p>
    <w:tbl>
      <w:tblPr>
        <w:tblStyle w:val="TableGrid"/>
        <w:tblW w:w="0" w:type="auto"/>
        <w:jc w:val="center"/>
        <w:tblLook w:val="04A0" w:firstRow="1" w:lastRow="0" w:firstColumn="1" w:lastColumn="0" w:noHBand="0" w:noVBand="1"/>
      </w:tblPr>
      <w:tblGrid>
        <w:gridCol w:w="3579"/>
        <w:gridCol w:w="5771"/>
      </w:tblGrid>
      <w:tr w:rsidR="00C40376" w:rsidRPr="0040629A" w14:paraId="18661337" w14:textId="77777777" w:rsidTr="00AC3E9E">
        <w:trPr>
          <w:tblHeader/>
          <w:jc w:val="center"/>
        </w:trPr>
        <w:tc>
          <w:tcPr>
            <w:tcW w:w="7128" w:type="dxa"/>
            <w:shd w:val="clear" w:color="auto" w:fill="D9EAF7"/>
          </w:tcPr>
          <w:p w14:paraId="71697250"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b/>
                <w:sz w:val="24"/>
                <w:szCs w:val="24"/>
              </w:rPr>
              <w:t>Query</w:t>
            </w:r>
          </w:p>
        </w:tc>
        <w:tc>
          <w:tcPr>
            <w:tcW w:w="7128" w:type="dxa"/>
            <w:shd w:val="clear" w:color="auto" w:fill="D9EAF7"/>
          </w:tcPr>
          <w:p w14:paraId="75535162"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b/>
                <w:sz w:val="24"/>
                <w:szCs w:val="24"/>
              </w:rPr>
              <w:t>Exact search string</w:t>
            </w:r>
          </w:p>
        </w:tc>
      </w:tr>
      <w:tr w:rsidR="00C40376" w:rsidRPr="0040629A" w14:paraId="44950B8F" w14:textId="77777777" w:rsidTr="00AC3E9E">
        <w:trPr>
          <w:cantSplit/>
          <w:jc w:val="center"/>
        </w:trPr>
        <w:tc>
          <w:tcPr>
            <w:tcW w:w="7128" w:type="dxa"/>
          </w:tcPr>
          <w:p w14:paraId="1EFBED24"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Q1</w:t>
            </w:r>
          </w:p>
        </w:tc>
        <w:tc>
          <w:tcPr>
            <w:tcW w:w="7128" w:type="dxa"/>
          </w:tcPr>
          <w:p w14:paraId="41C52E7B"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site:pubmed.ncbi.nlm.nih.gov 2025 2026 implementation strategy cluster randomized trial implementation science</w:t>
            </w:r>
          </w:p>
        </w:tc>
      </w:tr>
      <w:tr w:rsidR="00C40376" w:rsidRPr="0040629A" w14:paraId="623F677F" w14:textId="77777777" w:rsidTr="00AC3E9E">
        <w:trPr>
          <w:cantSplit/>
          <w:jc w:val="center"/>
        </w:trPr>
        <w:tc>
          <w:tcPr>
            <w:tcW w:w="7128" w:type="dxa"/>
          </w:tcPr>
          <w:p w14:paraId="24E955DA"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lastRenderedPageBreak/>
              <w:t>Q2</w:t>
            </w:r>
          </w:p>
        </w:tc>
        <w:tc>
          <w:tcPr>
            <w:tcW w:w="7128" w:type="dxa"/>
          </w:tcPr>
          <w:p w14:paraId="268F4B10"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site:pubmed.ncbi.nlm.nih.gov 2025 2026 implementation strategy stepped wedge cluster randomized trial</w:t>
            </w:r>
          </w:p>
        </w:tc>
      </w:tr>
      <w:tr w:rsidR="00C40376" w:rsidRPr="0040629A" w14:paraId="18E55E36" w14:textId="77777777" w:rsidTr="00AC3E9E">
        <w:trPr>
          <w:cantSplit/>
          <w:jc w:val="center"/>
        </w:trPr>
        <w:tc>
          <w:tcPr>
            <w:tcW w:w="7128" w:type="dxa"/>
          </w:tcPr>
          <w:p w14:paraId="3572664D"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Q3</w:t>
            </w:r>
          </w:p>
        </w:tc>
        <w:tc>
          <w:tcPr>
            <w:tcW w:w="7128" w:type="dxa"/>
          </w:tcPr>
          <w:p w14:paraId="00CB78C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site:pubmed.ncbi.nlm.nih.gov 2025 2026 factorial implementation trial implementation strategy MOST</w:t>
            </w:r>
          </w:p>
        </w:tc>
      </w:tr>
      <w:tr w:rsidR="00C40376" w:rsidRPr="0040629A" w14:paraId="2D5E62FA" w14:textId="77777777" w:rsidTr="00AC3E9E">
        <w:trPr>
          <w:cantSplit/>
          <w:jc w:val="center"/>
        </w:trPr>
        <w:tc>
          <w:tcPr>
            <w:tcW w:w="7128" w:type="dxa"/>
          </w:tcPr>
          <w:p w14:paraId="325BF105"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Q4</w:t>
            </w:r>
          </w:p>
        </w:tc>
        <w:tc>
          <w:tcPr>
            <w:tcW w:w="7128" w:type="dxa"/>
          </w:tcPr>
          <w:p w14:paraId="0C3A2306"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site:pubmed.ncbi.nlm.nih.gov 2025 2026 SMART adaptive implementation strategy trial results</w:t>
            </w:r>
          </w:p>
        </w:tc>
      </w:tr>
      <w:tr w:rsidR="00C40376" w:rsidRPr="0040629A" w14:paraId="28E2A876" w14:textId="77777777" w:rsidTr="00AC3E9E">
        <w:trPr>
          <w:cantSplit/>
          <w:jc w:val="center"/>
        </w:trPr>
        <w:tc>
          <w:tcPr>
            <w:tcW w:w="7128" w:type="dxa"/>
          </w:tcPr>
          <w:p w14:paraId="1907DF16"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Q5</w:t>
            </w:r>
          </w:p>
        </w:tc>
        <w:tc>
          <w:tcPr>
            <w:tcW w:w="7128" w:type="dxa"/>
          </w:tcPr>
          <w:p w14:paraId="5E060B0C"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site:pubmed.ncbi.nlm.nih.gov clustered SMART implementation strategy results 2023 2024 2025 2026</w:t>
            </w:r>
          </w:p>
        </w:tc>
      </w:tr>
      <w:tr w:rsidR="00C40376" w:rsidRPr="0040629A" w14:paraId="474E235D" w14:textId="77777777" w:rsidTr="00AC3E9E">
        <w:trPr>
          <w:cantSplit/>
          <w:jc w:val="center"/>
        </w:trPr>
        <w:tc>
          <w:tcPr>
            <w:tcW w:w="7128" w:type="dxa"/>
          </w:tcPr>
          <w:p w14:paraId="1A65719D"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Q6</w:t>
            </w:r>
          </w:p>
        </w:tc>
        <w:tc>
          <w:tcPr>
            <w:tcW w:w="7128" w:type="dxa"/>
          </w:tcPr>
          <w:p w14:paraId="40C4571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site:pubmed.ncbi.nlm.nih.gov "adaptive implementation strategy" SMART results</w:t>
            </w:r>
          </w:p>
        </w:tc>
      </w:tr>
      <w:tr w:rsidR="00C40376" w:rsidRPr="0040629A" w14:paraId="55E76266" w14:textId="77777777" w:rsidTr="00AC3E9E">
        <w:trPr>
          <w:cantSplit/>
          <w:jc w:val="center"/>
        </w:trPr>
        <w:tc>
          <w:tcPr>
            <w:tcW w:w="7128" w:type="dxa"/>
          </w:tcPr>
          <w:p w14:paraId="1BAF72FD"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Q7</w:t>
            </w:r>
          </w:p>
        </w:tc>
        <w:tc>
          <w:tcPr>
            <w:tcW w:w="7128" w:type="dxa"/>
          </w:tcPr>
          <w:p w14:paraId="34DB2356"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site:pubmed.ncbi.nlm.nih.gov "sequential multiple assignment randomized trial" implementation strategy results cluster</w:t>
            </w:r>
          </w:p>
        </w:tc>
      </w:tr>
      <w:tr w:rsidR="00C40376" w:rsidRPr="0040629A" w14:paraId="7557F828" w14:textId="77777777" w:rsidTr="00AC3E9E">
        <w:trPr>
          <w:cantSplit/>
          <w:jc w:val="center"/>
        </w:trPr>
        <w:tc>
          <w:tcPr>
            <w:tcW w:w="7128" w:type="dxa"/>
          </w:tcPr>
          <w:p w14:paraId="28B6B9D3"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Q8</w:t>
            </w:r>
          </w:p>
        </w:tc>
        <w:tc>
          <w:tcPr>
            <w:tcW w:w="7128" w:type="dxa"/>
          </w:tcPr>
          <w:p w14:paraId="0503942B"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site:implementationscience.biomedcentral.com SMART adaptive implementation strategy trial results</w:t>
            </w:r>
          </w:p>
        </w:tc>
      </w:tr>
    </w:tbl>
    <w:p w14:paraId="4AD7FBC2" w14:textId="77777777" w:rsidR="00C40376" w:rsidRPr="0040629A" w:rsidRDefault="00C40376" w:rsidP="00C40376">
      <w:pPr>
        <w:spacing w:before="100" w:after="100" w:line="480" w:lineRule="auto"/>
        <w:rPr>
          <w:rFonts w:ascii="Times New Roman" w:hAnsi="Times New Roman" w:cs="Times New Roman"/>
          <w:sz w:val="24"/>
          <w:szCs w:val="24"/>
        </w:rPr>
      </w:pPr>
      <w:r w:rsidRPr="0040629A">
        <w:rPr>
          <w:rFonts w:ascii="Times New Roman" w:hAnsi="Times New Roman" w:cs="Times New Roman"/>
          <w:i/>
          <w:sz w:val="24"/>
          <w:szCs w:val="24"/>
        </w:rPr>
        <w:t>Important limitation: the search interface did not expose exhaustive database-level totals for each query. The counts in this file therefore describe the records returned to and screened by the verification workflow, not all records that might be retrieved through a direct PubMed export.</w:t>
      </w:r>
    </w:p>
    <w:p w14:paraId="5AE22A9A" w14:textId="77777777" w:rsidR="00C40376" w:rsidRPr="0040629A" w:rsidRDefault="00C40376" w:rsidP="00C40376">
      <w:pPr>
        <w:pStyle w:val="Heading1"/>
        <w:numPr>
          <w:ilvl w:val="0"/>
          <w:numId w:val="0"/>
        </w:numPr>
        <w:spacing w:line="480" w:lineRule="auto"/>
        <w:ind w:left="288" w:hanging="288"/>
        <w:rPr>
          <w:rFonts w:ascii="Times New Roman" w:hAnsi="Times New Roman"/>
          <w:sz w:val="24"/>
          <w:szCs w:val="24"/>
        </w:rPr>
      </w:pPr>
      <w:r w:rsidRPr="0040629A">
        <w:rPr>
          <w:rFonts w:ascii="Times New Roman" w:hAnsi="Times New Roman"/>
          <w:sz w:val="24"/>
          <w:szCs w:val="24"/>
        </w:rPr>
        <w:lastRenderedPageBreak/>
        <w:t xml:space="preserve">4. </w:t>
      </w:r>
      <w:r w:rsidRPr="0012092B">
        <w:rPr>
          <w:rFonts w:ascii="Times New Roman" w:hAnsi="Times New Roman"/>
          <w:sz w:val="26"/>
          <w:szCs w:val="26"/>
        </w:rPr>
        <w:t>Eligibility and classification rules</w:t>
      </w:r>
    </w:p>
    <w:tbl>
      <w:tblPr>
        <w:tblStyle w:val="TableGrid"/>
        <w:tblW w:w="0" w:type="auto"/>
        <w:tblLook w:val="04A0" w:firstRow="1" w:lastRow="0" w:firstColumn="1" w:lastColumn="0" w:noHBand="0" w:noVBand="1"/>
      </w:tblPr>
      <w:tblGrid>
        <w:gridCol w:w="4628"/>
        <w:gridCol w:w="4722"/>
      </w:tblGrid>
      <w:tr w:rsidR="00C40376" w:rsidRPr="0040629A" w14:paraId="3281F58C" w14:textId="77777777" w:rsidTr="00AC3E9E">
        <w:trPr>
          <w:tblHeader/>
        </w:trPr>
        <w:tc>
          <w:tcPr>
            <w:tcW w:w="7128" w:type="dxa"/>
            <w:shd w:val="clear" w:color="auto" w:fill="D9EAF7"/>
          </w:tcPr>
          <w:p w14:paraId="318929B7"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b/>
                <w:sz w:val="24"/>
                <w:szCs w:val="24"/>
              </w:rPr>
              <w:t>Classification</w:t>
            </w:r>
          </w:p>
        </w:tc>
        <w:tc>
          <w:tcPr>
            <w:tcW w:w="7128" w:type="dxa"/>
            <w:shd w:val="clear" w:color="auto" w:fill="D9EAF7"/>
          </w:tcPr>
          <w:p w14:paraId="76122E2A"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b/>
                <w:sz w:val="24"/>
                <w:szCs w:val="24"/>
              </w:rPr>
              <w:t>Operational rule</w:t>
            </w:r>
          </w:p>
        </w:tc>
      </w:tr>
      <w:tr w:rsidR="00C40376" w:rsidRPr="0040629A" w14:paraId="13B7A2AB" w14:textId="77777777" w:rsidTr="00AC3E9E">
        <w:trPr>
          <w:cantSplit/>
        </w:trPr>
        <w:tc>
          <w:tcPr>
            <w:tcW w:w="7128" w:type="dxa"/>
          </w:tcPr>
          <w:p w14:paraId="3EB5D21A"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Primary implementation-strategy exemplar</w:t>
            </w:r>
          </w:p>
        </w:tc>
        <w:tc>
          <w:tcPr>
            <w:tcW w:w="7128" w:type="dxa"/>
          </w:tcPr>
          <w:p w14:paraId="604A0BE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The implementation strategy, a strategy component, rollout timing, intensity, or sequence was central to the randomized comparison.</w:t>
            </w:r>
          </w:p>
        </w:tc>
      </w:tr>
      <w:tr w:rsidR="00C40376" w:rsidRPr="0040629A" w14:paraId="141FB437" w14:textId="77777777" w:rsidTr="00AC3E9E">
        <w:trPr>
          <w:cantSplit/>
        </w:trPr>
        <w:tc>
          <w:tcPr>
            <w:tcW w:w="7128" w:type="dxa"/>
          </w:tcPr>
          <w:p w14:paraId="06E8365E"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Completed trial</w:t>
            </w:r>
          </w:p>
        </w:tc>
        <w:tc>
          <w:tcPr>
            <w:tcW w:w="7128" w:type="dxa"/>
          </w:tcPr>
          <w:p w14:paraId="157A6920"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Primary randomized results were reported.</w:t>
            </w:r>
          </w:p>
        </w:tc>
      </w:tr>
      <w:tr w:rsidR="00C40376" w:rsidRPr="0040629A" w14:paraId="31851BB4" w14:textId="77777777" w:rsidTr="00AC3E9E">
        <w:trPr>
          <w:cantSplit/>
        </w:trPr>
        <w:tc>
          <w:tcPr>
            <w:tcW w:w="7128" w:type="dxa"/>
          </w:tcPr>
          <w:p w14:paraId="1F514F50"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Protocol</w:t>
            </w:r>
          </w:p>
        </w:tc>
        <w:tc>
          <w:tcPr>
            <w:tcW w:w="7128" w:type="dxa"/>
          </w:tcPr>
          <w:p w14:paraId="0D5C85C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The randomized implementation design was described, but primary trial results were not yet reported in that publication.</w:t>
            </w:r>
          </w:p>
        </w:tc>
      </w:tr>
      <w:tr w:rsidR="00C40376" w:rsidRPr="0040629A" w14:paraId="302E8FFF" w14:textId="77777777" w:rsidTr="00AC3E9E">
        <w:trPr>
          <w:cantSplit/>
        </w:trPr>
        <w:tc>
          <w:tcPr>
            <w:tcW w:w="7128" w:type="dxa"/>
          </w:tcPr>
          <w:p w14:paraId="5A849E42"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Methods or review paper</w:t>
            </w:r>
          </w:p>
        </w:tc>
        <w:tc>
          <w:tcPr>
            <w:tcW w:w="7128" w:type="dxa"/>
          </w:tcPr>
          <w:p w14:paraId="2CB829F6"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The report provided design, optimization, adaptive-trial, reporting, or power guidance rather than a primary trial comparison.</w:t>
            </w:r>
          </w:p>
        </w:tc>
      </w:tr>
      <w:tr w:rsidR="00C40376" w:rsidRPr="0040629A" w14:paraId="53379F95" w14:textId="77777777" w:rsidTr="00AC3E9E">
        <w:trPr>
          <w:cantSplit/>
        </w:trPr>
        <w:tc>
          <w:tcPr>
            <w:tcW w:w="7128" w:type="dxa"/>
          </w:tcPr>
          <w:p w14:paraId="0556E403"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Eligible but redundant</w:t>
            </w:r>
          </w:p>
        </w:tc>
        <w:tc>
          <w:tcPr>
            <w:tcW w:w="7128" w:type="dxa"/>
          </w:tcPr>
          <w:p w14:paraId="7175E74E"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The report met broad relevance criteria but did not add design logic beyond clearer or already cited sources.</w:t>
            </w:r>
          </w:p>
        </w:tc>
      </w:tr>
      <w:tr w:rsidR="00C40376" w:rsidRPr="0040629A" w14:paraId="32E46A23" w14:textId="77777777" w:rsidTr="00AC3E9E">
        <w:trPr>
          <w:cantSplit/>
        </w:trPr>
        <w:tc>
          <w:tcPr>
            <w:tcW w:w="7128" w:type="dxa"/>
          </w:tcPr>
          <w:p w14:paraId="17F207E6"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lastRenderedPageBreak/>
              <w:t>Boundary example</w:t>
            </w:r>
          </w:p>
        </w:tc>
        <w:tc>
          <w:tcPr>
            <w:tcW w:w="7128" w:type="dxa"/>
          </w:tcPr>
          <w:p w14:paraId="3B25C431"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The report combined a clinical intervention or care process with implementation support, or otherwise did not cleanly isolate an implementation strategy as the randomized factor.</w:t>
            </w:r>
          </w:p>
        </w:tc>
      </w:tr>
      <w:tr w:rsidR="00C40376" w:rsidRPr="0040629A" w14:paraId="001A240C" w14:textId="77777777" w:rsidTr="00AC3E9E">
        <w:trPr>
          <w:cantSplit/>
        </w:trPr>
        <w:tc>
          <w:tcPr>
            <w:tcW w:w="7128" w:type="dxa"/>
          </w:tcPr>
          <w:p w14:paraId="7FC88E7D"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Excluded clinical SMART or intervention trial</w:t>
            </w:r>
          </w:p>
        </w:tc>
        <w:tc>
          <w:tcPr>
            <w:tcW w:w="7128" w:type="dxa"/>
          </w:tcPr>
          <w:p w14:paraId="4C0F4014"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Randomization adapted patient treatment or a behavioral/clinical intervention rather than an implementation strategy.</w:t>
            </w:r>
          </w:p>
        </w:tc>
      </w:tr>
    </w:tbl>
    <w:p w14:paraId="05E59F9A" w14:textId="77777777" w:rsidR="00C40376" w:rsidRPr="0040629A" w:rsidRDefault="00C40376" w:rsidP="00C40376">
      <w:pPr>
        <w:pStyle w:val="Heading1"/>
        <w:numPr>
          <w:ilvl w:val="0"/>
          <w:numId w:val="0"/>
        </w:numPr>
        <w:spacing w:line="480" w:lineRule="auto"/>
        <w:ind w:left="288" w:hanging="288"/>
        <w:rPr>
          <w:rFonts w:ascii="Times New Roman" w:hAnsi="Times New Roman"/>
          <w:sz w:val="24"/>
          <w:szCs w:val="24"/>
        </w:rPr>
      </w:pPr>
      <w:r w:rsidRPr="0040629A">
        <w:rPr>
          <w:rFonts w:ascii="Times New Roman" w:hAnsi="Times New Roman"/>
          <w:sz w:val="24"/>
          <w:szCs w:val="24"/>
        </w:rPr>
        <w:t xml:space="preserve">5. </w:t>
      </w:r>
      <w:r w:rsidRPr="0012092B">
        <w:rPr>
          <w:rFonts w:ascii="Times New Roman" w:hAnsi="Times New Roman"/>
          <w:sz w:val="26"/>
          <w:szCs w:val="26"/>
        </w:rPr>
        <w:t>Candidate-source disposition log</w:t>
      </w:r>
    </w:p>
    <w:tbl>
      <w:tblPr>
        <w:tblStyle w:val="TableGrid"/>
        <w:tblW w:w="0" w:type="auto"/>
        <w:jc w:val="center"/>
        <w:tblLook w:val="04A0" w:firstRow="1" w:lastRow="0" w:firstColumn="1" w:lastColumn="0" w:noHBand="0" w:noVBand="1"/>
      </w:tblPr>
      <w:tblGrid>
        <w:gridCol w:w="571"/>
        <w:gridCol w:w="1176"/>
        <w:gridCol w:w="2898"/>
        <w:gridCol w:w="2145"/>
        <w:gridCol w:w="2560"/>
      </w:tblGrid>
      <w:tr w:rsidR="00C40376" w:rsidRPr="0040629A" w14:paraId="5A18F219" w14:textId="77777777" w:rsidTr="00AC3E9E">
        <w:trPr>
          <w:tblHeader/>
          <w:jc w:val="center"/>
        </w:trPr>
        <w:tc>
          <w:tcPr>
            <w:tcW w:w="576" w:type="dxa"/>
            <w:shd w:val="clear" w:color="auto" w:fill="D9EAF7"/>
          </w:tcPr>
          <w:p w14:paraId="5528961C"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b/>
                <w:sz w:val="24"/>
                <w:szCs w:val="24"/>
              </w:rPr>
              <w:t>No.</w:t>
            </w:r>
          </w:p>
        </w:tc>
        <w:tc>
          <w:tcPr>
            <w:tcW w:w="1152" w:type="dxa"/>
            <w:shd w:val="clear" w:color="auto" w:fill="D9EAF7"/>
          </w:tcPr>
          <w:p w14:paraId="11139D1B"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b/>
                <w:sz w:val="24"/>
                <w:szCs w:val="24"/>
              </w:rPr>
              <w:t>PMID</w:t>
            </w:r>
          </w:p>
        </w:tc>
        <w:tc>
          <w:tcPr>
            <w:tcW w:w="4608" w:type="dxa"/>
            <w:shd w:val="clear" w:color="auto" w:fill="D9EAF7"/>
          </w:tcPr>
          <w:p w14:paraId="387EDBD7"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b/>
                <w:sz w:val="24"/>
                <w:szCs w:val="24"/>
              </w:rPr>
              <w:t>Candidate report</w:t>
            </w:r>
          </w:p>
        </w:tc>
        <w:tc>
          <w:tcPr>
            <w:tcW w:w="3168" w:type="dxa"/>
            <w:shd w:val="clear" w:color="auto" w:fill="D9EAF7"/>
          </w:tcPr>
          <w:p w14:paraId="75C4A86F"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b/>
                <w:sz w:val="24"/>
                <w:szCs w:val="24"/>
              </w:rPr>
              <w:t>Design/report type</w:t>
            </w:r>
          </w:p>
        </w:tc>
        <w:tc>
          <w:tcPr>
            <w:tcW w:w="6048" w:type="dxa"/>
            <w:shd w:val="clear" w:color="auto" w:fill="D9EAF7"/>
          </w:tcPr>
          <w:p w14:paraId="147EA8A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b/>
                <w:sz w:val="24"/>
                <w:szCs w:val="24"/>
              </w:rPr>
              <w:t>Disposition and rationale</w:t>
            </w:r>
          </w:p>
        </w:tc>
      </w:tr>
      <w:tr w:rsidR="00C40376" w:rsidRPr="0040629A" w14:paraId="23185096" w14:textId="77777777" w:rsidTr="00AC3E9E">
        <w:trPr>
          <w:cantSplit/>
          <w:jc w:val="center"/>
        </w:trPr>
        <w:tc>
          <w:tcPr>
            <w:tcW w:w="576" w:type="dxa"/>
          </w:tcPr>
          <w:p w14:paraId="0A0C845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1</w:t>
            </w:r>
          </w:p>
        </w:tc>
        <w:tc>
          <w:tcPr>
            <w:tcW w:w="1152" w:type="dxa"/>
          </w:tcPr>
          <w:p w14:paraId="1D3E06F4"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41644926</w:t>
            </w:r>
          </w:p>
        </w:tc>
        <w:tc>
          <w:tcPr>
            <w:tcW w:w="4608" w:type="dxa"/>
          </w:tcPr>
          <w:p w14:paraId="6F9D7017"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Baffsky et al. (2026), multicomponent implementation strategy for PAX Good Behaviour Game</w:t>
            </w:r>
          </w:p>
        </w:tc>
        <w:tc>
          <w:tcPr>
            <w:tcW w:w="3168" w:type="dxa"/>
          </w:tcPr>
          <w:p w14:paraId="05E21E11"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Parallel CRT; completed type 3 hybrid trial</w:t>
            </w:r>
          </w:p>
        </w:tc>
        <w:tc>
          <w:tcPr>
            <w:tcW w:w="6048" w:type="dxa"/>
          </w:tcPr>
          <w:p w14:paraId="4EA82174"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Retained and cited in the current manuscript as a completed parallel CRT/type 3 hybrid trial (reference 37), replacing the earlier protocol as the selected Baffsky source.</w:t>
            </w:r>
          </w:p>
        </w:tc>
      </w:tr>
      <w:tr w:rsidR="00C40376" w:rsidRPr="0040629A" w14:paraId="586BF969" w14:textId="77777777" w:rsidTr="00AC3E9E">
        <w:trPr>
          <w:cantSplit/>
          <w:jc w:val="center"/>
        </w:trPr>
        <w:tc>
          <w:tcPr>
            <w:tcW w:w="576" w:type="dxa"/>
          </w:tcPr>
          <w:p w14:paraId="76D83E1D"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lastRenderedPageBreak/>
              <w:t>2</w:t>
            </w:r>
          </w:p>
        </w:tc>
        <w:tc>
          <w:tcPr>
            <w:tcW w:w="1152" w:type="dxa"/>
          </w:tcPr>
          <w:p w14:paraId="60D3E481"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41381746</w:t>
            </w:r>
          </w:p>
        </w:tc>
        <w:tc>
          <w:tcPr>
            <w:tcW w:w="4608" w:type="dxa"/>
          </w:tcPr>
          <w:p w14:paraId="3BF22060"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Perreault et al. (2026), care process to prioritize weight management</w:t>
            </w:r>
          </w:p>
        </w:tc>
        <w:tc>
          <w:tcPr>
            <w:tcW w:w="3168" w:type="dxa"/>
          </w:tcPr>
          <w:p w14:paraId="52D0D1D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SW-CRT; completed hybrid care-process trial</w:t>
            </w:r>
          </w:p>
        </w:tc>
        <w:tc>
          <w:tcPr>
            <w:tcW w:w="6048" w:type="dxa"/>
          </w:tcPr>
          <w:p w14:paraId="300F5CE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Boundary; the care process and implementation support were introduced together, so it was not used as a clean strategy-only exemplar.</w:t>
            </w:r>
          </w:p>
        </w:tc>
      </w:tr>
      <w:tr w:rsidR="00C40376" w:rsidRPr="0040629A" w14:paraId="55A0D2D4" w14:textId="77777777" w:rsidTr="00AC3E9E">
        <w:trPr>
          <w:cantSplit/>
          <w:jc w:val="center"/>
        </w:trPr>
        <w:tc>
          <w:tcPr>
            <w:tcW w:w="576" w:type="dxa"/>
          </w:tcPr>
          <w:p w14:paraId="414C15C6"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3</w:t>
            </w:r>
          </w:p>
        </w:tc>
        <w:tc>
          <w:tcPr>
            <w:tcW w:w="1152" w:type="dxa"/>
          </w:tcPr>
          <w:p w14:paraId="1EEC249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40205591</w:t>
            </w:r>
          </w:p>
        </w:tc>
        <w:tc>
          <w:tcPr>
            <w:tcW w:w="4608" w:type="dxa"/>
          </w:tcPr>
          <w:p w14:paraId="6444C8FD"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Morales-Campos et al. (2025), TRUE SYNERGI HPV vaccination</w:t>
            </w:r>
          </w:p>
        </w:tc>
        <w:tc>
          <w:tcPr>
            <w:tcW w:w="3168" w:type="dxa"/>
          </w:tcPr>
          <w:p w14:paraId="3DDF6FB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SW-CRT protocol</w:t>
            </w:r>
          </w:p>
        </w:tc>
        <w:tc>
          <w:tcPr>
            <w:tcW w:w="6048" w:type="dxa"/>
          </w:tcPr>
          <w:p w14:paraId="3FCDCF91"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Eligible but not cited; the protocol was redundant with clearer randomized-rollout exemplars.</w:t>
            </w:r>
          </w:p>
        </w:tc>
      </w:tr>
      <w:tr w:rsidR="00C40376" w:rsidRPr="0040629A" w14:paraId="1B731B76" w14:textId="77777777" w:rsidTr="00AC3E9E">
        <w:trPr>
          <w:cantSplit/>
          <w:jc w:val="center"/>
        </w:trPr>
        <w:tc>
          <w:tcPr>
            <w:tcW w:w="576" w:type="dxa"/>
          </w:tcPr>
          <w:p w14:paraId="15C4F11A"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4</w:t>
            </w:r>
          </w:p>
        </w:tc>
        <w:tc>
          <w:tcPr>
            <w:tcW w:w="1152" w:type="dxa"/>
          </w:tcPr>
          <w:p w14:paraId="3F621D01"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38906703</w:t>
            </w:r>
          </w:p>
        </w:tc>
        <w:tc>
          <w:tcPr>
            <w:tcW w:w="4608" w:type="dxa"/>
          </w:tcPr>
          <w:p w14:paraId="31FF8FCC"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Szeszulski and Guastaferro (2024), optimization of implementation strategies using MOST</w:t>
            </w:r>
          </w:p>
        </w:tc>
        <w:tc>
          <w:tcPr>
            <w:tcW w:w="3168" w:type="dxa"/>
          </w:tcPr>
          <w:p w14:paraId="343C562F"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MOST/factorial methods</w:t>
            </w:r>
          </w:p>
        </w:tc>
        <w:tc>
          <w:tcPr>
            <w:tcW w:w="6048" w:type="dxa"/>
          </w:tcPr>
          <w:p w14:paraId="09C31115"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Retained and cited as methods guidance for factorial/MOST optimization (reference 13).</w:t>
            </w:r>
          </w:p>
        </w:tc>
      </w:tr>
      <w:tr w:rsidR="00C40376" w:rsidRPr="0040629A" w14:paraId="05257CE8" w14:textId="77777777" w:rsidTr="00AC3E9E">
        <w:trPr>
          <w:cantSplit/>
          <w:jc w:val="center"/>
        </w:trPr>
        <w:tc>
          <w:tcPr>
            <w:tcW w:w="576" w:type="dxa"/>
          </w:tcPr>
          <w:p w14:paraId="29F146A0"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lastRenderedPageBreak/>
              <w:t>5</w:t>
            </w:r>
          </w:p>
        </w:tc>
        <w:tc>
          <w:tcPr>
            <w:tcW w:w="1152" w:type="dxa"/>
          </w:tcPr>
          <w:p w14:paraId="282F29EA"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40967380</w:t>
            </w:r>
          </w:p>
        </w:tc>
        <w:tc>
          <w:tcPr>
            <w:tcW w:w="4608" w:type="dxa"/>
          </w:tcPr>
          <w:p w14:paraId="3467BBEB"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Matson et al. (2026), implementing care for cannabis and other drug use</w:t>
            </w:r>
          </w:p>
        </w:tc>
        <w:tc>
          <w:tcPr>
            <w:tcW w:w="3168" w:type="dxa"/>
          </w:tcPr>
          <w:p w14:paraId="0AA0EBE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SW-CRT; completed implementation trial</w:t>
            </w:r>
          </w:p>
        </w:tc>
        <w:tc>
          <w:tcPr>
            <w:tcW w:w="6048" w:type="dxa"/>
          </w:tcPr>
          <w:p w14:paraId="5A86EC56"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Eligible but not cited; it did not materially change the design framework.</w:t>
            </w:r>
          </w:p>
        </w:tc>
      </w:tr>
      <w:tr w:rsidR="00C40376" w:rsidRPr="0040629A" w14:paraId="47E8332C" w14:textId="77777777" w:rsidTr="00AC3E9E">
        <w:trPr>
          <w:cantSplit/>
          <w:jc w:val="center"/>
        </w:trPr>
        <w:tc>
          <w:tcPr>
            <w:tcW w:w="576" w:type="dxa"/>
          </w:tcPr>
          <w:p w14:paraId="0A3585B5"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6</w:t>
            </w:r>
          </w:p>
        </w:tc>
        <w:tc>
          <w:tcPr>
            <w:tcW w:w="1152" w:type="dxa"/>
          </w:tcPr>
          <w:p w14:paraId="425737C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40415002</w:t>
            </w:r>
          </w:p>
        </w:tc>
        <w:tc>
          <w:tcPr>
            <w:tcW w:w="4608" w:type="dxa"/>
          </w:tcPr>
          <w:p w14:paraId="2703FB5A"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Deliberative engagement to increase guideline adherence among oral-health providers (2025)</w:t>
            </w:r>
          </w:p>
        </w:tc>
        <w:tc>
          <w:tcPr>
            <w:tcW w:w="3168" w:type="dxa"/>
          </w:tcPr>
          <w:p w14:paraId="5ECE83A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SW-CRT; completed implementation trial</w:t>
            </w:r>
          </w:p>
        </w:tc>
        <w:tc>
          <w:tcPr>
            <w:tcW w:w="6048" w:type="dxa"/>
          </w:tcPr>
          <w:p w14:paraId="339DCDAD"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Eligible but not cited; retained in the log as a recent completed strategy trial.</w:t>
            </w:r>
          </w:p>
        </w:tc>
      </w:tr>
      <w:tr w:rsidR="00C40376" w:rsidRPr="0040629A" w14:paraId="7126E6A3" w14:textId="77777777" w:rsidTr="00AC3E9E">
        <w:trPr>
          <w:cantSplit/>
          <w:jc w:val="center"/>
        </w:trPr>
        <w:tc>
          <w:tcPr>
            <w:tcW w:w="576" w:type="dxa"/>
          </w:tcPr>
          <w:p w14:paraId="32000A35"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7</w:t>
            </w:r>
          </w:p>
        </w:tc>
        <w:tc>
          <w:tcPr>
            <w:tcW w:w="1152" w:type="dxa"/>
          </w:tcPr>
          <w:p w14:paraId="46946A52"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41734051</w:t>
            </w:r>
          </w:p>
        </w:tc>
        <w:tc>
          <w:tcPr>
            <w:tcW w:w="4608" w:type="dxa"/>
          </w:tcPr>
          <w:p w14:paraId="46BFA82D"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Steinberg et al. (2026), theory-driven versus intuition-based strategy development</w:t>
            </w:r>
          </w:p>
        </w:tc>
        <w:tc>
          <w:tcPr>
            <w:tcW w:w="3168" w:type="dxa"/>
          </w:tcPr>
          <w:p w14:paraId="41A39EC3"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Parallel CRT; completed head-to-head implementation trial</w:t>
            </w:r>
          </w:p>
        </w:tc>
        <w:tc>
          <w:tcPr>
            <w:tcW w:w="6048" w:type="dxa"/>
          </w:tcPr>
          <w:p w14:paraId="3D0E8591"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Eligible contemporary head-to-head implementation trial but not cited in the current manuscript because the existing parallel CRT exemplars were sufficient.</w:t>
            </w:r>
          </w:p>
        </w:tc>
      </w:tr>
      <w:tr w:rsidR="00C40376" w:rsidRPr="0040629A" w14:paraId="00D31C07" w14:textId="77777777" w:rsidTr="00AC3E9E">
        <w:trPr>
          <w:cantSplit/>
          <w:jc w:val="center"/>
        </w:trPr>
        <w:tc>
          <w:tcPr>
            <w:tcW w:w="576" w:type="dxa"/>
          </w:tcPr>
          <w:p w14:paraId="7C6AE8AF"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lastRenderedPageBreak/>
              <w:t>8</w:t>
            </w:r>
          </w:p>
        </w:tc>
        <w:tc>
          <w:tcPr>
            <w:tcW w:w="1152" w:type="dxa"/>
          </w:tcPr>
          <w:p w14:paraId="2C6D69F3"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40176133</w:t>
            </w:r>
          </w:p>
        </w:tc>
        <w:tc>
          <w:tcPr>
            <w:tcW w:w="4608" w:type="dxa"/>
          </w:tcPr>
          <w:p w14:paraId="7C866A2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Smith et al. (2025), MEDIC ALERT PE</w:t>
            </w:r>
          </w:p>
        </w:tc>
        <w:tc>
          <w:tcPr>
            <w:tcW w:w="3168" w:type="dxa"/>
          </w:tcPr>
          <w:p w14:paraId="4BA3B3C2"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SW-CRT protocol</w:t>
            </w:r>
          </w:p>
        </w:tc>
        <w:tc>
          <w:tcPr>
            <w:tcW w:w="6048" w:type="dxa"/>
          </w:tcPr>
          <w:p w14:paraId="623405E5"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Eligible but not cited; the protocol was redundant with completed rollout examples.</w:t>
            </w:r>
          </w:p>
        </w:tc>
      </w:tr>
      <w:tr w:rsidR="00C40376" w:rsidRPr="0040629A" w14:paraId="41949601" w14:textId="77777777" w:rsidTr="00AC3E9E">
        <w:trPr>
          <w:cantSplit/>
          <w:jc w:val="center"/>
        </w:trPr>
        <w:tc>
          <w:tcPr>
            <w:tcW w:w="576" w:type="dxa"/>
          </w:tcPr>
          <w:p w14:paraId="3DE6F95B"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9</w:t>
            </w:r>
          </w:p>
        </w:tc>
        <w:tc>
          <w:tcPr>
            <w:tcW w:w="1152" w:type="dxa"/>
          </w:tcPr>
          <w:p w14:paraId="60F8F67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42277969</w:t>
            </w:r>
          </w:p>
        </w:tc>
        <w:tc>
          <w:tcPr>
            <w:tcW w:w="4608" w:type="dxa"/>
          </w:tcPr>
          <w:p w14:paraId="4A1439CD"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Rödlund et al. (2026), mechanisms of a multifaceted implementation strategy</w:t>
            </w:r>
          </w:p>
        </w:tc>
        <w:tc>
          <w:tcPr>
            <w:tcW w:w="3168" w:type="dxa"/>
          </w:tcPr>
          <w:p w14:paraId="04FA5002"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Secondary mixed-methods process study</w:t>
            </w:r>
          </w:p>
        </w:tc>
        <w:tc>
          <w:tcPr>
            <w:tcW w:w="6048" w:type="dxa"/>
          </w:tcPr>
          <w:p w14:paraId="11DC0ABC"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Not used as a primary design exemplar; it reports mechanisms within a trial rather than the randomized comparison.</w:t>
            </w:r>
          </w:p>
        </w:tc>
      </w:tr>
      <w:tr w:rsidR="00C40376" w:rsidRPr="0040629A" w14:paraId="3217F861" w14:textId="77777777" w:rsidTr="00AC3E9E">
        <w:trPr>
          <w:cantSplit/>
          <w:jc w:val="center"/>
        </w:trPr>
        <w:tc>
          <w:tcPr>
            <w:tcW w:w="576" w:type="dxa"/>
          </w:tcPr>
          <w:p w14:paraId="7C4B77AE"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10</w:t>
            </w:r>
          </w:p>
        </w:tc>
        <w:tc>
          <w:tcPr>
            <w:tcW w:w="1152" w:type="dxa"/>
          </w:tcPr>
          <w:p w14:paraId="763B4DD0"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40790739</w:t>
            </w:r>
          </w:p>
        </w:tc>
        <w:tc>
          <w:tcPr>
            <w:tcW w:w="4608" w:type="dxa"/>
          </w:tcPr>
          <w:p w14:paraId="5C250B4A"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Longenecker et al. (2025), PULESA-Uganda</w:t>
            </w:r>
          </w:p>
        </w:tc>
        <w:tc>
          <w:tcPr>
            <w:tcW w:w="3168" w:type="dxa"/>
          </w:tcPr>
          <w:p w14:paraId="142EF0EC"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SW-CRT protocol</w:t>
            </w:r>
          </w:p>
        </w:tc>
        <w:tc>
          <w:tcPr>
            <w:tcW w:w="6048" w:type="dxa"/>
          </w:tcPr>
          <w:p w14:paraId="67DD5BCF"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Eligible but not cited; the protocol was redundant with other stepped-wedge examples.</w:t>
            </w:r>
          </w:p>
        </w:tc>
      </w:tr>
      <w:tr w:rsidR="00C40376" w:rsidRPr="0040629A" w14:paraId="7DF5DC7B" w14:textId="77777777" w:rsidTr="00AC3E9E">
        <w:trPr>
          <w:cantSplit/>
          <w:jc w:val="center"/>
        </w:trPr>
        <w:tc>
          <w:tcPr>
            <w:tcW w:w="576" w:type="dxa"/>
          </w:tcPr>
          <w:p w14:paraId="5CA07575"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lastRenderedPageBreak/>
              <w:t>11</w:t>
            </w:r>
          </w:p>
        </w:tc>
        <w:tc>
          <w:tcPr>
            <w:tcW w:w="1152" w:type="dxa"/>
          </w:tcPr>
          <w:p w14:paraId="12C6E9A4"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40063042</w:t>
            </w:r>
          </w:p>
        </w:tc>
        <w:tc>
          <w:tcPr>
            <w:tcW w:w="4608" w:type="dxa"/>
          </w:tcPr>
          <w:p w14:paraId="73FDEDC6"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Li et al. (2025), What Is a Stepped-Wedge Cluster Randomized Trial?</w:t>
            </w:r>
          </w:p>
        </w:tc>
        <w:tc>
          <w:tcPr>
            <w:tcW w:w="3168" w:type="dxa"/>
          </w:tcPr>
          <w:p w14:paraId="6F97C3C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Brief methods commentary</w:t>
            </w:r>
          </w:p>
        </w:tc>
        <w:tc>
          <w:tcPr>
            <w:tcW w:w="6048" w:type="dxa"/>
          </w:tcPr>
          <w:p w14:paraId="2C3EBD6E"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Eligible supporting methods source but not cited because more detailed SW-CRT guidance was already included.</w:t>
            </w:r>
          </w:p>
        </w:tc>
      </w:tr>
      <w:tr w:rsidR="00C40376" w:rsidRPr="0040629A" w14:paraId="6140B386" w14:textId="77777777" w:rsidTr="00AC3E9E">
        <w:trPr>
          <w:cantSplit/>
          <w:jc w:val="center"/>
        </w:trPr>
        <w:tc>
          <w:tcPr>
            <w:tcW w:w="576" w:type="dxa"/>
          </w:tcPr>
          <w:p w14:paraId="5C184B60"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12</w:t>
            </w:r>
          </w:p>
        </w:tc>
        <w:tc>
          <w:tcPr>
            <w:tcW w:w="1152" w:type="dxa"/>
          </w:tcPr>
          <w:p w14:paraId="2B1082E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41612286</w:t>
            </w:r>
          </w:p>
        </w:tc>
        <w:tc>
          <w:tcPr>
            <w:tcW w:w="4608" w:type="dxa"/>
          </w:tcPr>
          <w:p w14:paraId="337AE0BD"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Leach et al. (2026), workforce enhancement model for remote primary care</w:t>
            </w:r>
          </w:p>
        </w:tc>
        <w:tc>
          <w:tcPr>
            <w:tcW w:w="3168" w:type="dxa"/>
          </w:tcPr>
          <w:p w14:paraId="0C0C8011"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SW-CRT; completed trial</w:t>
            </w:r>
          </w:p>
        </w:tc>
        <w:tc>
          <w:tcPr>
            <w:tcW w:w="6048" w:type="dxa"/>
          </w:tcPr>
          <w:p w14:paraId="5699B1A4"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Boundary/redundant; the intervention was a workforce model rather than a clearly separable implementation strategy.</w:t>
            </w:r>
          </w:p>
        </w:tc>
      </w:tr>
      <w:tr w:rsidR="00C40376" w:rsidRPr="0040629A" w14:paraId="24BE1E7D" w14:textId="77777777" w:rsidTr="00AC3E9E">
        <w:trPr>
          <w:cantSplit/>
          <w:jc w:val="center"/>
        </w:trPr>
        <w:tc>
          <w:tcPr>
            <w:tcW w:w="576" w:type="dxa"/>
          </w:tcPr>
          <w:p w14:paraId="0A33F872"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13</w:t>
            </w:r>
          </w:p>
        </w:tc>
        <w:tc>
          <w:tcPr>
            <w:tcW w:w="1152" w:type="dxa"/>
          </w:tcPr>
          <w:p w14:paraId="06CEDBF3"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37165382</w:t>
            </w:r>
          </w:p>
        </w:tc>
        <w:tc>
          <w:tcPr>
            <w:tcW w:w="4608" w:type="dxa"/>
          </w:tcPr>
          <w:p w14:paraId="48D8A50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MAP-IT trial protocol for hypertension-HIV integration</w:t>
            </w:r>
          </w:p>
        </w:tc>
        <w:tc>
          <w:tcPr>
            <w:tcW w:w="3168" w:type="dxa"/>
          </w:tcPr>
          <w:p w14:paraId="3A40271B"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SW-CRT protocol</w:t>
            </w:r>
          </w:p>
        </w:tc>
        <w:tc>
          <w:tcPr>
            <w:tcW w:w="6048" w:type="dxa"/>
          </w:tcPr>
          <w:p w14:paraId="4A2912AC"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Eligible but not cited; the protocol was redundant with other practice-facilitation rollout examples.</w:t>
            </w:r>
          </w:p>
        </w:tc>
      </w:tr>
      <w:tr w:rsidR="00C40376" w:rsidRPr="0040629A" w14:paraId="6F1901F2" w14:textId="77777777" w:rsidTr="00AC3E9E">
        <w:trPr>
          <w:cantSplit/>
          <w:jc w:val="center"/>
        </w:trPr>
        <w:tc>
          <w:tcPr>
            <w:tcW w:w="576" w:type="dxa"/>
          </w:tcPr>
          <w:p w14:paraId="2CA45842"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lastRenderedPageBreak/>
              <w:t>14</w:t>
            </w:r>
          </w:p>
        </w:tc>
        <w:tc>
          <w:tcPr>
            <w:tcW w:w="1152" w:type="dxa"/>
          </w:tcPr>
          <w:p w14:paraId="37DAB451"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41202565</w:t>
            </w:r>
          </w:p>
        </w:tc>
        <w:tc>
          <w:tcPr>
            <w:tcW w:w="4608" w:type="dxa"/>
          </w:tcPr>
          <w:p w14:paraId="5C44672F"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Rosen et al. (2025), TACTICS for prolonged exposure therapy</w:t>
            </w:r>
          </w:p>
        </w:tc>
        <w:tc>
          <w:tcPr>
            <w:tcW w:w="3168" w:type="dxa"/>
          </w:tcPr>
          <w:p w14:paraId="4737552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SW-CRT; completed implementation trial</w:t>
            </w:r>
          </w:p>
        </w:tc>
        <w:tc>
          <w:tcPr>
            <w:tcW w:w="6048" w:type="dxa"/>
          </w:tcPr>
          <w:p w14:paraId="30CACCA1"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Eligible recent completed stepped-wedge implementation trial but not cited in the current manuscript because the selected exemplars were sufficient.</w:t>
            </w:r>
          </w:p>
        </w:tc>
      </w:tr>
      <w:tr w:rsidR="00C40376" w:rsidRPr="0040629A" w14:paraId="3846DB0C" w14:textId="77777777" w:rsidTr="00AC3E9E">
        <w:trPr>
          <w:cantSplit/>
          <w:jc w:val="center"/>
        </w:trPr>
        <w:tc>
          <w:tcPr>
            <w:tcW w:w="576" w:type="dxa"/>
          </w:tcPr>
          <w:p w14:paraId="2D6C895E"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15</w:t>
            </w:r>
          </w:p>
        </w:tc>
        <w:tc>
          <w:tcPr>
            <w:tcW w:w="1152" w:type="dxa"/>
          </w:tcPr>
          <w:p w14:paraId="37DE96B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42126839</w:t>
            </w:r>
          </w:p>
        </w:tc>
        <w:tc>
          <w:tcPr>
            <w:tcW w:w="4608" w:type="dxa"/>
          </w:tcPr>
          <w:p w14:paraId="7148D3D4"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ENRICH-US enhanced recovery protocol</w:t>
            </w:r>
          </w:p>
        </w:tc>
        <w:tc>
          <w:tcPr>
            <w:tcW w:w="3168" w:type="dxa"/>
          </w:tcPr>
          <w:p w14:paraId="11F354B2"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SW-CRT; completed type 2 hybrid trial</w:t>
            </w:r>
          </w:p>
        </w:tc>
        <w:tc>
          <w:tcPr>
            <w:tcW w:w="6048" w:type="dxa"/>
          </w:tcPr>
          <w:p w14:paraId="3F04DAB3"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Boundary; the clinical protocol and implementation package were introduced together.</w:t>
            </w:r>
          </w:p>
        </w:tc>
      </w:tr>
      <w:tr w:rsidR="00C40376" w:rsidRPr="0040629A" w14:paraId="5A4D4DF0" w14:textId="77777777" w:rsidTr="00AC3E9E">
        <w:trPr>
          <w:cantSplit/>
          <w:jc w:val="center"/>
        </w:trPr>
        <w:tc>
          <w:tcPr>
            <w:tcW w:w="576" w:type="dxa"/>
          </w:tcPr>
          <w:p w14:paraId="114E22EB"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16</w:t>
            </w:r>
          </w:p>
        </w:tc>
        <w:tc>
          <w:tcPr>
            <w:tcW w:w="1152" w:type="dxa"/>
          </w:tcPr>
          <w:p w14:paraId="7D9E56C0"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41029867</w:t>
            </w:r>
          </w:p>
        </w:tc>
        <w:tc>
          <w:tcPr>
            <w:tcW w:w="4608" w:type="dxa"/>
          </w:tcPr>
          <w:p w14:paraId="3E730B9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Jonas et al. (2025), STUN II</w:t>
            </w:r>
          </w:p>
        </w:tc>
        <w:tc>
          <w:tcPr>
            <w:tcW w:w="3168" w:type="dxa"/>
          </w:tcPr>
          <w:p w14:paraId="5E90AC32"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Cluster-randomized 2 × 2 factorial implementation protocol</w:t>
            </w:r>
          </w:p>
        </w:tc>
        <w:tc>
          <w:tcPr>
            <w:tcW w:w="6048" w:type="dxa"/>
          </w:tcPr>
          <w:p w14:paraId="6F2ADC2B"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Eligible clean factorial implementation-strategy protocol but not cited in the current manuscript.</w:t>
            </w:r>
          </w:p>
        </w:tc>
      </w:tr>
      <w:tr w:rsidR="00C40376" w:rsidRPr="0040629A" w14:paraId="1772C417" w14:textId="77777777" w:rsidTr="00AC3E9E">
        <w:trPr>
          <w:cantSplit/>
          <w:jc w:val="center"/>
        </w:trPr>
        <w:tc>
          <w:tcPr>
            <w:tcW w:w="576" w:type="dxa"/>
          </w:tcPr>
          <w:p w14:paraId="62B3D4D0"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lastRenderedPageBreak/>
              <w:t>17</w:t>
            </w:r>
          </w:p>
        </w:tc>
        <w:tc>
          <w:tcPr>
            <w:tcW w:w="1152" w:type="dxa"/>
          </w:tcPr>
          <w:p w14:paraId="27F82D9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41246086</w:t>
            </w:r>
          </w:p>
        </w:tc>
        <w:tc>
          <w:tcPr>
            <w:tcW w:w="4608" w:type="dxa"/>
          </w:tcPr>
          <w:p w14:paraId="76F9E79F"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Szeszulski et al. (2025), Healthy School Recognized Campus initiative</w:t>
            </w:r>
          </w:p>
        </w:tc>
        <w:tc>
          <w:tcPr>
            <w:tcW w:w="3168" w:type="dxa"/>
          </w:tcPr>
          <w:p w14:paraId="6C37C2EF"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Cluster-randomized full factorial MOST protocol</w:t>
            </w:r>
          </w:p>
        </w:tc>
        <w:tc>
          <w:tcPr>
            <w:tcW w:w="6048" w:type="dxa"/>
          </w:tcPr>
          <w:p w14:paraId="323E348D"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Eligible clean MOST/factorial implementation-strategy protocol but not cited in the current manuscript.</w:t>
            </w:r>
          </w:p>
        </w:tc>
      </w:tr>
      <w:tr w:rsidR="00C40376" w:rsidRPr="0040629A" w14:paraId="5969A4B4" w14:textId="77777777" w:rsidTr="00AC3E9E">
        <w:trPr>
          <w:cantSplit/>
          <w:jc w:val="center"/>
        </w:trPr>
        <w:tc>
          <w:tcPr>
            <w:tcW w:w="576" w:type="dxa"/>
          </w:tcPr>
          <w:p w14:paraId="28D9690B"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18</w:t>
            </w:r>
          </w:p>
        </w:tc>
        <w:tc>
          <w:tcPr>
            <w:tcW w:w="1152" w:type="dxa"/>
          </w:tcPr>
          <w:p w14:paraId="379F97CC"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41053767</w:t>
            </w:r>
          </w:p>
        </w:tc>
        <w:tc>
          <w:tcPr>
            <w:tcW w:w="4608" w:type="dxa"/>
          </w:tcPr>
          <w:p w14:paraId="008F4DEC"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Takada et al. (2025), hypertension-disparities implementation protocol</w:t>
            </w:r>
          </w:p>
        </w:tc>
        <w:tc>
          <w:tcPr>
            <w:tcW w:w="3168" w:type="dxa"/>
          </w:tcPr>
          <w:p w14:paraId="14ACFDED"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Parallel CRT; type 3 hybrid protocol</w:t>
            </w:r>
          </w:p>
        </w:tc>
        <w:tc>
          <w:tcPr>
            <w:tcW w:w="6048" w:type="dxa"/>
          </w:tcPr>
          <w:p w14:paraId="4B962080"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Eligible but not cited; the protocol was redundant with completed parallel examples.</w:t>
            </w:r>
          </w:p>
        </w:tc>
      </w:tr>
      <w:tr w:rsidR="00C40376" w:rsidRPr="0040629A" w14:paraId="386FB67D" w14:textId="77777777" w:rsidTr="00AC3E9E">
        <w:trPr>
          <w:cantSplit/>
          <w:jc w:val="center"/>
        </w:trPr>
        <w:tc>
          <w:tcPr>
            <w:tcW w:w="576" w:type="dxa"/>
          </w:tcPr>
          <w:p w14:paraId="44E07996"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19</w:t>
            </w:r>
          </w:p>
        </w:tc>
        <w:tc>
          <w:tcPr>
            <w:tcW w:w="1152" w:type="dxa"/>
          </w:tcPr>
          <w:p w14:paraId="72A5546B"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35804370</w:t>
            </w:r>
          </w:p>
        </w:tc>
        <w:tc>
          <w:tcPr>
            <w:tcW w:w="4608" w:type="dxa"/>
          </w:tcPr>
          <w:p w14:paraId="4BA4806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Smith et al. (2022), school-level adaptive implementation strategy for CBT</w:t>
            </w:r>
          </w:p>
        </w:tc>
        <w:tc>
          <w:tcPr>
            <w:tcW w:w="3168" w:type="dxa"/>
          </w:tcPr>
          <w:p w14:paraId="00DF1996"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Clustered SMART; completed trial</w:t>
            </w:r>
          </w:p>
        </w:tc>
        <w:tc>
          <w:tcPr>
            <w:tcW w:w="6048" w:type="dxa"/>
          </w:tcPr>
          <w:p w14:paraId="09E53004"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Retained and cited as the principal completed clustered SMART exemplar (reference 34).</w:t>
            </w:r>
          </w:p>
        </w:tc>
      </w:tr>
      <w:tr w:rsidR="00C40376" w:rsidRPr="0040629A" w14:paraId="54EC00A8" w14:textId="77777777" w:rsidTr="00AC3E9E">
        <w:trPr>
          <w:cantSplit/>
          <w:jc w:val="center"/>
        </w:trPr>
        <w:tc>
          <w:tcPr>
            <w:tcW w:w="576" w:type="dxa"/>
          </w:tcPr>
          <w:p w14:paraId="30B89EC2"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lastRenderedPageBreak/>
              <w:t>20</w:t>
            </w:r>
          </w:p>
        </w:tc>
        <w:tc>
          <w:tcPr>
            <w:tcW w:w="1152" w:type="dxa"/>
          </w:tcPr>
          <w:p w14:paraId="35AF4342"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25267385</w:t>
            </w:r>
          </w:p>
        </w:tc>
        <w:tc>
          <w:tcPr>
            <w:tcW w:w="4608" w:type="dxa"/>
          </w:tcPr>
          <w:p w14:paraId="1FB3F91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Kilbourne et al. (2014), ADEPT</w:t>
            </w:r>
          </w:p>
        </w:tc>
        <w:tc>
          <w:tcPr>
            <w:tcW w:w="3168" w:type="dxa"/>
          </w:tcPr>
          <w:p w14:paraId="5667D772"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Clustered SMART protocol</w:t>
            </w:r>
          </w:p>
        </w:tc>
        <w:tc>
          <w:tcPr>
            <w:tcW w:w="6048" w:type="dxa"/>
          </w:tcPr>
          <w:p w14:paraId="68C1266D"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Retained and cited as the foundational clustered SMART protocol (reference 38).</w:t>
            </w:r>
          </w:p>
        </w:tc>
      </w:tr>
      <w:tr w:rsidR="00C40376" w:rsidRPr="0040629A" w14:paraId="4C760EE6" w14:textId="77777777" w:rsidTr="00AC3E9E">
        <w:trPr>
          <w:cantSplit/>
          <w:jc w:val="center"/>
        </w:trPr>
        <w:tc>
          <w:tcPr>
            <w:tcW w:w="576" w:type="dxa"/>
          </w:tcPr>
          <w:p w14:paraId="7CE21DCC"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21</w:t>
            </w:r>
          </w:p>
        </w:tc>
        <w:tc>
          <w:tcPr>
            <w:tcW w:w="1152" w:type="dxa"/>
          </w:tcPr>
          <w:p w14:paraId="099E031D"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32000812</w:t>
            </w:r>
          </w:p>
        </w:tc>
        <w:tc>
          <w:tcPr>
            <w:tcW w:w="4608" w:type="dxa"/>
          </w:tcPr>
          <w:p w14:paraId="0DEA2783"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Fernandez et al. (2020), QuitSMART Utah</w:t>
            </w:r>
          </w:p>
        </w:tc>
        <w:tc>
          <w:tcPr>
            <w:tcW w:w="3168" w:type="dxa"/>
          </w:tcPr>
          <w:p w14:paraId="6AFA7400"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Multilevel clustered SMART protocol</w:t>
            </w:r>
          </w:p>
        </w:tc>
        <w:tc>
          <w:tcPr>
            <w:tcW w:w="6048" w:type="dxa"/>
          </w:tcPr>
          <w:p w14:paraId="254112AC"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Eligible but not cited; the design logic was already represented by other SMART sources.</w:t>
            </w:r>
          </w:p>
        </w:tc>
      </w:tr>
      <w:tr w:rsidR="00C40376" w:rsidRPr="0040629A" w14:paraId="4F34E1D2" w14:textId="77777777" w:rsidTr="00AC3E9E">
        <w:trPr>
          <w:cantSplit/>
          <w:jc w:val="center"/>
        </w:trPr>
        <w:tc>
          <w:tcPr>
            <w:tcW w:w="576" w:type="dxa"/>
          </w:tcPr>
          <w:p w14:paraId="6826732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22</w:t>
            </w:r>
          </w:p>
        </w:tc>
        <w:tc>
          <w:tcPr>
            <w:tcW w:w="1152" w:type="dxa"/>
          </w:tcPr>
          <w:p w14:paraId="261CAB10"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38923586</w:t>
            </w:r>
          </w:p>
        </w:tc>
        <w:tc>
          <w:tcPr>
            <w:tcW w:w="4608" w:type="dxa"/>
          </w:tcPr>
          <w:p w14:paraId="34DB3D02"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Zhou et al. (2025), nurse-led nudging for early antiretroviral therapy initiation</w:t>
            </w:r>
          </w:p>
        </w:tc>
        <w:tc>
          <w:tcPr>
            <w:tcW w:w="3168" w:type="dxa"/>
          </w:tcPr>
          <w:p w14:paraId="59C0586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Hybrid type II SMART protocol</w:t>
            </w:r>
          </w:p>
        </w:tc>
        <w:tc>
          <w:tcPr>
            <w:tcW w:w="6048" w:type="dxa"/>
          </w:tcPr>
          <w:p w14:paraId="430C7016"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Boundary; the randomized elements operate primarily as patient-level intervention components.</w:t>
            </w:r>
          </w:p>
        </w:tc>
      </w:tr>
      <w:tr w:rsidR="00C40376" w:rsidRPr="0040629A" w14:paraId="165CF2A2" w14:textId="77777777" w:rsidTr="00AC3E9E">
        <w:trPr>
          <w:cantSplit/>
          <w:jc w:val="center"/>
        </w:trPr>
        <w:tc>
          <w:tcPr>
            <w:tcW w:w="576" w:type="dxa"/>
          </w:tcPr>
          <w:p w14:paraId="3AC8095C"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lastRenderedPageBreak/>
              <w:t>23</w:t>
            </w:r>
          </w:p>
        </w:tc>
        <w:tc>
          <w:tcPr>
            <w:tcW w:w="1152" w:type="dxa"/>
          </w:tcPr>
          <w:p w14:paraId="271BE09F"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32698812</w:t>
            </w:r>
          </w:p>
        </w:tc>
        <w:tc>
          <w:tcPr>
            <w:tcW w:w="4608" w:type="dxa"/>
          </w:tcPr>
          <w:p w14:paraId="7384F133"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VA suicide-risk identification adaptive implementation protocol</w:t>
            </w:r>
          </w:p>
        </w:tc>
        <w:tc>
          <w:tcPr>
            <w:tcW w:w="3168" w:type="dxa"/>
          </w:tcPr>
          <w:p w14:paraId="4E262FA2"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SMART implementation protocol</w:t>
            </w:r>
          </w:p>
        </w:tc>
        <w:tc>
          <w:tcPr>
            <w:tcW w:w="6048" w:type="dxa"/>
          </w:tcPr>
          <w:p w14:paraId="29FE284E"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Eligible but not cited; the protocol was redundant with selected adaptive implementation examples.</w:t>
            </w:r>
          </w:p>
        </w:tc>
      </w:tr>
      <w:tr w:rsidR="00C40376" w:rsidRPr="0040629A" w14:paraId="5DEF5D9D" w14:textId="77777777" w:rsidTr="00AC3E9E">
        <w:trPr>
          <w:cantSplit/>
          <w:jc w:val="center"/>
        </w:trPr>
        <w:tc>
          <w:tcPr>
            <w:tcW w:w="576" w:type="dxa"/>
          </w:tcPr>
          <w:p w14:paraId="06D4F07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24</w:t>
            </w:r>
          </w:p>
        </w:tc>
        <w:tc>
          <w:tcPr>
            <w:tcW w:w="1152" w:type="dxa"/>
          </w:tcPr>
          <w:p w14:paraId="3219E73D"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37443044</w:t>
            </w:r>
          </w:p>
        </w:tc>
        <w:tc>
          <w:tcPr>
            <w:tcW w:w="4608" w:type="dxa"/>
          </w:tcPr>
          <w:p w14:paraId="26C8D91E"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COVID-19 vaccination community-engagement SMART protocol</w:t>
            </w:r>
          </w:p>
        </w:tc>
        <w:tc>
          <w:tcPr>
            <w:tcW w:w="3168" w:type="dxa"/>
          </w:tcPr>
          <w:p w14:paraId="023E121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Hybrid type 3 SMART protocol</w:t>
            </w:r>
          </w:p>
        </w:tc>
        <w:tc>
          <w:tcPr>
            <w:tcW w:w="6048" w:type="dxa"/>
          </w:tcPr>
          <w:p w14:paraId="2248CD0E"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Eligible/boundary; mixed patient- and site-level elements were less direct than the selected clustered SMART exemplars.</w:t>
            </w:r>
          </w:p>
        </w:tc>
      </w:tr>
      <w:tr w:rsidR="00C40376" w:rsidRPr="0040629A" w14:paraId="4C2D012A" w14:textId="77777777" w:rsidTr="00AC3E9E">
        <w:trPr>
          <w:cantSplit/>
          <w:jc w:val="center"/>
        </w:trPr>
        <w:tc>
          <w:tcPr>
            <w:tcW w:w="576" w:type="dxa"/>
          </w:tcPr>
          <w:p w14:paraId="42E7447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25</w:t>
            </w:r>
          </w:p>
        </w:tc>
        <w:tc>
          <w:tcPr>
            <w:tcW w:w="1152" w:type="dxa"/>
          </w:tcPr>
          <w:p w14:paraId="3D3ABA23"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25354029</w:t>
            </w:r>
          </w:p>
        </w:tc>
        <w:tc>
          <w:tcPr>
            <w:tcW w:w="4608" w:type="dxa"/>
          </w:tcPr>
          <w:p w14:paraId="1103A4F0"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Adaptive randomization for depression quality improvement (2014)</w:t>
            </w:r>
          </w:p>
        </w:tc>
        <w:tc>
          <w:tcPr>
            <w:tcW w:w="3168" w:type="dxa"/>
          </w:tcPr>
          <w:p w14:paraId="53DB44F5"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SMART methods/clinical treatment example</w:t>
            </w:r>
          </w:p>
        </w:tc>
        <w:tc>
          <w:tcPr>
            <w:tcW w:w="6048" w:type="dxa"/>
          </w:tcPr>
          <w:p w14:paraId="1DF14692"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Excluded as an implementation-strategy exemplar; it develops adaptive patient-treatment sequences.</w:t>
            </w:r>
          </w:p>
        </w:tc>
      </w:tr>
      <w:tr w:rsidR="00C40376" w:rsidRPr="0040629A" w14:paraId="08AE5490" w14:textId="77777777" w:rsidTr="00AC3E9E">
        <w:trPr>
          <w:cantSplit/>
          <w:jc w:val="center"/>
        </w:trPr>
        <w:tc>
          <w:tcPr>
            <w:tcW w:w="576" w:type="dxa"/>
          </w:tcPr>
          <w:p w14:paraId="759295F3"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lastRenderedPageBreak/>
              <w:t>26</w:t>
            </w:r>
          </w:p>
        </w:tc>
        <w:tc>
          <w:tcPr>
            <w:tcW w:w="1152" w:type="dxa"/>
          </w:tcPr>
          <w:p w14:paraId="138F887C"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34763037</w:t>
            </w:r>
          </w:p>
        </w:tc>
        <w:tc>
          <w:tcPr>
            <w:tcW w:w="4608" w:type="dxa"/>
          </w:tcPr>
          <w:p w14:paraId="0473C49B"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Bigirumurame et al. (2022), SMART reporting systematic review</w:t>
            </w:r>
          </w:p>
        </w:tc>
        <w:tc>
          <w:tcPr>
            <w:tcW w:w="3168" w:type="dxa"/>
          </w:tcPr>
          <w:p w14:paraId="684A33B1"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Systematic review of SMART reporting</w:t>
            </w:r>
          </w:p>
        </w:tc>
        <w:tc>
          <w:tcPr>
            <w:tcW w:w="6048" w:type="dxa"/>
          </w:tcPr>
          <w:p w14:paraId="01ADEEC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Eligible supporting methods source but not cited because it was outside the paper’s central design-selection contribution.</w:t>
            </w:r>
          </w:p>
        </w:tc>
      </w:tr>
      <w:tr w:rsidR="00C40376" w:rsidRPr="0040629A" w14:paraId="7F67CF96" w14:textId="77777777" w:rsidTr="00AC3E9E">
        <w:trPr>
          <w:cantSplit/>
          <w:jc w:val="center"/>
        </w:trPr>
        <w:tc>
          <w:tcPr>
            <w:tcW w:w="576" w:type="dxa"/>
          </w:tcPr>
          <w:p w14:paraId="22EECCFE"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27</w:t>
            </w:r>
          </w:p>
        </w:tc>
        <w:tc>
          <w:tcPr>
            <w:tcW w:w="1152" w:type="dxa"/>
          </w:tcPr>
          <w:p w14:paraId="3E3AEAFB"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34415011</w:t>
            </w:r>
          </w:p>
        </w:tc>
        <w:tc>
          <w:tcPr>
            <w:tcW w:w="4608" w:type="dxa"/>
          </w:tcPr>
          <w:p w14:paraId="75556B0C"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BestFIT weight-loss SMART results</w:t>
            </w:r>
          </w:p>
        </w:tc>
        <w:tc>
          <w:tcPr>
            <w:tcW w:w="3168" w:type="dxa"/>
          </w:tcPr>
          <w:p w14:paraId="68F89502"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Clinical SMART</w:t>
            </w:r>
          </w:p>
        </w:tc>
        <w:tc>
          <w:tcPr>
            <w:tcW w:w="6048" w:type="dxa"/>
          </w:tcPr>
          <w:p w14:paraId="23794C10"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Excluded; randomization adapted patient treatment rather than implementation support.</w:t>
            </w:r>
          </w:p>
        </w:tc>
      </w:tr>
      <w:tr w:rsidR="00C40376" w:rsidRPr="0040629A" w14:paraId="4FC62A0E" w14:textId="77777777" w:rsidTr="00AC3E9E">
        <w:trPr>
          <w:cantSplit/>
          <w:jc w:val="center"/>
        </w:trPr>
        <w:tc>
          <w:tcPr>
            <w:tcW w:w="576" w:type="dxa"/>
          </w:tcPr>
          <w:p w14:paraId="4C939C2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28</w:t>
            </w:r>
          </w:p>
        </w:tc>
        <w:tc>
          <w:tcPr>
            <w:tcW w:w="1152" w:type="dxa"/>
          </w:tcPr>
          <w:p w14:paraId="55DAB5AC"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39533437</w:t>
            </w:r>
          </w:p>
        </w:tc>
        <w:tc>
          <w:tcPr>
            <w:tcW w:w="4608" w:type="dxa"/>
          </w:tcPr>
          <w:p w14:paraId="42786D16"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Rendle et al. (2024), Thibang Diphatlha</w:t>
            </w:r>
          </w:p>
        </w:tc>
        <w:tc>
          <w:tcPr>
            <w:tcW w:w="3168" w:type="dxa"/>
          </w:tcPr>
          <w:p w14:paraId="20FDCA86"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Hybrid type III implementation SMART protocol</w:t>
            </w:r>
          </w:p>
        </w:tc>
        <w:tc>
          <w:tcPr>
            <w:tcW w:w="6048" w:type="dxa"/>
          </w:tcPr>
          <w:p w14:paraId="434F2EE0"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Eligible implementation SMART protocol but not cited in the current manuscript.</w:t>
            </w:r>
          </w:p>
        </w:tc>
      </w:tr>
      <w:tr w:rsidR="00C40376" w:rsidRPr="0040629A" w14:paraId="771BF3D9" w14:textId="77777777" w:rsidTr="00AC3E9E">
        <w:trPr>
          <w:cantSplit/>
          <w:jc w:val="center"/>
        </w:trPr>
        <w:tc>
          <w:tcPr>
            <w:tcW w:w="576" w:type="dxa"/>
          </w:tcPr>
          <w:p w14:paraId="00483D65"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29</w:t>
            </w:r>
          </w:p>
        </w:tc>
        <w:tc>
          <w:tcPr>
            <w:tcW w:w="1152" w:type="dxa"/>
          </w:tcPr>
          <w:p w14:paraId="6E680B27"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31883526</w:t>
            </w:r>
          </w:p>
        </w:tc>
        <w:tc>
          <w:tcPr>
            <w:tcW w:w="4608" w:type="dxa"/>
          </w:tcPr>
          <w:p w14:paraId="2880D19B"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SMART-DAPPER psychotherapy/medication trial</w:t>
            </w:r>
          </w:p>
        </w:tc>
        <w:tc>
          <w:tcPr>
            <w:tcW w:w="3168" w:type="dxa"/>
          </w:tcPr>
          <w:p w14:paraId="70F5E186"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Clinical SMART</w:t>
            </w:r>
          </w:p>
        </w:tc>
        <w:tc>
          <w:tcPr>
            <w:tcW w:w="6048" w:type="dxa"/>
          </w:tcPr>
          <w:p w14:paraId="23D9D70E"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Excluded; the randomized sequences are clinical treatments.</w:t>
            </w:r>
          </w:p>
        </w:tc>
      </w:tr>
      <w:tr w:rsidR="00C40376" w:rsidRPr="0040629A" w14:paraId="6E0E6D60" w14:textId="77777777" w:rsidTr="00AC3E9E">
        <w:trPr>
          <w:cantSplit/>
          <w:jc w:val="center"/>
        </w:trPr>
        <w:tc>
          <w:tcPr>
            <w:tcW w:w="576" w:type="dxa"/>
          </w:tcPr>
          <w:p w14:paraId="0666BBC7"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lastRenderedPageBreak/>
              <w:t>30</w:t>
            </w:r>
          </w:p>
        </w:tc>
        <w:tc>
          <w:tcPr>
            <w:tcW w:w="1152" w:type="dxa"/>
          </w:tcPr>
          <w:p w14:paraId="2E3E832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41579063</w:t>
            </w:r>
          </w:p>
        </w:tc>
        <w:tc>
          <w:tcPr>
            <w:tcW w:w="4608" w:type="dxa"/>
          </w:tcPr>
          <w:p w14:paraId="2F3A6269"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Pediatric epilepsy mHealth adherence SMART</w:t>
            </w:r>
          </w:p>
        </w:tc>
        <w:tc>
          <w:tcPr>
            <w:tcW w:w="3168" w:type="dxa"/>
          </w:tcPr>
          <w:p w14:paraId="6DDE178E"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Clinical/behavioral SMART</w:t>
            </w:r>
          </w:p>
        </w:tc>
        <w:tc>
          <w:tcPr>
            <w:tcW w:w="6048" w:type="dxa"/>
          </w:tcPr>
          <w:p w14:paraId="7C3A9260"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Excluded; the randomized sequences target patient adherence rather than implementation-strategy delivery.</w:t>
            </w:r>
          </w:p>
        </w:tc>
      </w:tr>
      <w:tr w:rsidR="00C40376" w:rsidRPr="0040629A" w14:paraId="7A9A0A17" w14:textId="77777777" w:rsidTr="00AC3E9E">
        <w:trPr>
          <w:cantSplit/>
          <w:jc w:val="center"/>
        </w:trPr>
        <w:tc>
          <w:tcPr>
            <w:tcW w:w="576" w:type="dxa"/>
          </w:tcPr>
          <w:p w14:paraId="3A86E97F"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31</w:t>
            </w:r>
          </w:p>
        </w:tc>
        <w:tc>
          <w:tcPr>
            <w:tcW w:w="1152" w:type="dxa"/>
          </w:tcPr>
          <w:p w14:paraId="64B87D15"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41479947</w:t>
            </w:r>
          </w:p>
        </w:tc>
        <w:tc>
          <w:tcPr>
            <w:tcW w:w="4608" w:type="dxa"/>
          </w:tcPr>
          <w:p w14:paraId="14A38791"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End-user feedback to specify an adaptive implementation strategy</w:t>
            </w:r>
          </w:p>
        </w:tc>
        <w:tc>
          <w:tcPr>
            <w:tcW w:w="3168" w:type="dxa"/>
          </w:tcPr>
          <w:p w14:paraId="60947F9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Qualitative strategy-development study</w:t>
            </w:r>
          </w:p>
        </w:tc>
        <w:tc>
          <w:tcPr>
            <w:tcW w:w="6048" w:type="dxa"/>
          </w:tcPr>
          <w:p w14:paraId="3BEFD3B8" w14:textId="77777777" w:rsidR="00C40376" w:rsidRPr="0040629A" w:rsidRDefault="00C40376" w:rsidP="00AC3E9E">
            <w:pPr>
              <w:spacing w:line="480" w:lineRule="auto"/>
              <w:rPr>
                <w:rFonts w:ascii="Times New Roman" w:hAnsi="Times New Roman" w:cs="Times New Roman"/>
                <w:sz w:val="24"/>
                <w:szCs w:val="24"/>
              </w:rPr>
            </w:pPr>
            <w:r w:rsidRPr="0040629A">
              <w:rPr>
                <w:rFonts w:ascii="Times New Roman" w:hAnsi="Times New Roman" w:cs="Times New Roman"/>
                <w:sz w:val="24"/>
                <w:szCs w:val="24"/>
              </w:rPr>
              <w:t>Excluded as a trial exemplar; no randomized implementation comparison was reported.</w:t>
            </w:r>
          </w:p>
        </w:tc>
      </w:tr>
    </w:tbl>
    <w:p w14:paraId="028202CE" w14:textId="77777777" w:rsidR="00C40376" w:rsidRPr="0040629A" w:rsidRDefault="00C40376" w:rsidP="00C40376">
      <w:pPr>
        <w:pStyle w:val="Heading1"/>
        <w:numPr>
          <w:ilvl w:val="0"/>
          <w:numId w:val="0"/>
        </w:numPr>
        <w:spacing w:line="480" w:lineRule="auto"/>
        <w:ind w:left="288" w:hanging="288"/>
        <w:rPr>
          <w:rFonts w:ascii="Times New Roman" w:hAnsi="Times New Roman"/>
          <w:sz w:val="24"/>
          <w:szCs w:val="24"/>
        </w:rPr>
      </w:pPr>
      <w:r w:rsidRPr="0040629A">
        <w:rPr>
          <w:rFonts w:ascii="Times New Roman" w:hAnsi="Times New Roman"/>
          <w:sz w:val="24"/>
          <w:szCs w:val="24"/>
        </w:rPr>
        <w:t xml:space="preserve">6. </w:t>
      </w:r>
      <w:r w:rsidRPr="0012092B">
        <w:rPr>
          <w:rFonts w:ascii="Times New Roman" w:hAnsi="Times New Roman"/>
          <w:sz w:val="26"/>
          <w:szCs w:val="26"/>
        </w:rPr>
        <w:t>Result accounting and limitations</w:t>
      </w:r>
    </w:p>
    <w:p w14:paraId="6982619A" w14:textId="5CF90272" w:rsidR="00F21843" w:rsidRPr="00F21843" w:rsidRDefault="00C40376" w:rsidP="00F21843">
      <w:pPr>
        <w:pStyle w:val="ListBullet"/>
        <w:tabs>
          <w:tab w:val="num" w:pos="360"/>
        </w:tabs>
        <w:spacing w:after="40" w:line="480" w:lineRule="auto"/>
        <w:ind w:left="360" w:hanging="360"/>
        <w:rPr>
          <w:rFonts w:ascii="Times New Roman" w:hAnsi="Times New Roman" w:cs="Times New Roman"/>
          <w:sz w:val="24"/>
          <w:szCs w:val="24"/>
        </w:rPr>
      </w:pPr>
      <w:r w:rsidRPr="0040629A">
        <w:rPr>
          <w:rFonts w:ascii="Times New Roman" w:hAnsi="Times New Roman" w:cs="Times New Roman"/>
          <w:sz w:val="24"/>
          <w:szCs w:val="24"/>
        </w:rPr>
        <w:t>Raw result records returned across the eight queries: 34.</w:t>
      </w:r>
    </w:p>
    <w:p w14:paraId="61AAFBCE" w14:textId="77777777" w:rsidR="00C40376" w:rsidRPr="0040629A" w:rsidRDefault="00C40376" w:rsidP="00C40376">
      <w:pPr>
        <w:pStyle w:val="ListBullet"/>
        <w:tabs>
          <w:tab w:val="num" w:pos="360"/>
        </w:tabs>
        <w:spacing w:after="40" w:line="480" w:lineRule="auto"/>
        <w:ind w:left="360" w:hanging="360"/>
        <w:rPr>
          <w:rFonts w:ascii="Times New Roman" w:hAnsi="Times New Roman" w:cs="Times New Roman"/>
          <w:sz w:val="24"/>
          <w:szCs w:val="24"/>
        </w:rPr>
      </w:pPr>
      <w:r w:rsidRPr="0040629A">
        <w:rPr>
          <w:rFonts w:ascii="Times New Roman" w:hAnsi="Times New Roman" w:cs="Times New Roman"/>
          <w:sz w:val="24"/>
          <w:szCs w:val="24"/>
        </w:rPr>
        <w:t>Removed before candidate screening: 3 (one duplicate TRUE SYNERGI result, one correction notice for the clustered SMART article, and one metrics-only webpage).</w:t>
      </w:r>
    </w:p>
    <w:p w14:paraId="778B051E" w14:textId="77777777" w:rsidR="00C40376" w:rsidRPr="0040629A" w:rsidRDefault="00C40376" w:rsidP="00C40376">
      <w:pPr>
        <w:pStyle w:val="ListBullet"/>
        <w:tabs>
          <w:tab w:val="num" w:pos="360"/>
        </w:tabs>
        <w:spacing w:after="40" w:line="480" w:lineRule="auto"/>
        <w:ind w:left="360" w:hanging="360"/>
        <w:rPr>
          <w:rFonts w:ascii="Times New Roman" w:hAnsi="Times New Roman" w:cs="Times New Roman"/>
          <w:sz w:val="24"/>
          <w:szCs w:val="24"/>
        </w:rPr>
      </w:pPr>
      <w:r w:rsidRPr="0040629A">
        <w:rPr>
          <w:rFonts w:ascii="Times New Roman" w:hAnsi="Times New Roman" w:cs="Times New Roman"/>
          <w:sz w:val="24"/>
          <w:szCs w:val="24"/>
        </w:rPr>
        <w:t>Unique candidate reports screened: 31.</w:t>
      </w:r>
    </w:p>
    <w:p w14:paraId="2B5056B2" w14:textId="77777777" w:rsidR="00C40376" w:rsidRPr="0040629A" w:rsidRDefault="00C40376" w:rsidP="00C40376">
      <w:pPr>
        <w:pStyle w:val="ListBullet"/>
        <w:tabs>
          <w:tab w:val="num" w:pos="360"/>
        </w:tabs>
        <w:spacing w:after="40" w:line="480" w:lineRule="auto"/>
        <w:ind w:left="360" w:hanging="360"/>
        <w:rPr>
          <w:rFonts w:ascii="Times New Roman" w:hAnsi="Times New Roman" w:cs="Times New Roman"/>
          <w:sz w:val="24"/>
          <w:szCs w:val="24"/>
        </w:rPr>
      </w:pPr>
      <w:r w:rsidRPr="0040629A">
        <w:rPr>
          <w:rFonts w:ascii="Times New Roman" w:hAnsi="Times New Roman" w:cs="Times New Roman"/>
          <w:sz w:val="24"/>
          <w:szCs w:val="24"/>
        </w:rPr>
        <w:t xml:space="preserve">Final verification classifications: 9 retained as cited sources or confirmed existing exemplars; 11 eligible but not cited because they were redundant with clearer sources; and 11 boundary, </w:t>
      </w:r>
      <w:r w:rsidRPr="0040629A">
        <w:rPr>
          <w:rFonts w:ascii="Times New Roman" w:hAnsi="Times New Roman" w:cs="Times New Roman"/>
          <w:sz w:val="24"/>
          <w:szCs w:val="24"/>
        </w:rPr>
        <w:lastRenderedPageBreak/>
        <w:t>secondary, methods-only, or clinical-treatment reports not used as primary implementation-strategy exemplars.</w:t>
      </w:r>
    </w:p>
    <w:p w14:paraId="441ABBD0" w14:textId="77777777" w:rsidR="00C40376" w:rsidRPr="0040629A" w:rsidRDefault="00C40376" w:rsidP="00C40376">
      <w:pPr>
        <w:pStyle w:val="ListBullet"/>
        <w:tabs>
          <w:tab w:val="num" w:pos="360"/>
        </w:tabs>
        <w:spacing w:after="40" w:line="480" w:lineRule="auto"/>
        <w:ind w:left="360" w:hanging="360"/>
        <w:rPr>
          <w:rFonts w:ascii="Times New Roman" w:hAnsi="Times New Roman" w:cs="Times New Roman"/>
          <w:sz w:val="24"/>
          <w:szCs w:val="24"/>
        </w:rPr>
      </w:pPr>
      <w:r w:rsidRPr="0040629A">
        <w:rPr>
          <w:rFonts w:ascii="Times New Roman" w:hAnsi="Times New Roman" w:cs="Times New Roman"/>
          <w:sz w:val="24"/>
          <w:szCs w:val="24"/>
        </w:rPr>
        <w:t>The reconstruction transparently reports what was returned and screened, but it is not a substitute for an exhaustive direct database search. Search ranking can change, and the interface did not expose total PubMed retrieval counts. The current manuscript therefore describes this activity as a structured verification and update search within a focused methodological synthesis.</w:t>
      </w:r>
    </w:p>
    <w:p w14:paraId="50A3E989" w14:textId="77777777" w:rsidR="00C40376" w:rsidRPr="0040629A" w:rsidRDefault="00C40376" w:rsidP="00C40376">
      <w:pPr>
        <w:pStyle w:val="Heading1"/>
        <w:numPr>
          <w:ilvl w:val="0"/>
          <w:numId w:val="0"/>
        </w:numPr>
        <w:spacing w:line="480" w:lineRule="auto"/>
        <w:ind w:left="288" w:hanging="288"/>
        <w:rPr>
          <w:rFonts w:ascii="Times New Roman" w:hAnsi="Times New Roman"/>
          <w:sz w:val="24"/>
          <w:szCs w:val="24"/>
        </w:rPr>
      </w:pPr>
      <w:r w:rsidRPr="0040629A">
        <w:rPr>
          <w:rFonts w:ascii="Times New Roman" w:hAnsi="Times New Roman"/>
          <w:sz w:val="24"/>
          <w:szCs w:val="24"/>
        </w:rPr>
        <w:t xml:space="preserve">7. </w:t>
      </w:r>
      <w:r w:rsidRPr="0012092B">
        <w:rPr>
          <w:rFonts w:ascii="Times New Roman" w:hAnsi="Times New Roman"/>
          <w:sz w:val="26"/>
          <w:szCs w:val="26"/>
        </w:rPr>
        <w:t>Reporting-guideline reference</w:t>
      </w:r>
    </w:p>
    <w:p w14:paraId="3B4317D8" w14:textId="77777777" w:rsidR="00C40376" w:rsidRPr="0040629A" w:rsidRDefault="00C40376" w:rsidP="00C40376">
      <w:pPr>
        <w:spacing w:after="40" w:line="480" w:lineRule="auto"/>
        <w:rPr>
          <w:rFonts w:ascii="Times New Roman" w:hAnsi="Times New Roman" w:cs="Times New Roman"/>
          <w:sz w:val="24"/>
          <w:szCs w:val="24"/>
        </w:rPr>
      </w:pPr>
      <w:r w:rsidRPr="0040629A">
        <w:rPr>
          <w:rFonts w:ascii="Times New Roman" w:hAnsi="Times New Roman" w:cs="Times New Roman"/>
          <w:sz w:val="24"/>
          <w:szCs w:val="24"/>
        </w:rPr>
        <w:t>Atkinson KM, Koenka AC, Sanchez CE, Moshontz H, Cooper H. Reporting standards for literature searches and report inclusion criteria: making research syntheses more transparent and easy to replicate. Research Synthesis Methods. 2015;6(1):87-95. doi:10.1002/jrsm.1127.</w:t>
      </w:r>
    </w:p>
    <w:p w14:paraId="3A2B1AEB" w14:textId="77777777" w:rsidR="00C40376" w:rsidRPr="0040629A" w:rsidRDefault="00C40376" w:rsidP="00C40376">
      <w:pPr>
        <w:spacing w:after="80" w:line="480" w:lineRule="auto"/>
        <w:rPr>
          <w:rFonts w:ascii="Times New Roman" w:hAnsi="Times New Roman" w:cs="Times New Roman"/>
          <w:sz w:val="24"/>
          <w:szCs w:val="24"/>
        </w:rPr>
      </w:pPr>
    </w:p>
    <w:p w14:paraId="543B9DCF" w14:textId="77777777" w:rsidR="0098213C" w:rsidRDefault="0098213C"/>
    <w:sectPr w:rsidR="009821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1"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2" w15:restartNumberingAfterBreak="0">
    <w:nsid w:val="FFFFFF89"/>
    <w:multiLevelType w:val="singleLevel"/>
    <w:tmpl w:val="54B8951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7A5A24AB"/>
    <w:multiLevelType w:val="multilevel"/>
    <w:tmpl w:val="FC96C924"/>
    <w:lvl w:ilvl="0">
      <w:start w:val="1"/>
      <w:numFmt w:val="decimal"/>
      <w:pStyle w:val="Heading1"/>
      <w:lvlText w:val="Chapter %1:"/>
      <w:lvlJc w:val="left"/>
      <w:pPr>
        <w:ind w:left="288" w:hanging="288"/>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246262028">
    <w:abstractNumId w:val="3"/>
  </w:num>
  <w:num w:numId="2" w16cid:durableId="504828205">
    <w:abstractNumId w:val="3"/>
  </w:num>
  <w:num w:numId="3" w16cid:durableId="1896309046">
    <w:abstractNumId w:val="3"/>
  </w:num>
  <w:num w:numId="4" w16cid:durableId="2112817281">
    <w:abstractNumId w:val="3"/>
  </w:num>
  <w:num w:numId="5" w16cid:durableId="1171143645">
    <w:abstractNumId w:val="3"/>
  </w:num>
  <w:num w:numId="6" w16cid:durableId="677924517">
    <w:abstractNumId w:val="3"/>
  </w:num>
  <w:num w:numId="7" w16cid:durableId="1369135855">
    <w:abstractNumId w:val="3"/>
  </w:num>
  <w:num w:numId="8" w16cid:durableId="1743065044">
    <w:abstractNumId w:val="1"/>
  </w:num>
  <w:num w:numId="9" w16cid:durableId="153034142">
    <w:abstractNumId w:val="2"/>
  </w:num>
  <w:num w:numId="10" w16cid:durableId="1982953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376"/>
    <w:rsid w:val="00114F78"/>
    <w:rsid w:val="001858A8"/>
    <w:rsid w:val="003D5D39"/>
    <w:rsid w:val="006378D7"/>
    <w:rsid w:val="007A5B0D"/>
    <w:rsid w:val="008E0C6D"/>
    <w:rsid w:val="0098213C"/>
    <w:rsid w:val="00B736B3"/>
    <w:rsid w:val="00C40376"/>
    <w:rsid w:val="00D67138"/>
    <w:rsid w:val="00F21843"/>
    <w:rsid w:val="00F92F00"/>
    <w:rsid w:val="00FC7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6CE32"/>
  <w15:chartTrackingRefBased/>
  <w15:docId w15:val="{598E6982-ECC2-4E54-82CB-563C7797E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376"/>
    <w:pPr>
      <w:spacing w:after="200" w:line="276" w:lineRule="auto"/>
    </w:pPr>
    <w:rPr>
      <w:rFonts w:ascii="Arial" w:eastAsiaTheme="minorEastAsia" w:hAnsi="Arial"/>
      <w:kern w:val="0"/>
      <w:sz w:val="18"/>
      <w:szCs w:val="22"/>
      <w14:ligatures w14:val="none"/>
    </w:rPr>
  </w:style>
  <w:style w:type="paragraph" w:styleId="Heading1">
    <w:name w:val="heading 1"/>
    <w:basedOn w:val="Normal"/>
    <w:next w:val="Normal"/>
    <w:link w:val="Heading1Char"/>
    <w:autoRedefine/>
    <w:uiPriority w:val="9"/>
    <w:qFormat/>
    <w:rsid w:val="001858A8"/>
    <w:pPr>
      <w:keepNext/>
      <w:keepLines/>
      <w:numPr>
        <w:numId w:val="7"/>
      </w:numPr>
      <w:spacing w:before="240" w:after="0"/>
      <w:outlineLvl w:val="0"/>
    </w:pPr>
    <w:rPr>
      <w:rFonts w:eastAsiaTheme="majorEastAsia" w:cs="Times New Roman"/>
      <w:b/>
      <w:sz w:val="28"/>
      <w:szCs w:val="28"/>
    </w:rPr>
  </w:style>
  <w:style w:type="paragraph" w:styleId="Heading2">
    <w:name w:val="heading 2"/>
    <w:basedOn w:val="Normal"/>
    <w:next w:val="Normal"/>
    <w:link w:val="Heading2Char"/>
    <w:autoRedefine/>
    <w:uiPriority w:val="9"/>
    <w:unhideWhenUsed/>
    <w:qFormat/>
    <w:rsid w:val="001858A8"/>
    <w:pPr>
      <w:keepNext/>
      <w:keepLines/>
      <w:numPr>
        <w:ilvl w:val="1"/>
        <w:numId w:val="7"/>
      </w:numPr>
      <w:spacing w:before="40" w:after="0"/>
      <w:outlineLvl w:val="1"/>
    </w:pPr>
    <w:rPr>
      <w:rFonts w:eastAsiaTheme="majorEastAsia" w:cstheme="majorBidi"/>
      <w:b/>
      <w:bCs/>
      <w:szCs w:val="26"/>
    </w:rPr>
  </w:style>
  <w:style w:type="paragraph" w:styleId="Heading3">
    <w:name w:val="heading 3"/>
    <w:basedOn w:val="Normal"/>
    <w:next w:val="Normal"/>
    <w:link w:val="Heading3Char"/>
    <w:autoRedefine/>
    <w:uiPriority w:val="9"/>
    <w:unhideWhenUsed/>
    <w:qFormat/>
    <w:rsid w:val="001858A8"/>
    <w:pPr>
      <w:keepNext/>
      <w:keepLines/>
      <w:numPr>
        <w:ilvl w:val="2"/>
        <w:numId w:val="7"/>
      </w:numPr>
      <w:spacing w:before="40" w:after="0"/>
      <w:outlineLvl w:val="2"/>
    </w:pPr>
    <w:rPr>
      <w:rFonts w:eastAsiaTheme="majorEastAsia" w:cs="Times New Roman"/>
      <w:i/>
      <w:iCs/>
      <w:szCs w:val="24"/>
    </w:rPr>
  </w:style>
  <w:style w:type="paragraph" w:styleId="Heading4">
    <w:name w:val="heading 4"/>
    <w:basedOn w:val="Normal"/>
    <w:next w:val="Normal"/>
    <w:link w:val="Heading4Char"/>
    <w:autoRedefine/>
    <w:uiPriority w:val="9"/>
    <w:unhideWhenUsed/>
    <w:qFormat/>
    <w:rsid w:val="001858A8"/>
    <w:pPr>
      <w:keepNext/>
      <w:keepLines/>
      <w:numPr>
        <w:ilvl w:val="3"/>
        <w:numId w:val="7"/>
      </w:numPr>
      <w:spacing w:before="40" w:after="0"/>
      <w:outlineLvl w:val="3"/>
    </w:pPr>
    <w:rPr>
      <w:rFonts w:eastAsiaTheme="majorEastAsia" w:cstheme="majorBidi"/>
      <w:i/>
      <w:iCs/>
      <w:szCs w:val="24"/>
    </w:rPr>
  </w:style>
  <w:style w:type="paragraph" w:styleId="Heading5">
    <w:name w:val="heading 5"/>
    <w:basedOn w:val="Normal"/>
    <w:next w:val="Normal"/>
    <w:link w:val="Heading5Char"/>
    <w:autoRedefine/>
    <w:uiPriority w:val="9"/>
    <w:unhideWhenUsed/>
    <w:qFormat/>
    <w:rsid w:val="001858A8"/>
    <w:pPr>
      <w:keepNext/>
      <w:keepLines/>
      <w:numPr>
        <w:ilvl w:val="4"/>
        <w:numId w:val="7"/>
      </w:numPr>
      <w:spacing w:before="40" w:after="0"/>
      <w:outlineLvl w:val="4"/>
    </w:pPr>
    <w:rPr>
      <w:rFonts w:eastAsiaTheme="majorEastAsia" w:cs="Times New Roman"/>
      <w:i/>
      <w:szCs w:val="24"/>
    </w:rPr>
  </w:style>
  <w:style w:type="paragraph" w:styleId="Heading6">
    <w:name w:val="heading 6"/>
    <w:basedOn w:val="Normal"/>
    <w:next w:val="Normal"/>
    <w:link w:val="Heading6Char"/>
    <w:uiPriority w:val="9"/>
    <w:semiHidden/>
    <w:unhideWhenUsed/>
    <w:qFormat/>
    <w:rsid w:val="00C4037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4037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4037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4037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8A8"/>
    <w:rPr>
      <w:rFonts w:ascii="Times New Roman" w:eastAsiaTheme="majorEastAsia" w:hAnsi="Times New Roman" w:cs="Times New Roman"/>
      <w:b/>
      <w:sz w:val="28"/>
      <w:szCs w:val="28"/>
    </w:rPr>
  </w:style>
  <w:style w:type="paragraph" w:customStyle="1" w:styleId="EndNoteBibliography">
    <w:name w:val="EndNote Bibliography"/>
    <w:basedOn w:val="Normal"/>
    <w:link w:val="EndNoteBibliographyChar"/>
    <w:autoRedefine/>
    <w:rsid w:val="001858A8"/>
    <w:pPr>
      <w:spacing w:before="40" w:after="0"/>
    </w:pPr>
    <w:rPr>
      <w:rFonts w:cs="Times New Roman"/>
      <w:noProof/>
      <w:szCs w:val="24"/>
    </w:rPr>
  </w:style>
  <w:style w:type="character" w:customStyle="1" w:styleId="EndNoteBibliographyChar">
    <w:name w:val="EndNote Bibliography Char"/>
    <w:basedOn w:val="DefaultParagraphFont"/>
    <w:link w:val="EndNoteBibliography"/>
    <w:rsid w:val="001858A8"/>
    <w:rPr>
      <w:rFonts w:ascii="Times New Roman" w:hAnsi="Times New Roman" w:cs="Times New Roman"/>
      <w:noProof/>
      <w:kern w:val="0"/>
      <w14:ligatures w14:val="none"/>
    </w:rPr>
  </w:style>
  <w:style w:type="character" w:customStyle="1" w:styleId="Heading2Char">
    <w:name w:val="Heading 2 Char"/>
    <w:basedOn w:val="DefaultParagraphFont"/>
    <w:link w:val="Heading2"/>
    <w:uiPriority w:val="9"/>
    <w:rsid w:val="001858A8"/>
    <w:rPr>
      <w:rFonts w:ascii="Times New Roman" w:eastAsiaTheme="majorEastAsia" w:hAnsi="Times New Roman" w:cstheme="majorBidi"/>
      <w:b/>
      <w:bCs/>
      <w:szCs w:val="26"/>
    </w:rPr>
  </w:style>
  <w:style w:type="character" w:customStyle="1" w:styleId="Heading3Char">
    <w:name w:val="Heading 3 Char"/>
    <w:basedOn w:val="DefaultParagraphFont"/>
    <w:link w:val="Heading3"/>
    <w:uiPriority w:val="9"/>
    <w:rsid w:val="001858A8"/>
    <w:rPr>
      <w:rFonts w:ascii="Times New Roman" w:eastAsiaTheme="majorEastAsia" w:hAnsi="Times New Roman" w:cs="Times New Roman"/>
      <w:i/>
      <w:iCs/>
    </w:rPr>
  </w:style>
  <w:style w:type="character" w:customStyle="1" w:styleId="Heading4Char">
    <w:name w:val="Heading 4 Char"/>
    <w:basedOn w:val="DefaultParagraphFont"/>
    <w:link w:val="Heading4"/>
    <w:uiPriority w:val="9"/>
    <w:rsid w:val="001858A8"/>
    <w:rPr>
      <w:rFonts w:ascii="Times New Roman" w:eastAsiaTheme="majorEastAsia" w:hAnsi="Times New Roman" w:cstheme="majorBidi"/>
      <w:i/>
      <w:iCs/>
    </w:rPr>
  </w:style>
  <w:style w:type="character" w:customStyle="1" w:styleId="Heading5Char">
    <w:name w:val="Heading 5 Char"/>
    <w:basedOn w:val="DefaultParagraphFont"/>
    <w:link w:val="Heading5"/>
    <w:uiPriority w:val="9"/>
    <w:rsid w:val="001858A8"/>
    <w:rPr>
      <w:rFonts w:ascii="Times New Roman" w:eastAsiaTheme="majorEastAsia" w:hAnsi="Times New Roman" w:cs="Times New Roman"/>
      <w:i/>
    </w:rPr>
  </w:style>
  <w:style w:type="character" w:customStyle="1" w:styleId="Heading6Char">
    <w:name w:val="Heading 6 Char"/>
    <w:basedOn w:val="DefaultParagraphFont"/>
    <w:link w:val="Heading6"/>
    <w:uiPriority w:val="9"/>
    <w:semiHidden/>
    <w:rsid w:val="00C40376"/>
    <w:rPr>
      <w:rFonts w:eastAsiaTheme="majorEastAsia" w:cstheme="majorBidi"/>
      <w:i/>
      <w:iCs/>
      <w:color w:val="595959" w:themeColor="text1" w:themeTint="A6"/>
      <w:szCs w:val="22"/>
    </w:rPr>
  </w:style>
  <w:style w:type="character" w:customStyle="1" w:styleId="Heading7Char">
    <w:name w:val="Heading 7 Char"/>
    <w:basedOn w:val="DefaultParagraphFont"/>
    <w:link w:val="Heading7"/>
    <w:uiPriority w:val="9"/>
    <w:semiHidden/>
    <w:rsid w:val="00C40376"/>
    <w:rPr>
      <w:rFonts w:eastAsiaTheme="majorEastAsia" w:cstheme="majorBidi"/>
      <w:color w:val="595959" w:themeColor="text1" w:themeTint="A6"/>
      <w:szCs w:val="22"/>
    </w:rPr>
  </w:style>
  <w:style w:type="character" w:customStyle="1" w:styleId="Heading8Char">
    <w:name w:val="Heading 8 Char"/>
    <w:basedOn w:val="DefaultParagraphFont"/>
    <w:link w:val="Heading8"/>
    <w:uiPriority w:val="9"/>
    <w:semiHidden/>
    <w:rsid w:val="00C40376"/>
    <w:rPr>
      <w:rFonts w:eastAsiaTheme="majorEastAsia" w:cstheme="majorBidi"/>
      <w:i/>
      <w:iCs/>
      <w:color w:val="272727" w:themeColor="text1" w:themeTint="D8"/>
      <w:szCs w:val="22"/>
    </w:rPr>
  </w:style>
  <w:style w:type="character" w:customStyle="1" w:styleId="Heading9Char">
    <w:name w:val="Heading 9 Char"/>
    <w:basedOn w:val="DefaultParagraphFont"/>
    <w:link w:val="Heading9"/>
    <w:uiPriority w:val="9"/>
    <w:semiHidden/>
    <w:rsid w:val="00C40376"/>
    <w:rPr>
      <w:rFonts w:eastAsiaTheme="majorEastAsia" w:cstheme="majorBidi"/>
      <w:color w:val="272727" w:themeColor="text1" w:themeTint="D8"/>
      <w:szCs w:val="22"/>
    </w:rPr>
  </w:style>
  <w:style w:type="paragraph" w:styleId="Title">
    <w:name w:val="Title"/>
    <w:basedOn w:val="Normal"/>
    <w:next w:val="Normal"/>
    <w:link w:val="TitleChar"/>
    <w:uiPriority w:val="10"/>
    <w:qFormat/>
    <w:rsid w:val="00C403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03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37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03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03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40376"/>
    <w:rPr>
      <w:rFonts w:ascii="Times New Roman" w:hAnsi="Times New Roman"/>
      <w:i/>
      <w:iCs/>
      <w:color w:val="404040" w:themeColor="text1" w:themeTint="BF"/>
      <w:szCs w:val="22"/>
    </w:rPr>
  </w:style>
  <w:style w:type="paragraph" w:styleId="ListParagraph">
    <w:name w:val="List Paragraph"/>
    <w:basedOn w:val="Normal"/>
    <w:uiPriority w:val="34"/>
    <w:qFormat/>
    <w:rsid w:val="00C40376"/>
    <w:pPr>
      <w:ind w:left="720"/>
      <w:contextualSpacing/>
    </w:pPr>
  </w:style>
  <w:style w:type="character" w:styleId="IntenseEmphasis">
    <w:name w:val="Intense Emphasis"/>
    <w:basedOn w:val="DefaultParagraphFont"/>
    <w:uiPriority w:val="21"/>
    <w:qFormat/>
    <w:rsid w:val="00C40376"/>
    <w:rPr>
      <w:i/>
      <w:iCs/>
      <w:color w:val="0F4761" w:themeColor="accent1" w:themeShade="BF"/>
    </w:rPr>
  </w:style>
  <w:style w:type="paragraph" w:styleId="IntenseQuote">
    <w:name w:val="Intense Quote"/>
    <w:basedOn w:val="Normal"/>
    <w:next w:val="Normal"/>
    <w:link w:val="IntenseQuoteChar"/>
    <w:uiPriority w:val="30"/>
    <w:qFormat/>
    <w:rsid w:val="00C403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0376"/>
    <w:rPr>
      <w:rFonts w:ascii="Times New Roman" w:hAnsi="Times New Roman"/>
      <w:i/>
      <w:iCs/>
      <w:color w:val="0F4761" w:themeColor="accent1" w:themeShade="BF"/>
      <w:szCs w:val="22"/>
    </w:rPr>
  </w:style>
  <w:style w:type="character" w:styleId="IntenseReference">
    <w:name w:val="Intense Reference"/>
    <w:basedOn w:val="DefaultParagraphFont"/>
    <w:uiPriority w:val="32"/>
    <w:qFormat/>
    <w:rsid w:val="00C40376"/>
    <w:rPr>
      <w:b/>
      <w:bCs/>
      <w:smallCaps/>
      <w:color w:val="0F4761" w:themeColor="accent1" w:themeShade="BF"/>
      <w:spacing w:val="5"/>
    </w:rPr>
  </w:style>
  <w:style w:type="paragraph" w:styleId="ListNumber3">
    <w:name w:val="List Number 3"/>
    <w:basedOn w:val="Normal"/>
    <w:uiPriority w:val="99"/>
    <w:unhideWhenUsed/>
    <w:rsid w:val="00C40376"/>
    <w:pPr>
      <w:numPr>
        <w:numId w:val="8"/>
      </w:numPr>
      <w:tabs>
        <w:tab w:val="clear" w:pos="1080"/>
      </w:tabs>
      <w:contextualSpacing/>
    </w:pPr>
  </w:style>
  <w:style w:type="paragraph" w:styleId="ListBullet">
    <w:name w:val="List Bullet"/>
    <w:basedOn w:val="Normal"/>
    <w:uiPriority w:val="99"/>
    <w:unhideWhenUsed/>
    <w:rsid w:val="00C40376"/>
    <w:pPr>
      <w:numPr>
        <w:numId w:val="9"/>
      </w:numPr>
      <w:tabs>
        <w:tab w:val="clear" w:pos="360"/>
      </w:tabs>
      <w:ind w:left="0" w:firstLine="0"/>
      <w:contextualSpacing/>
    </w:pPr>
  </w:style>
  <w:style w:type="table" w:styleId="TableGrid">
    <w:name w:val="Table Grid"/>
    <w:basedOn w:val="TableNormal"/>
    <w:uiPriority w:val="59"/>
    <w:rsid w:val="00C40376"/>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671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21</Pages>
  <Words>2452</Words>
  <Characters>13982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Jonah Amponsah</dc:creator>
  <cp:keywords/>
  <dc:description/>
  <cp:lastModifiedBy>Jonah Amponsah</cp:lastModifiedBy>
  <cp:revision>8</cp:revision>
  <dcterms:created xsi:type="dcterms:W3CDTF">2026-08-03T06:06:00Z</dcterms:created>
  <dcterms:modified xsi:type="dcterms:W3CDTF">2026-08-03T06:35:00Z</dcterms:modified>
</cp:coreProperties>
</file>