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Additional file 2</w:t>
      </w:r>
    </w:p>
    <w:p>
      <w:pPr>
        <w:jc w:val="center"/>
      </w:pPr>
      <w:r>
        <w:rPr>
          <w:b/>
          <w:sz w:val="26"/>
        </w:rPr>
        <w:t>English-Language Version of the Demographic and Occupational Data-Collection Form</w:t>
      </w:r>
    </w:p>
    <w:p>
      <w:pPr>
        <w:jc w:val="center"/>
      </w:pPr>
      <w:r>
        <w:rPr>
          <w:i/>
          <w:sz w:val="18"/>
        </w:rPr>
        <w:t>Moral Sensitivity and Caring Behaviors Among Nurses: A Cross-Sectional Study of Total and Subscale-Level Associations</w:t>
      </w:r>
    </w:p>
    <w:p>
      <w:pPr>
        <w:spacing w:after="60" w:before="0"/>
      </w:pPr>
      <w:r>
        <w:rPr>
          <w:b/>
          <w:sz w:val="17"/>
        </w:rPr>
        <w:t xml:space="preserve">Source note. </w:t>
      </w:r>
      <w:r>
        <w:rPr>
          <w:sz w:val="17"/>
        </w:rPr>
        <w:t>This English-language version was prepared from the variables and response categories retained in the study source data dictionary and the submitted manuscript. No new demographic or occupational variables were added. The source data dictionary does not preserve a monetary unit for the income categories; therefore, no unverified currency or unit has been introduced here.</w:t>
      </w:r>
    </w:p>
    <w:tbl>
      <w:tblPr>
        <w:tblStyle w:val="TableGrid"/>
        <w:tblW w:type="auto" w:w="0"/>
        <w:jc w:val="center"/>
        <w:tblLayout w:type="autofit"/>
        <w:tblLook w:firstColumn="1" w:firstRow="1" w:lastColumn="0" w:lastRow="0" w:noHBand="0" w:noVBand="1" w:val="04A0"/>
      </w:tblPr>
      <w:tblGrid>
        <w:gridCol w:w="2484"/>
        <w:gridCol w:w="2484"/>
        <w:gridCol w:w="2484"/>
        <w:gridCol w:w="2484"/>
      </w:tblGrid>
      <w:tr>
        <w:trPr>
          <w:tblHeader w:val="true"/>
          <w:cantSplit/>
        </w:trPr>
        <w:tc>
          <w:tcPr>
            <w:tcW w:type="dxa" w:w="648"/>
            <w:vAlign w:val="center"/>
            <w:tcMar>
              <w:top w:w="35" w:type="dxa"/>
              <w:bottom w:w="35" w:type="dxa"/>
              <w:left w:w="55" w:type="dxa"/>
              <w:right w:w="55" w:type="dxa"/>
            </w:tcMar>
          </w:tcPr>
          <w:p>
            <w:pPr>
              <w:spacing w:before="0" w:after="0"/>
            </w:pPr>
            <w:r>
              <w:rPr>
                <w:b/>
                <w:sz w:val="15"/>
              </w:rPr>
              <w:t>No.</w:t>
            </w:r>
          </w:p>
        </w:tc>
        <w:tc>
          <w:tcPr>
            <w:tcW w:type="dxa" w:w="2232"/>
            <w:vAlign w:val="center"/>
            <w:tcMar>
              <w:top w:w="35" w:type="dxa"/>
              <w:bottom w:w="35" w:type="dxa"/>
              <w:left w:w="55" w:type="dxa"/>
              <w:right w:w="55" w:type="dxa"/>
            </w:tcMar>
          </w:tcPr>
          <w:p>
            <w:pPr>
              <w:spacing w:before="0" w:after="0"/>
            </w:pPr>
            <w:r>
              <w:rPr>
                <w:b/>
                <w:sz w:val="15"/>
              </w:rPr>
              <w:t>Variable</w:t>
            </w:r>
          </w:p>
        </w:tc>
        <w:tc>
          <w:tcPr>
            <w:tcW w:type="dxa" w:w="3744"/>
            <w:vAlign w:val="center"/>
            <w:tcMar>
              <w:top w:w="35" w:type="dxa"/>
              <w:bottom w:w="35" w:type="dxa"/>
              <w:left w:w="55" w:type="dxa"/>
              <w:right w:w="55" w:type="dxa"/>
            </w:tcMar>
          </w:tcPr>
          <w:p>
            <w:pPr>
              <w:spacing w:before="0" w:after="0"/>
            </w:pPr>
            <w:r>
              <w:rPr>
                <w:b/>
                <w:sz w:val="15"/>
              </w:rPr>
              <w:t>English-language item</w:t>
            </w:r>
          </w:p>
        </w:tc>
        <w:tc>
          <w:tcPr>
            <w:tcW w:type="dxa" w:w="8496"/>
            <w:vAlign w:val="center"/>
            <w:tcMar>
              <w:top w:w="35" w:type="dxa"/>
              <w:bottom w:w="35" w:type="dxa"/>
              <w:left w:w="55" w:type="dxa"/>
              <w:right w:w="55" w:type="dxa"/>
            </w:tcMar>
          </w:tcPr>
          <w:p>
            <w:pPr>
              <w:spacing w:before="0" w:after="0"/>
            </w:pPr>
            <w:r>
              <w:rPr>
                <w:b/>
                <w:sz w:val="15"/>
              </w:rPr>
              <w:t>Response options / format</w:t>
            </w:r>
          </w:p>
        </w:tc>
      </w:tr>
      <w:tr>
        <w:trPr>
          <w:cantSplit/>
        </w:trPr>
        <w:tc>
          <w:tcPr>
            <w:tcW w:type="dxa" w:w="648"/>
            <w:vAlign w:val="center"/>
            <w:tcMar>
              <w:top w:w="35" w:type="dxa"/>
              <w:bottom w:w="35" w:type="dxa"/>
              <w:left w:w="55" w:type="dxa"/>
              <w:right w:w="55" w:type="dxa"/>
            </w:tcMar>
          </w:tcPr>
          <w:p>
            <w:pPr>
              <w:spacing w:before="0" w:after="0"/>
            </w:pPr>
            <w:r>
              <w:rPr>
                <w:sz w:val="15"/>
              </w:rPr>
              <w:t>1</w:t>
            </w:r>
          </w:p>
        </w:tc>
        <w:tc>
          <w:tcPr>
            <w:tcW w:type="dxa" w:w="2232"/>
            <w:vAlign w:val="center"/>
            <w:tcMar>
              <w:top w:w="35" w:type="dxa"/>
              <w:bottom w:w="35" w:type="dxa"/>
              <w:left w:w="55" w:type="dxa"/>
              <w:right w:w="55" w:type="dxa"/>
            </w:tcMar>
          </w:tcPr>
          <w:p>
            <w:pPr>
              <w:spacing w:before="0" w:after="0"/>
            </w:pPr>
            <w:r>
              <w:rPr>
                <w:sz w:val="15"/>
              </w:rPr>
              <w:t>Age</w:t>
            </w:r>
          </w:p>
        </w:tc>
        <w:tc>
          <w:tcPr>
            <w:tcW w:type="dxa" w:w="3744"/>
            <w:vAlign w:val="center"/>
            <w:tcMar>
              <w:top w:w="35" w:type="dxa"/>
              <w:bottom w:w="35" w:type="dxa"/>
              <w:left w:w="55" w:type="dxa"/>
              <w:right w:w="55" w:type="dxa"/>
            </w:tcMar>
          </w:tcPr>
          <w:p>
            <w:pPr>
              <w:spacing w:before="0" w:after="0"/>
            </w:pPr>
            <w:r>
              <w:rPr>
                <w:sz w:val="15"/>
              </w:rPr>
              <w:t>Age in years</w:t>
            </w:r>
          </w:p>
        </w:tc>
        <w:tc>
          <w:tcPr>
            <w:tcW w:type="dxa" w:w="8496"/>
            <w:vAlign w:val="center"/>
            <w:tcMar>
              <w:top w:w="35" w:type="dxa"/>
              <w:bottom w:w="35" w:type="dxa"/>
              <w:left w:w="55" w:type="dxa"/>
              <w:right w:w="55" w:type="dxa"/>
            </w:tcMar>
          </w:tcPr>
          <w:p>
            <w:pPr>
              <w:spacing w:before="0" w:after="0"/>
            </w:pPr>
            <w:r>
              <w:rPr>
                <w:sz w:val="15"/>
              </w:rPr>
              <w:t>Open numeric response</w:t>
            </w:r>
          </w:p>
        </w:tc>
      </w:tr>
      <w:tr>
        <w:trPr>
          <w:cantSplit/>
        </w:trPr>
        <w:tc>
          <w:tcPr>
            <w:tcW w:type="dxa" w:w="648"/>
            <w:vAlign w:val="center"/>
            <w:tcMar>
              <w:top w:w="35" w:type="dxa"/>
              <w:bottom w:w="35" w:type="dxa"/>
              <w:left w:w="55" w:type="dxa"/>
              <w:right w:w="55" w:type="dxa"/>
            </w:tcMar>
          </w:tcPr>
          <w:p>
            <w:pPr>
              <w:spacing w:before="0" w:after="0"/>
            </w:pPr>
            <w:r>
              <w:rPr>
                <w:sz w:val="15"/>
              </w:rPr>
              <w:t>2</w:t>
            </w:r>
          </w:p>
        </w:tc>
        <w:tc>
          <w:tcPr>
            <w:tcW w:type="dxa" w:w="2232"/>
            <w:vAlign w:val="center"/>
            <w:tcMar>
              <w:top w:w="35" w:type="dxa"/>
              <w:bottom w:w="35" w:type="dxa"/>
              <w:left w:w="55" w:type="dxa"/>
              <w:right w:w="55" w:type="dxa"/>
            </w:tcMar>
          </w:tcPr>
          <w:p>
            <w:pPr>
              <w:spacing w:before="0" w:after="0"/>
            </w:pPr>
            <w:r>
              <w:rPr>
                <w:sz w:val="15"/>
              </w:rPr>
              <w:t>Sex</w:t>
            </w:r>
          </w:p>
        </w:tc>
        <w:tc>
          <w:tcPr>
            <w:tcW w:type="dxa" w:w="3744"/>
            <w:vAlign w:val="center"/>
            <w:tcMar>
              <w:top w:w="35" w:type="dxa"/>
              <w:bottom w:w="35" w:type="dxa"/>
              <w:left w:w="55" w:type="dxa"/>
              <w:right w:w="55" w:type="dxa"/>
            </w:tcMar>
          </w:tcPr>
          <w:p>
            <w:pPr>
              <w:spacing w:before="0" w:after="0"/>
            </w:pPr>
            <w:r>
              <w:rPr>
                <w:sz w:val="15"/>
              </w:rPr>
              <w:t>Sex</w:t>
            </w:r>
          </w:p>
        </w:tc>
        <w:tc>
          <w:tcPr>
            <w:tcW w:type="dxa" w:w="8496"/>
            <w:vAlign w:val="center"/>
            <w:tcMar>
              <w:top w:w="35" w:type="dxa"/>
              <w:bottom w:w="35" w:type="dxa"/>
              <w:left w:w="55" w:type="dxa"/>
              <w:right w:w="55" w:type="dxa"/>
            </w:tcMar>
          </w:tcPr>
          <w:p>
            <w:pPr>
              <w:spacing w:before="0" w:after="0"/>
            </w:pPr>
            <w:r>
              <w:rPr>
                <w:sz w:val="15"/>
              </w:rPr>
              <w:t>Male; Female</w:t>
            </w:r>
          </w:p>
        </w:tc>
      </w:tr>
      <w:tr>
        <w:trPr>
          <w:cantSplit/>
        </w:trPr>
        <w:tc>
          <w:tcPr>
            <w:tcW w:type="dxa" w:w="648"/>
            <w:vAlign w:val="center"/>
            <w:tcMar>
              <w:top w:w="35" w:type="dxa"/>
              <w:bottom w:w="35" w:type="dxa"/>
              <w:left w:w="55" w:type="dxa"/>
              <w:right w:w="55" w:type="dxa"/>
            </w:tcMar>
          </w:tcPr>
          <w:p>
            <w:pPr>
              <w:spacing w:before="0" w:after="0"/>
            </w:pPr>
            <w:r>
              <w:rPr>
                <w:sz w:val="15"/>
              </w:rPr>
              <w:t>3</w:t>
            </w:r>
          </w:p>
        </w:tc>
        <w:tc>
          <w:tcPr>
            <w:tcW w:type="dxa" w:w="2232"/>
            <w:vAlign w:val="center"/>
            <w:tcMar>
              <w:top w:w="35" w:type="dxa"/>
              <w:bottom w:w="35" w:type="dxa"/>
              <w:left w:w="55" w:type="dxa"/>
              <w:right w:w="55" w:type="dxa"/>
            </w:tcMar>
          </w:tcPr>
          <w:p>
            <w:pPr>
              <w:spacing w:before="0" w:after="0"/>
            </w:pPr>
            <w:r>
              <w:rPr>
                <w:sz w:val="15"/>
              </w:rPr>
              <w:t>Marital status</w:t>
            </w:r>
          </w:p>
        </w:tc>
        <w:tc>
          <w:tcPr>
            <w:tcW w:type="dxa" w:w="3744"/>
            <w:vAlign w:val="center"/>
            <w:tcMar>
              <w:top w:w="35" w:type="dxa"/>
              <w:bottom w:w="35" w:type="dxa"/>
              <w:left w:w="55" w:type="dxa"/>
              <w:right w:w="55" w:type="dxa"/>
            </w:tcMar>
          </w:tcPr>
          <w:p>
            <w:pPr>
              <w:spacing w:before="0" w:after="0"/>
            </w:pPr>
            <w:r>
              <w:rPr>
                <w:sz w:val="15"/>
              </w:rPr>
              <w:t>Marital status</w:t>
            </w:r>
          </w:p>
        </w:tc>
        <w:tc>
          <w:tcPr>
            <w:tcW w:type="dxa" w:w="8496"/>
            <w:vAlign w:val="center"/>
            <w:tcMar>
              <w:top w:w="35" w:type="dxa"/>
              <w:bottom w:w="35" w:type="dxa"/>
              <w:left w:w="55" w:type="dxa"/>
              <w:right w:w="55" w:type="dxa"/>
            </w:tcMar>
          </w:tcPr>
          <w:p>
            <w:pPr>
              <w:spacing w:before="0" w:after="0"/>
            </w:pPr>
            <w:r>
              <w:rPr>
                <w:sz w:val="15"/>
              </w:rPr>
              <w:t>Married; Single</w:t>
            </w:r>
          </w:p>
        </w:tc>
      </w:tr>
      <w:tr>
        <w:trPr>
          <w:cantSplit/>
        </w:trPr>
        <w:tc>
          <w:tcPr>
            <w:tcW w:type="dxa" w:w="648"/>
            <w:vAlign w:val="center"/>
            <w:tcMar>
              <w:top w:w="35" w:type="dxa"/>
              <w:bottom w:w="35" w:type="dxa"/>
              <w:left w:w="55" w:type="dxa"/>
              <w:right w:w="55" w:type="dxa"/>
            </w:tcMar>
          </w:tcPr>
          <w:p>
            <w:pPr>
              <w:spacing w:before="0" w:after="0"/>
            </w:pPr>
            <w:r>
              <w:rPr>
                <w:sz w:val="15"/>
              </w:rPr>
              <w:t>4</w:t>
            </w:r>
          </w:p>
        </w:tc>
        <w:tc>
          <w:tcPr>
            <w:tcW w:type="dxa" w:w="2232"/>
            <w:vAlign w:val="center"/>
            <w:tcMar>
              <w:top w:w="35" w:type="dxa"/>
              <w:bottom w:w="35" w:type="dxa"/>
              <w:left w:w="55" w:type="dxa"/>
              <w:right w:w="55" w:type="dxa"/>
            </w:tcMar>
          </w:tcPr>
          <w:p>
            <w:pPr>
              <w:spacing w:before="0" w:after="0"/>
            </w:pPr>
            <w:r>
              <w:rPr>
                <w:sz w:val="15"/>
              </w:rPr>
              <w:t>Education level</w:t>
            </w:r>
          </w:p>
        </w:tc>
        <w:tc>
          <w:tcPr>
            <w:tcW w:type="dxa" w:w="3744"/>
            <w:vAlign w:val="center"/>
            <w:tcMar>
              <w:top w:w="35" w:type="dxa"/>
              <w:bottom w:w="35" w:type="dxa"/>
              <w:left w:w="55" w:type="dxa"/>
              <w:right w:w="55" w:type="dxa"/>
            </w:tcMar>
          </w:tcPr>
          <w:p>
            <w:pPr>
              <w:spacing w:before="0" w:after="0"/>
            </w:pPr>
            <w:r>
              <w:rPr>
                <w:sz w:val="15"/>
              </w:rPr>
              <w:t>Highest educational level</w:t>
            </w:r>
          </w:p>
        </w:tc>
        <w:tc>
          <w:tcPr>
            <w:tcW w:type="dxa" w:w="8496"/>
            <w:vAlign w:val="center"/>
            <w:tcMar>
              <w:top w:w="35" w:type="dxa"/>
              <w:bottom w:w="35" w:type="dxa"/>
              <w:left w:w="55" w:type="dxa"/>
              <w:right w:w="55" w:type="dxa"/>
            </w:tcMar>
          </w:tcPr>
          <w:p>
            <w:pPr>
              <w:spacing w:before="0" w:after="0"/>
            </w:pPr>
            <w:r>
              <w:rPr>
                <w:sz w:val="15"/>
              </w:rPr>
              <w:t>Bachelor’s degree; Master’s degree; Doctoral degree</w:t>
            </w:r>
          </w:p>
        </w:tc>
      </w:tr>
      <w:tr>
        <w:trPr>
          <w:cantSplit/>
        </w:trPr>
        <w:tc>
          <w:tcPr>
            <w:tcW w:type="dxa" w:w="648"/>
            <w:vAlign w:val="center"/>
            <w:tcMar>
              <w:top w:w="35" w:type="dxa"/>
              <w:bottom w:w="35" w:type="dxa"/>
              <w:left w:w="55" w:type="dxa"/>
              <w:right w:w="55" w:type="dxa"/>
            </w:tcMar>
          </w:tcPr>
          <w:p>
            <w:pPr>
              <w:spacing w:before="0" w:after="0"/>
            </w:pPr>
            <w:r>
              <w:rPr>
                <w:sz w:val="15"/>
              </w:rPr>
              <w:t>5</w:t>
            </w:r>
          </w:p>
        </w:tc>
        <w:tc>
          <w:tcPr>
            <w:tcW w:type="dxa" w:w="2232"/>
            <w:vAlign w:val="center"/>
            <w:tcMar>
              <w:top w:w="35" w:type="dxa"/>
              <w:bottom w:w="35" w:type="dxa"/>
              <w:left w:w="55" w:type="dxa"/>
              <w:right w:w="55" w:type="dxa"/>
            </w:tcMar>
          </w:tcPr>
          <w:p>
            <w:pPr>
              <w:spacing w:before="0" w:after="0"/>
            </w:pPr>
            <w:r>
              <w:rPr>
                <w:sz w:val="15"/>
              </w:rPr>
              <w:t>Employment status</w:t>
            </w:r>
          </w:p>
        </w:tc>
        <w:tc>
          <w:tcPr>
            <w:tcW w:type="dxa" w:w="3744"/>
            <w:vAlign w:val="center"/>
            <w:tcMar>
              <w:top w:w="35" w:type="dxa"/>
              <w:bottom w:w="35" w:type="dxa"/>
              <w:left w:w="55" w:type="dxa"/>
              <w:right w:w="55" w:type="dxa"/>
            </w:tcMar>
          </w:tcPr>
          <w:p>
            <w:pPr>
              <w:spacing w:before="0" w:after="0"/>
            </w:pPr>
            <w:r>
              <w:rPr>
                <w:sz w:val="15"/>
              </w:rPr>
              <w:t>Employment status</w:t>
            </w:r>
          </w:p>
        </w:tc>
        <w:tc>
          <w:tcPr>
            <w:tcW w:type="dxa" w:w="8496"/>
            <w:vAlign w:val="center"/>
            <w:tcMar>
              <w:top w:w="35" w:type="dxa"/>
              <w:bottom w:w="35" w:type="dxa"/>
              <w:left w:w="55" w:type="dxa"/>
              <w:right w:w="55" w:type="dxa"/>
            </w:tcMar>
          </w:tcPr>
          <w:p>
            <w:pPr>
              <w:spacing w:before="0" w:after="0"/>
            </w:pPr>
            <w:r>
              <w:rPr>
                <w:sz w:val="15"/>
              </w:rPr>
              <w:t>Project-based; Contractual/temporary/company-employed; Permanent/official</w:t>
            </w:r>
          </w:p>
        </w:tc>
      </w:tr>
      <w:tr>
        <w:trPr>
          <w:cantSplit/>
        </w:trPr>
        <w:tc>
          <w:tcPr>
            <w:tcW w:type="dxa" w:w="648"/>
            <w:vAlign w:val="center"/>
            <w:tcMar>
              <w:top w:w="35" w:type="dxa"/>
              <w:bottom w:w="35" w:type="dxa"/>
              <w:left w:w="55" w:type="dxa"/>
              <w:right w:w="55" w:type="dxa"/>
            </w:tcMar>
          </w:tcPr>
          <w:p>
            <w:pPr>
              <w:spacing w:before="0" w:after="0"/>
            </w:pPr>
            <w:r>
              <w:rPr>
                <w:sz w:val="15"/>
              </w:rPr>
              <w:t>6</w:t>
            </w:r>
          </w:p>
        </w:tc>
        <w:tc>
          <w:tcPr>
            <w:tcW w:type="dxa" w:w="2232"/>
            <w:vAlign w:val="center"/>
            <w:tcMar>
              <w:top w:w="35" w:type="dxa"/>
              <w:bottom w:w="35" w:type="dxa"/>
              <w:left w:w="55" w:type="dxa"/>
              <w:right w:w="55" w:type="dxa"/>
            </w:tcMar>
          </w:tcPr>
          <w:p>
            <w:pPr>
              <w:spacing w:before="0" w:after="0"/>
            </w:pPr>
            <w:r>
              <w:rPr>
                <w:sz w:val="15"/>
              </w:rPr>
              <w:t>Work experience</w:t>
            </w:r>
          </w:p>
        </w:tc>
        <w:tc>
          <w:tcPr>
            <w:tcW w:type="dxa" w:w="3744"/>
            <w:vAlign w:val="center"/>
            <w:tcMar>
              <w:top w:w="35" w:type="dxa"/>
              <w:bottom w:w="35" w:type="dxa"/>
              <w:left w:w="55" w:type="dxa"/>
              <w:right w:w="55" w:type="dxa"/>
            </w:tcMar>
          </w:tcPr>
          <w:p>
            <w:pPr>
              <w:spacing w:before="0" w:after="0"/>
            </w:pPr>
            <w:r>
              <w:rPr>
                <w:sz w:val="15"/>
              </w:rPr>
              <w:t>Clinical work experience</w:t>
            </w:r>
          </w:p>
        </w:tc>
        <w:tc>
          <w:tcPr>
            <w:tcW w:type="dxa" w:w="8496"/>
            <w:vAlign w:val="center"/>
            <w:tcMar>
              <w:top w:w="35" w:type="dxa"/>
              <w:bottom w:w="35" w:type="dxa"/>
              <w:left w:w="55" w:type="dxa"/>
              <w:right w:w="55" w:type="dxa"/>
            </w:tcMar>
          </w:tcPr>
          <w:p>
            <w:pPr>
              <w:spacing w:before="0" w:after="0"/>
            </w:pPr>
            <w:r>
              <w:rPr>
                <w:sz w:val="15"/>
              </w:rPr>
              <w:t>&lt;60 months; 60–119 months; 120–179 months; 180–239 months; 240–312 months; &gt;312 months</w:t>
            </w:r>
          </w:p>
        </w:tc>
      </w:tr>
      <w:tr>
        <w:trPr>
          <w:cantSplit/>
        </w:trPr>
        <w:tc>
          <w:tcPr>
            <w:tcW w:type="dxa" w:w="648"/>
            <w:vAlign w:val="center"/>
            <w:tcMar>
              <w:top w:w="35" w:type="dxa"/>
              <w:bottom w:w="35" w:type="dxa"/>
              <w:left w:w="55" w:type="dxa"/>
              <w:right w:w="55" w:type="dxa"/>
            </w:tcMar>
          </w:tcPr>
          <w:p>
            <w:pPr>
              <w:spacing w:before="0" w:after="0"/>
            </w:pPr>
            <w:r>
              <w:rPr>
                <w:sz w:val="15"/>
              </w:rPr>
              <w:t>7</w:t>
            </w:r>
          </w:p>
        </w:tc>
        <w:tc>
          <w:tcPr>
            <w:tcW w:type="dxa" w:w="2232"/>
            <w:vAlign w:val="center"/>
            <w:tcMar>
              <w:top w:w="35" w:type="dxa"/>
              <w:bottom w:w="35" w:type="dxa"/>
              <w:left w:w="55" w:type="dxa"/>
              <w:right w:w="55" w:type="dxa"/>
            </w:tcMar>
          </w:tcPr>
          <w:p>
            <w:pPr>
              <w:spacing w:before="0" w:after="0"/>
            </w:pPr>
            <w:r>
              <w:rPr>
                <w:sz w:val="15"/>
              </w:rPr>
              <w:t>Hospital</w:t>
            </w:r>
          </w:p>
        </w:tc>
        <w:tc>
          <w:tcPr>
            <w:tcW w:type="dxa" w:w="3744"/>
            <w:vAlign w:val="center"/>
            <w:tcMar>
              <w:top w:w="35" w:type="dxa"/>
              <w:bottom w:w="35" w:type="dxa"/>
              <w:left w:w="55" w:type="dxa"/>
              <w:right w:w="55" w:type="dxa"/>
            </w:tcMar>
          </w:tcPr>
          <w:p>
            <w:pPr>
              <w:spacing w:before="0" w:after="0"/>
            </w:pPr>
            <w:r>
              <w:rPr>
                <w:sz w:val="15"/>
              </w:rPr>
              <w:t>Hospital</w:t>
            </w:r>
          </w:p>
        </w:tc>
        <w:tc>
          <w:tcPr>
            <w:tcW w:type="dxa" w:w="8496"/>
            <w:vAlign w:val="center"/>
            <w:tcMar>
              <w:top w:w="35" w:type="dxa"/>
              <w:bottom w:w="35" w:type="dxa"/>
              <w:left w:w="55" w:type="dxa"/>
              <w:right w:w="55" w:type="dxa"/>
            </w:tcMar>
          </w:tcPr>
          <w:p>
            <w:pPr>
              <w:spacing w:before="0" w:after="0"/>
            </w:pPr>
            <w:r>
              <w:rPr>
                <w:sz w:val="15"/>
              </w:rPr>
              <w:t>Alzahra; Feyz; Noor; Chamran</w:t>
            </w:r>
          </w:p>
        </w:tc>
      </w:tr>
      <w:tr>
        <w:trPr>
          <w:cantSplit/>
        </w:trPr>
        <w:tc>
          <w:tcPr>
            <w:tcW w:type="dxa" w:w="648"/>
            <w:vAlign w:val="center"/>
            <w:tcMar>
              <w:top w:w="35" w:type="dxa"/>
              <w:bottom w:w="35" w:type="dxa"/>
              <w:left w:w="55" w:type="dxa"/>
              <w:right w:w="55" w:type="dxa"/>
            </w:tcMar>
          </w:tcPr>
          <w:p>
            <w:pPr>
              <w:spacing w:before="0" w:after="0"/>
            </w:pPr>
            <w:r>
              <w:rPr>
                <w:sz w:val="15"/>
              </w:rPr>
              <w:t>8</w:t>
            </w:r>
          </w:p>
        </w:tc>
        <w:tc>
          <w:tcPr>
            <w:tcW w:type="dxa" w:w="2232"/>
            <w:vAlign w:val="center"/>
            <w:tcMar>
              <w:top w:w="35" w:type="dxa"/>
              <w:bottom w:w="35" w:type="dxa"/>
              <w:left w:w="55" w:type="dxa"/>
              <w:right w:w="55" w:type="dxa"/>
            </w:tcMar>
          </w:tcPr>
          <w:p>
            <w:pPr>
              <w:spacing w:before="0" w:after="0"/>
            </w:pPr>
            <w:r>
              <w:rPr>
                <w:sz w:val="15"/>
              </w:rPr>
              <w:t>Income category</w:t>
            </w:r>
          </w:p>
        </w:tc>
        <w:tc>
          <w:tcPr>
            <w:tcW w:type="dxa" w:w="3744"/>
            <w:vAlign w:val="center"/>
            <w:tcMar>
              <w:top w:w="35" w:type="dxa"/>
              <w:bottom w:w="35" w:type="dxa"/>
              <w:left w:w="55" w:type="dxa"/>
              <w:right w:w="55" w:type="dxa"/>
            </w:tcMar>
          </w:tcPr>
          <w:p>
            <w:pPr>
              <w:spacing w:before="0" w:after="0"/>
            </w:pPr>
            <w:r>
              <w:rPr>
                <w:sz w:val="15"/>
              </w:rPr>
              <w:t>Monthly income category</w:t>
            </w:r>
          </w:p>
        </w:tc>
        <w:tc>
          <w:tcPr>
            <w:tcW w:type="dxa" w:w="8496"/>
            <w:vAlign w:val="center"/>
            <w:tcMar>
              <w:top w:w="35" w:type="dxa"/>
              <w:bottom w:w="35" w:type="dxa"/>
              <w:left w:w="55" w:type="dxa"/>
              <w:right w:w="55" w:type="dxa"/>
            </w:tcMar>
          </w:tcPr>
          <w:p>
            <w:pPr>
              <w:spacing w:before="0" w:after="0"/>
            </w:pPr>
            <w:r>
              <w:rPr>
                <w:sz w:val="15"/>
              </w:rPr>
              <w:t>&lt;10; 10–15; 15–20; &gt;20</w:t>
            </w:r>
          </w:p>
        </w:tc>
      </w:tr>
      <w:tr>
        <w:trPr>
          <w:cantSplit/>
        </w:trPr>
        <w:tc>
          <w:tcPr>
            <w:tcW w:type="dxa" w:w="648"/>
            <w:vAlign w:val="center"/>
            <w:tcMar>
              <w:top w:w="35" w:type="dxa"/>
              <w:bottom w:w="35" w:type="dxa"/>
              <w:left w:w="55" w:type="dxa"/>
              <w:right w:w="55" w:type="dxa"/>
            </w:tcMar>
          </w:tcPr>
          <w:p>
            <w:pPr>
              <w:spacing w:before="0" w:after="0"/>
            </w:pPr>
            <w:r>
              <w:rPr>
                <w:sz w:val="15"/>
              </w:rPr>
              <w:t>9</w:t>
            </w:r>
          </w:p>
        </w:tc>
        <w:tc>
          <w:tcPr>
            <w:tcW w:type="dxa" w:w="2232"/>
            <w:vAlign w:val="center"/>
            <w:tcMar>
              <w:top w:w="35" w:type="dxa"/>
              <w:bottom w:w="35" w:type="dxa"/>
              <w:left w:w="55" w:type="dxa"/>
              <w:right w:w="55" w:type="dxa"/>
            </w:tcMar>
          </w:tcPr>
          <w:p>
            <w:pPr>
              <w:spacing w:before="0" w:after="0"/>
            </w:pPr>
            <w:r>
              <w:rPr>
                <w:sz w:val="15"/>
              </w:rPr>
              <w:t>Clinical ward</w:t>
            </w:r>
          </w:p>
        </w:tc>
        <w:tc>
          <w:tcPr>
            <w:tcW w:type="dxa" w:w="3744"/>
            <w:vAlign w:val="center"/>
            <w:tcMar>
              <w:top w:w="35" w:type="dxa"/>
              <w:bottom w:w="35" w:type="dxa"/>
              <w:left w:w="55" w:type="dxa"/>
              <w:right w:w="55" w:type="dxa"/>
            </w:tcMar>
          </w:tcPr>
          <w:p>
            <w:pPr>
              <w:spacing w:before="0" w:after="0"/>
            </w:pPr>
            <w:r>
              <w:rPr>
                <w:sz w:val="15"/>
              </w:rPr>
              <w:t>Clinical ward</w:t>
            </w:r>
          </w:p>
        </w:tc>
        <w:tc>
          <w:tcPr>
            <w:tcW w:type="dxa" w:w="8496"/>
            <w:vAlign w:val="center"/>
            <w:tcMar>
              <w:top w:w="35" w:type="dxa"/>
              <w:bottom w:w="35" w:type="dxa"/>
              <w:left w:w="55" w:type="dxa"/>
              <w:right w:w="55" w:type="dxa"/>
            </w:tcMar>
          </w:tcPr>
          <w:p>
            <w:pPr>
              <w:spacing w:before="0" w:after="0"/>
            </w:pPr>
            <w:r>
              <w:rPr>
                <w:sz w:val="15"/>
              </w:rPr>
              <w:t>Internal medicine; Surgery; Critical care units</w:t>
            </w:r>
          </w:p>
        </w:tc>
      </w:tr>
      <w:tr>
        <w:trPr>
          <w:cantSplit/>
        </w:trPr>
        <w:tc>
          <w:tcPr>
            <w:tcW w:type="dxa" w:w="648"/>
            <w:vAlign w:val="center"/>
            <w:tcMar>
              <w:top w:w="35" w:type="dxa"/>
              <w:bottom w:w="35" w:type="dxa"/>
              <w:left w:w="55" w:type="dxa"/>
              <w:right w:w="55" w:type="dxa"/>
            </w:tcMar>
          </w:tcPr>
          <w:p>
            <w:pPr>
              <w:spacing w:before="0" w:after="0"/>
            </w:pPr>
            <w:r>
              <w:rPr>
                <w:sz w:val="15"/>
              </w:rPr>
              <w:t>10</w:t>
            </w:r>
          </w:p>
        </w:tc>
        <w:tc>
          <w:tcPr>
            <w:tcW w:type="dxa" w:w="2232"/>
            <w:vAlign w:val="center"/>
            <w:tcMar>
              <w:top w:w="35" w:type="dxa"/>
              <w:bottom w:w="35" w:type="dxa"/>
              <w:left w:w="55" w:type="dxa"/>
              <w:right w:w="55" w:type="dxa"/>
            </w:tcMar>
          </w:tcPr>
          <w:p>
            <w:pPr>
              <w:spacing w:before="0" w:after="0"/>
            </w:pPr>
            <w:r>
              <w:rPr>
                <w:sz w:val="15"/>
              </w:rPr>
              <w:t>Housing status</w:t>
            </w:r>
          </w:p>
        </w:tc>
        <w:tc>
          <w:tcPr>
            <w:tcW w:type="dxa" w:w="3744"/>
            <w:vAlign w:val="center"/>
            <w:tcMar>
              <w:top w:w="35" w:type="dxa"/>
              <w:bottom w:w="35" w:type="dxa"/>
              <w:left w:w="55" w:type="dxa"/>
              <w:right w:w="55" w:type="dxa"/>
            </w:tcMar>
          </w:tcPr>
          <w:p>
            <w:pPr>
              <w:spacing w:before="0" w:after="0"/>
            </w:pPr>
            <w:r>
              <w:rPr>
                <w:sz w:val="15"/>
              </w:rPr>
              <w:t>Housing status</w:t>
            </w:r>
          </w:p>
        </w:tc>
        <w:tc>
          <w:tcPr>
            <w:tcW w:type="dxa" w:w="8496"/>
            <w:vAlign w:val="center"/>
            <w:tcMar>
              <w:top w:w="35" w:type="dxa"/>
              <w:bottom w:w="35" w:type="dxa"/>
              <w:left w:w="55" w:type="dxa"/>
              <w:right w:w="55" w:type="dxa"/>
            </w:tcMar>
          </w:tcPr>
          <w:p>
            <w:pPr>
              <w:spacing w:before="0" w:after="0"/>
            </w:pPr>
            <w:r>
              <w:rPr>
                <w:sz w:val="15"/>
              </w:rPr>
              <w:t>Rental; Owned</w:t>
            </w:r>
          </w:p>
        </w:tc>
      </w:tr>
      <w:tr>
        <w:trPr>
          <w:cantSplit/>
        </w:trPr>
        <w:tc>
          <w:tcPr>
            <w:tcW w:type="dxa" w:w="648"/>
            <w:vAlign w:val="center"/>
            <w:tcMar>
              <w:top w:w="35" w:type="dxa"/>
              <w:bottom w:w="35" w:type="dxa"/>
              <w:left w:w="55" w:type="dxa"/>
              <w:right w:w="55" w:type="dxa"/>
            </w:tcMar>
          </w:tcPr>
          <w:p>
            <w:pPr>
              <w:spacing w:before="0" w:after="0"/>
            </w:pPr>
            <w:r>
              <w:rPr>
                <w:sz w:val="15"/>
              </w:rPr>
              <w:t>11</w:t>
            </w:r>
          </w:p>
        </w:tc>
        <w:tc>
          <w:tcPr>
            <w:tcW w:type="dxa" w:w="2232"/>
            <w:vAlign w:val="center"/>
            <w:tcMar>
              <w:top w:w="35" w:type="dxa"/>
              <w:bottom w:w="35" w:type="dxa"/>
              <w:left w:w="55" w:type="dxa"/>
              <w:right w:w="55" w:type="dxa"/>
            </w:tcMar>
          </w:tcPr>
          <w:p>
            <w:pPr>
              <w:spacing w:before="0" w:after="0"/>
            </w:pPr>
            <w:r>
              <w:rPr>
                <w:sz w:val="15"/>
              </w:rPr>
              <w:t>Additional employment</w:t>
            </w:r>
          </w:p>
        </w:tc>
        <w:tc>
          <w:tcPr>
            <w:tcW w:type="dxa" w:w="3744"/>
            <w:vAlign w:val="center"/>
            <w:tcMar>
              <w:top w:w="35" w:type="dxa"/>
              <w:bottom w:w="35" w:type="dxa"/>
              <w:left w:w="55" w:type="dxa"/>
              <w:right w:w="55" w:type="dxa"/>
            </w:tcMar>
          </w:tcPr>
          <w:p>
            <w:pPr>
              <w:spacing w:before="0" w:after="0"/>
            </w:pPr>
            <w:r>
              <w:rPr>
                <w:sz w:val="15"/>
              </w:rPr>
              <w:t>Employment outside the study-site workplace</w:t>
            </w:r>
          </w:p>
        </w:tc>
        <w:tc>
          <w:tcPr>
            <w:tcW w:type="dxa" w:w="8496"/>
            <w:vAlign w:val="center"/>
            <w:tcMar>
              <w:top w:w="35" w:type="dxa"/>
              <w:bottom w:w="35" w:type="dxa"/>
              <w:left w:w="55" w:type="dxa"/>
              <w:right w:w="55" w:type="dxa"/>
            </w:tcMar>
          </w:tcPr>
          <w:p>
            <w:pPr>
              <w:spacing w:before="0" w:after="0"/>
            </w:pPr>
            <w:r>
              <w:rPr>
                <w:sz w:val="15"/>
              </w:rPr>
              <w:t>Study-site workplace only; Additional workplace</w:t>
            </w:r>
          </w:p>
        </w:tc>
      </w:tr>
      <w:tr>
        <w:trPr>
          <w:cantSplit/>
        </w:trPr>
        <w:tc>
          <w:tcPr>
            <w:tcW w:type="dxa" w:w="648"/>
            <w:vAlign w:val="center"/>
            <w:tcMar>
              <w:top w:w="35" w:type="dxa"/>
              <w:bottom w:w="35" w:type="dxa"/>
              <w:left w:w="55" w:type="dxa"/>
              <w:right w:w="55" w:type="dxa"/>
            </w:tcMar>
          </w:tcPr>
          <w:p>
            <w:pPr>
              <w:spacing w:before="0" w:after="0"/>
            </w:pPr>
            <w:r>
              <w:rPr>
                <w:sz w:val="15"/>
              </w:rPr>
              <w:t>12</w:t>
            </w:r>
          </w:p>
        </w:tc>
        <w:tc>
          <w:tcPr>
            <w:tcW w:type="dxa" w:w="2232"/>
            <w:vAlign w:val="center"/>
            <w:tcMar>
              <w:top w:w="35" w:type="dxa"/>
              <w:bottom w:w="35" w:type="dxa"/>
              <w:left w:w="55" w:type="dxa"/>
              <w:right w:w="55" w:type="dxa"/>
            </w:tcMar>
          </w:tcPr>
          <w:p>
            <w:pPr>
              <w:spacing w:before="0" w:after="0"/>
            </w:pPr>
            <w:r>
              <w:rPr>
                <w:sz w:val="15"/>
              </w:rPr>
              <w:t>Physical activity</w:t>
            </w:r>
          </w:p>
        </w:tc>
        <w:tc>
          <w:tcPr>
            <w:tcW w:type="dxa" w:w="3744"/>
            <w:vAlign w:val="center"/>
            <w:tcMar>
              <w:top w:w="35" w:type="dxa"/>
              <w:bottom w:w="35" w:type="dxa"/>
              <w:left w:w="55" w:type="dxa"/>
              <w:right w:w="55" w:type="dxa"/>
            </w:tcMar>
          </w:tcPr>
          <w:p>
            <w:pPr>
              <w:spacing w:before="0" w:after="0"/>
            </w:pPr>
            <w:r>
              <w:rPr>
                <w:sz w:val="15"/>
              </w:rPr>
              <w:t>Regular physical activity</w:t>
            </w:r>
          </w:p>
        </w:tc>
        <w:tc>
          <w:tcPr>
            <w:tcW w:type="dxa" w:w="8496"/>
            <w:vAlign w:val="center"/>
            <w:tcMar>
              <w:top w:w="35" w:type="dxa"/>
              <w:bottom w:w="35" w:type="dxa"/>
              <w:left w:w="55" w:type="dxa"/>
              <w:right w:w="55" w:type="dxa"/>
            </w:tcMar>
          </w:tcPr>
          <w:p>
            <w:pPr>
              <w:spacing w:before="0" w:after="0"/>
            </w:pPr>
            <w:r>
              <w:rPr>
                <w:sz w:val="15"/>
              </w:rPr>
              <w:t>Yes; No</w:t>
            </w:r>
          </w:p>
        </w:tc>
      </w:tr>
      <w:tr>
        <w:trPr>
          <w:cantSplit/>
        </w:trPr>
        <w:tc>
          <w:tcPr>
            <w:tcW w:type="dxa" w:w="648"/>
            <w:vAlign w:val="center"/>
            <w:tcMar>
              <w:top w:w="35" w:type="dxa"/>
              <w:bottom w:w="35" w:type="dxa"/>
              <w:left w:w="55" w:type="dxa"/>
              <w:right w:w="55" w:type="dxa"/>
            </w:tcMar>
          </w:tcPr>
          <w:p>
            <w:pPr>
              <w:spacing w:before="0" w:after="0"/>
            </w:pPr>
            <w:r>
              <w:rPr>
                <w:sz w:val="15"/>
              </w:rPr>
              <w:t>13</w:t>
            </w:r>
          </w:p>
        </w:tc>
        <w:tc>
          <w:tcPr>
            <w:tcW w:type="dxa" w:w="2232"/>
            <w:vAlign w:val="center"/>
            <w:tcMar>
              <w:top w:w="35" w:type="dxa"/>
              <w:bottom w:w="35" w:type="dxa"/>
              <w:left w:w="55" w:type="dxa"/>
              <w:right w:w="55" w:type="dxa"/>
            </w:tcMar>
          </w:tcPr>
          <w:p>
            <w:pPr>
              <w:spacing w:before="0" w:after="0"/>
            </w:pPr>
            <w:r>
              <w:rPr>
                <w:sz w:val="15"/>
              </w:rPr>
              <w:t>Recreation time</w:t>
            </w:r>
          </w:p>
        </w:tc>
        <w:tc>
          <w:tcPr>
            <w:tcW w:type="dxa" w:w="3744"/>
            <w:vAlign w:val="center"/>
            <w:tcMar>
              <w:top w:w="35" w:type="dxa"/>
              <w:bottom w:w="35" w:type="dxa"/>
              <w:left w:w="55" w:type="dxa"/>
              <w:right w:w="55" w:type="dxa"/>
            </w:tcMar>
          </w:tcPr>
          <w:p>
            <w:pPr>
              <w:spacing w:before="0" w:after="0"/>
            </w:pPr>
            <w:r>
              <w:rPr>
                <w:sz w:val="15"/>
              </w:rPr>
              <w:t>Recreation time per week</w:t>
            </w:r>
          </w:p>
        </w:tc>
        <w:tc>
          <w:tcPr>
            <w:tcW w:type="dxa" w:w="8496"/>
            <w:vAlign w:val="center"/>
            <w:tcMar>
              <w:top w:w="35" w:type="dxa"/>
              <w:bottom w:w="35" w:type="dxa"/>
              <w:left w:w="55" w:type="dxa"/>
              <w:right w:w="55" w:type="dxa"/>
            </w:tcMar>
          </w:tcPr>
          <w:p>
            <w:pPr>
              <w:spacing w:before="0" w:after="0"/>
            </w:pPr>
            <w:r>
              <w:rPr>
                <w:sz w:val="15"/>
              </w:rPr>
              <w:t>&lt;1 hour; 2–4 hours; &gt;4 hours</w:t>
            </w:r>
          </w:p>
        </w:tc>
      </w:tr>
      <w:tr>
        <w:trPr>
          <w:cantSplit/>
        </w:trPr>
        <w:tc>
          <w:tcPr>
            <w:tcW w:type="dxa" w:w="648"/>
            <w:vAlign w:val="center"/>
            <w:tcMar>
              <w:top w:w="35" w:type="dxa"/>
              <w:bottom w:w="35" w:type="dxa"/>
              <w:left w:w="55" w:type="dxa"/>
              <w:right w:w="55" w:type="dxa"/>
            </w:tcMar>
          </w:tcPr>
          <w:p>
            <w:pPr>
              <w:spacing w:before="0" w:after="0"/>
            </w:pPr>
            <w:r>
              <w:rPr>
                <w:sz w:val="15"/>
              </w:rPr>
              <w:t>14</w:t>
            </w:r>
          </w:p>
        </w:tc>
        <w:tc>
          <w:tcPr>
            <w:tcW w:type="dxa" w:w="2232"/>
            <w:vAlign w:val="center"/>
            <w:tcMar>
              <w:top w:w="35" w:type="dxa"/>
              <w:bottom w:w="35" w:type="dxa"/>
              <w:left w:w="55" w:type="dxa"/>
              <w:right w:w="55" w:type="dxa"/>
            </w:tcMar>
          </w:tcPr>
          <w:p>
            <w:pPr>
              <w:spacing w:before="0" w:after="0"/>
            </w:pPr>
            <w:r>
              <w:rPr>
                <w:sz w:val="15"/>
              </w:rPr>
              <w:t>Night shifts</w:t>
            </w:r>
          </w:p>
        </w:tc>
        <w:tc>
          <w:tcPr>
            <w:tcW w:type="dxa" w:w="3744"/>
            <w:vAlign w:val="center"/>
            <w:tcMar>
              <w:top w:w="35" w:type="dxa"/>
              <w:bottom w:w="35" w:type="dxa"/>
              <w:left w:w="55" w:type="dxa"/>
              <w:right w:w="55" w:type="dxa"/>
            </w:tcMar>
          </w:tcPr>
          <w:p>
            <w:pPr>
              <w:spacing w:before="0" w:after="0"/>
            </w:pPr>
            <w:r>
              <w:rPr>
                <w:sz w:val="15"/>
              </w:rPr>
              <w:t>Number of night shifts per month</w:t>
            </w:r>
          </w:p>
        </w:tc>
        <w:tc>
          <w:tcPr>
            <w:tcW w:type="dxa" w:w="8496"/>
            <w:vAlign w:val="center"/>
            <w:tcMar>
              <w:top w:w="35" w:type="dxa"/>
              <w:bottom w:w="35" w:type="dxa"/>
              <w:left w:w="55" w:type="dxa"/>
              <w:right w:w="55" w:type="dxa"/>
            </w:tcMar>
          </w:tcPr>
          <w:p>
            <w:pPr>
              <w:spacing w:before="0" w:after="0"/>
            </w:pPr>
            <w:r>
              <w:rPr>
                <w:sz w:val="15"/>
              </w:rPr>
              <w:t>0–4; 4–8; &gt;8</w:t>
            </w:r>
          </w:p>
        </w:tc>
      </w:tr>
      <w:tr>
        <w:trPr>
          <w:cantSplit/>
        </w:trPr>
        <w:tc>
          <w:tcPr>
            <w:tcW w:type="dxa" w:w="648"/>
            <w:vAlign w:val="center"/>
            <w:tcMar>
              <w:top w:w="35" w:type="dxa"/>
              <w:bottom w:w="35" w:type="dxa"/>
              <w:left w:w="55" w:type="dxa"/>
              <w:right w:w="55" w:type="dxa"/>
            </w:tcMar>
          </w:tcPr>
          <w:p>
            <w:pPr>
              <w:spacing w:before="0" w:after="0"/>
            </w:pPr>
            <w:r>
              <w:rPr>
                <w:sz w:val="15"/>
              </w:rPr>
              <w:t>15</w:t>
            </w:r>
          </w:p>
        </w:tc>
        <w:tc>
          <w:tcPr>
            <w:tcW w:type="dxa" w:w="2232"/>
            <w:vAlign w:val="center"/>
            <w:tcMar>
              <w:top w:w="35" w:type="dxa"/>
              <w:bottom w:w="35" w:type="dxa"/>
              <w:left w:w="55" w:type="dxa"/>
              <w:right w:w="55" w:type="dxa"/>
            </w:tcMar>
          </w:tcPr>
          <w:p>
            <w:pPr>
              <w:spacing w:before="0" w:after="0"/>
            </w:pPr>
            <w:r>
              <w:rPr>
                <w:sz w:val="15"/>
              </w:rPr>
              <w:t>Self-rated health</w:t>
            </w:r>
          </w:p>
        </w:tc>
        <w:tc>
          <w:tcPr>
            <w:tcW w:type="dxa" w:w="3744"/>
            <w:vAlign w:val="center"/>
            <w:tcMar>
              <w:top w:w="35" w:type="dxa"/>
              <w:bottom w:w="35" w:type="dxa"/>
              <w:left w:w="55" w:type="dxa"/>
              <w:right w:w="55" w:type="dxa"/>
            </w:tcMar>
          </w:tcPr>
          <w:p>
            <w:pPr>
              <w:spacing w:before="0" w:after="0"/>
            </w:pPr>
            <w:r>
              <w:rPr>
                <w:sz w:val="15"/>
              </w:rPr>
              <w:t>Self-rated health status</w:t>
            </w:r>
          </w:p>
        </w:tc>
        <w:tc>
          <w:tcPr>
            <w:tcW w:type="dxa" w:w="8496"/>
            <w:vAlign w:val="center"/>
            <w:tcMar>
              <w:top w:w="35" w:type="dxa"/>
              <w:bottom w:w="35" w:type="dxa"/>
              <w:left w:w="55" w:type="dxa"/>
              <w:right w:w="55" w:type="dxa"/>
            </w:tcMar>
          </w:tcPr>
          <w:p>
            <w:pPr>
              <w:spacing w:before="0" w:after="0"/>
            </w:pPr>
            <w:r>
              <w:rPr>
                <w:sz w:val="15"/>
              </w:rPr>
              <w:t>Excellent; Moderate; Poor</w:t>
            </w:r>
          </w:p>
        </w:tc>
      </w:tr>
      <w:tr>
        <w:trPr>
          <w:cantSplit/>
        </w:trPr>
        <w:tc>
          <w:tcPr>
            <w:tcW w:type="dxa" w:w="648"/>
            <w:vAlign w:val="center"/>
            <w:tcMar>
              <w:top w:w="35" w:type="dxa"/>
              <w:bottom w:w="35" w:type="dxa"/>
              <w:left w:w="55" w:type="dxa"/>
              <w:right w:w="55" w:type="dxa"/>
            </w:tcMar>
          </w:tcPr>
          <w:p>
            <w:pPr>
              <w:spacing w:before="0" w:after="0"/>
            </w:pPr>
            <w:r>
              <w:rPr>
                <w:sz w:val="15"/>
              </w:rPr>
              <w:t>16</w:t>
            </w:r>
          </w:p>
        </w:tc>
        <w:tc>
          <w:tcPr>
            <w:tcW w:type="dxa" w:w="2232"/>
            <w:vAlign w:val="center"/>
            <w:tcMar>
              <w:top w:w="35" w:type="dxa"/>
              <w:bottom w:w="35" w:type="dxa"/>
              <w:left w:w="55" w:type="dxa"/>
              <w:right w:w="55" w:type="dxa"/>
            </w:tcMar>
          </w:tcPr>
          <w:p>
            <w:pPr>
              <w:spacing w:before="0" w:after="0"/>
            </w:pPr>
            <w:r>
              <w:rPr>
                <w:sz w:val="15"/>
              </w:rPr>
              <w:t>Attitude toward nursing</w:t>
            </w:r>
          </w:p>
        </w:tc>
        <w:tc>
          <w:tcPr>
            <w:tcW w:type="dxa" w:w="3744"/>
            <w:vAlign w:val="center"/>
            <w:tcMar>
              <w:top w:w="35" w:type="dxa"/>
              <w:bottom w:w="35" w:type="dxa"/>
              <w:left w:w="55" w:type="dxa"/>
              <w:right w:w="55" w:type="dxa"/>
            </w:tcMar>
          </w:tcPr>
          <w:p>
            <w:pPr>
              <w:spacing w:before="0" w:after="0"/>
            </w:pPr>
            <w:r>
              <w:rPr>
                <w:sz w:val="15"/>
              </w:rPr>
              <w:t>Degree of liking the nursing job</w:t>
            </w:r>
          </w:p>
        </w:tc>
        <w:tc>
          <w:tcPr>
            <w:tcW w:type="dxa" w:w="8496"/>
            <w:vAlign w:val="center"/>
            <w:tcMar>
              <w:top w:w="35" w:type="dxa"/>
              <w:bottom w:w="35" w:type="dxa"/>
              <w:left w:w="55" w:type="dxa"/>
              <w:right w:w="55" w:type="dxa"/>
            </w:tcMar>
          </w:tcPr>
          <w:p>
            <w:pPr>
              <w:spacing w:before="0" w:after="0"/>
            </w:pPr>
            <w:r>
              <w:rPr>
                <w:sz w:val="15"/>
              </w:rPr>
              <w:t>High; Moderate; Low</w:t>
            </w:r>
          </w:p>
        </w:tc>
      </w:tr>
      <w:tr>
        <w:trPr>
          <w:cantSplit/>
        </w:trPr>
        <w:tc>
          <w:tcPr>
            <w:tcW w:type="dxa" w:w="648"/>
            <w:vAlign w:val="center"/>
            <w:tcMar>
              <w:top w:w="35" w:type="dxa"/>
              <w:bottom w:w="35" w:type="dxa"/>
              <w:left w:w="55" w:type="dxa"/>
              <w:right w:w="55" w:type="dxa"/>
            </w:tcMar>
          </w:tcPr>
          <w:p>
            <w:pPr>
              <w:spacing w:before="0" w:after="0"/>
            </w:pPr>
            <w:r>
              <w:rPr>
                <w:sz w:val="15"/>
              </w:rPr>
              <w:t>17</w:t>
            </w:r>
          </w:p>
        </w:tc>
        <w:tc>
          <w:tcPr>
            <w:tcW w:type="dxa" w:w="2232"/>
            <w:vAlign w:val="center"/>
            <w:tcMar>
              <w:top w:w="35" w:type="dxa"/>
              <w:bottom w:w="35" w:type="dxa"/>
              <w:left w:w="55" w:type="dxa"/>
              <w:right w:w="55" w:type="dxa"/>
            </w:tcMar>
          </w:tcPr>
          <w:p>
            <w:pPr>
              <w:spacing w:before="0" w:after="0"/>
            </w:pPr>
            <w:r>
              <w:rPr>
                <w:sz w:val="15"/>
              </w:rPr>
              <w:t>Attitude toward work environment</w:t>
            </w:r>
          </w:p>
        </w:tc>
        <w:tc>
          <w:tcPr>
            <w:tcW w:type="dxa" w:w="3744"/>
            <w:vAlign w:val="center"/>
            <w:tcMar>
              <w:top w:w="35" w:type="dxa"/>
              <w:bottom w:w="35" w:type="dxa"/>
              <w:left w:w="55" w:type="dxa"/>
              <w:right w:w="55" w:type="dxa"/>
            </w:tcMar>
          </w:tcPr>
          <w:p>
            <w:pPr>
              <w:spacing w:before="0" w:after="0"/>
            </w:pPr>
            <w:r>
              <w:rPr>
                <w:sz w:val="15"/>
              </w:rPr>
              <w:t>Degree of liking the work environment</w:t>
            </w:r>
          </w:p>
        </w:tc>
        <w:tc>
          <w:tcPr>
            <w:tcW w:type="dxa" w:w="8496"/>
            <w:vAlign w:val="center"/>
            <w:tcMar>
              <w:top w:w="35" w:type="dxa"/>
              <w:bottom w:w="35" w:type="dxa"/>
              <w:left w:w="55" w:type="dxa"/>
              <w:right w:w="55" w:type="dxa"/>
            </w:tcMar>
          </w:tcPr>
          <w:p>
            <w:pPr>
              <w:spacing w:before="0" w:after="0"/>
            </w:pPr>
            <w:r>
              <w:rPr>
                <w:sz w:val="15"/>
              </w:rPr>
              <w:t>High; Moderate; Low</w:t>
            </w:r>
          </w:p>
        </w:tc>
      </w:tr>
      <w:tr>
        <w:trPr>
          <w:cantSplit/>
        </w:trPr>
        <w:tc>
          <w:tcPr>
            <w:tcW w:type="dxa" w:w="648"/>
            <w:vAlign w:val="center"/>
            <w:tcMar>
              <w:top w:w="35" w:type="dxa"/>
              <w:bottom w:w="35" w:type="dxa"/>
              <w:left w:w="55" w:type="dxa"/>
              <w:right w:w="55" w:type="dxa"/>
            </w:tcMar>
          </w:tcPr>
          <w:p>
            <w:pPr>
              <w:spacing w:before="0" w:after="0"/>
            </w:pPr>
            <w:r>
              <w:rPr>
                <w:sz w:val="15"/>
              </w:rPr>
              <w:t>18</w:t>
            </w:r>
          </w:p>
        </w:tc>
        <w:tc>
          <w:tcPr>
            <w:tcW w:type="dxa" w:w="2232"/>
            <w:vAlign w:val="center"/>
            <w:tcMar>
              <w:top w:w="35" w:type="dxa"/>
              <w:bottom w:w="35" w:type="dxa"/>
              <w:left w:w="55" w:type="dxa"/>
              <w:right w:w="55" w:type="dxa"/>
            </w:tcMar>
          </w:tcPr>
          <w:p>
            <w:pPr>
              <w:spacing w:before="0" w:after="0"/>
            </w:pPr>
            <w:r>
              <w:rPr>
                <w:sz w:val="15"/>
              </w:rPr>
              <w:t>Interpersonal conflict</w:t>
            </w:r>
          </w:p>
        </w:tc>
        <w:tc>
          <w:tcPr>
            <w:tcW w:type="dxa" w:w="3744"/>
            <w:vAlign w:val="center"/>
            <w:tcMar>
              <w:top w:w="35" w:type="dxa"/>
              <w:bottom w:w="35" w:type="dxa"/>
              <w:left w:w="55" w:type="dxa"/>
              <w:right w:w="55" w:type="dxa"/>
            </w:tcMar>
          </w:tcPr>
          <w:p>
            <w:pPr>
              <w:spacing w:before="0" w:after="0"/>
            </w:pPr>
            <w:r>
              <w:rPr>
                <w:sz w:val="15"/>
              </w:rPr>
              <w:t>Level of conflict with others</w:t>
            </w:r>
          </w:p>
        </w:tc>
        <w:tc>
          <w:tcPr>
            <w:tcW w:type="dxa" w:w="8496"/>
            <w:vAlign w:val="center"/>
            <w:tcMar>
              <w:top w:w="35" w:type="dxa"/>
              <w:bottom w:w="35" w:type="dxa"/>
              <w:left w:w="55" w:type="dxa"/>
              <w:right w:w="55" w:type="dxa"/>
            </w:tcMar>
          </w:tcPr>
          <w:p>
            <w:pPr>
              <w:spacing w:before="0" w:after="0"/>
            </w:pPr>
            <w:r>
              <w:rPr>
                <w:sz w:val="15"/>
              </w:rPr>
              <w:t>High; Moderate; Low</w:t>
            </w:r>
          </w:p>
        </w:tc>
      </w:tr>
    </w:tbl>
    <w:p>
      <w:pPr>
        <w:spacing w:after="60" w:before="0"/>
      </w:pPr>
      <w:r>
        <w:rPr>
          <w:b/>
          <w:sz w:val="17"/>
        </w:rPr>
        <w:t xml:space="preserve">Important coding note. </w:t>
      </w:r>
      <w:r>
        <w:rPr>
          <w:sz w:val="17"/>
        </w:rPr>
        <w:t>The category labels above reproduce the coding retained in the source data file. In particular, the night-shift categories are reproduced exactly as 0–4, 4–8, and &gt;8 rather than being silently redefined.</w:t>
      </w:r>
    </w:p>
    <w:sectPr w:rsidR="00FC693F" w:rsidRPr="0006063C" w:rsidSect="00034616">
      <w:footerReference w:type="default" r:id="rId9"/>
      <w:pgSz w:w="15840" w:h="12240" w:orient="landscape"/>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