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FC8468" w14:textId="0E7C0857" w:rsidR="000C0B39" w:rsidRPr="0059374A" w:rsidRDefault="000C0B39" w:rsidP="000C0B39">
      <w:pPr>
        <w:rPr>
          <w:rStyle w:val="findhit"/>
          <w:rFonts w:ascii="Times New Roman" w:hAnsi="Times New Roman" w:cs="Times New Roman"/>
          <w:color w:val="000000"/>
          <w:shd w:val="clear" w:color="auto" w:fill="FFFFFF"/>
        </w:rPr>
      </w:pPr>
      <w:r w:rsidRPr="0059374A">
        <w:rPr>
          <w:rStyle w:val="findhit"/>
          <w:rFonts w:ascii="Times New Roman" w:hAnsi="Times New Roman" w:cs="Times New Roman"/>
          <w:b/>
          <w:bCs/>
          <w:color w:val="000000"/>
          <w:shd w:val="clear" w:color="auto" w:fill="FFFFFF"/>
        </w:rPr>
        <w:t>Table</w:t>
      </w:r>
      <w:r w:rsidR="00041EA0">
        <w:rPr>
          <w:rStyle w:val="findhit"/>
          <w:rFonts w:ascii="Times New Roman" w:hAnsi="Times New Roman" w:cs="Times New Roman"/>
          <w:b/>
          <w:bCs/>
          <w:color w:val="000000"/>
          <w:shd w:val="clear" w:color="auto" w:fill="FFFFFF"/>
        </w:rPr>
        <w:t xml:space="preserve"> 5</w:t>
      </w:r>
      <w:bookmarkStart w:id="0" w:name="_GoBack"/>
      <w:bookmarkEnd w:id="0"/>
      <w:r w:rsidRPr="0059374A">
        <w:rPr>
          <w:rStyle w:val="findhit"/>
          <w:rFonts w:ascii="Times New Roman" w:hAnsi="Times New Roman" w:cs="Times New Roman"/>
          <w:b/>
          <w:bCs/>
          <w:color w:val="000000"/>
          <w:shd w:val="clear" w:color="auto" w:fill="FFFFFF"/>
        </w:rPr>
        <w:t xml:space="preserve">: </w:t>
      </w:r>
      <w:r w:rsidR="4D375E4C" w:rsidRPr="0059374A">
        <w:rPr>
          <w:rStyle w:val="findhit"/>
          <w:rFonts w:ascii="Times New Roman" w:hAnsi="Times New Roman" w:cs="Times New Roman"/>
          <w:b/>
          <w:bCs/>
          <w:color w:val="000000"/>
          <w:shd w:val="clear" w:color="auto" w:fill="FFFFFF"/>
        </w:rPr>
        <w:t>Represent</w:t>
      </w:r>
      <w:r w:rsidRPr="0059374A">
        <w:rPr>
          <w:rStyle w:val="findhit"/>
          <w:rFonts w:ascii="Times New Roman" w:hAnsi="Times New Roman" w:cs="Times New Roman"/>
          <w:b/>
          <w:bCs/>
          <w:color w:val="000000"/>
          <w:shd w:val="clear" w:color="auto" w:fill="FFFFFF"/>
        </w:rPr>
        <w:t xml:space="preserve"> the reference for pathogen survival and dose response retrieved from the included RA articles in our review</w:t>
      </w:r>
      <w:r w:rsidRPr="0059374A">
        <w:rPr>
          <w:rStyle w:val="findhit"/>
          <w:rFonts w:ascii="Times New Roman" w:hAnsi="Times New Roman" w:cs="Times New Roman"/>
          <w:color w:val="000000"/>
          <w:shd w:val="clear" w:color="auto" w:fill="FFFFFF"/>
        </w:rPr>
        <w:t>.</w:t>
      </w:r>
    </w:p>
    <w:p w14:paraId="672A6659" w14:textId="77777777" w:rsidR="000C0B39" w:rsidRDefault="000C0B39">
      <w:pPr>
        <w:rPr>
          <w:rStyle w:val="findhit"/>
          <w:rFonts w:ascii="Calibri" w:hAnsi="Calibri" w:cs="Calibri"/>
          <w:color w:val="000000"/>
          <w:shd w:val="clear" w:color="auto" w:fill="FFFFFF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97"/>
        <w:gridCol w:w="4186"/>
        <w:gridCol w:w="3279"/>
      </w:tblGrid>
      <w:tr w:rsidR="00F03BDC" w:rsidRPr="00F03BDC" w14:paraId="0428D3CA" w14:textId="77777777" w:rsidTr="040048D1">
        <w:tc>
          <w:tcPr>
            <w:tcW w:w="0" w:type="auto"/>
            <w:shd w:val="clear" w:color="auto" w:fill="FF6699"/>
            <w:hideMark/>
          </w:tcPr>
          <w:p w14:paraId="5DD19EA6" w14:textId="77777777" w:rsidR="00F03BDC" w:rsidRPr="00F03BDC" w:rsidRDefault="00F03BDC" w:rsidP="00F03BD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03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Pathogen</w:t>
            </w:r>
          </w:p>
        </w:tc>
        <w:tc>
          <w:tcPr>
            <w:tcW w:w="0" w:type="auto"/>
            <w:shd w:val="clear" w:color="auto" w:fill="FF6699"/>
            <w:hideMark/>
          </w:tcPr>
          <w:p w14:paraId="73F6E365" w14:textId="77777777" w:rsidR="00F03BDC" w:rsidRPr="00F03BDC" w:rsidRDefault="00F03BDC" w:rsidP="00F03BD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03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Reference for pathogen survival / persistence</w:t>
            </w:r>
          </w:p>
        </w:tc>
        <w:tc>
          <w:tcPr>
            <w:tcW w:w="0" w:type="auto"/>
            <w:shd w:val="clear" w:color="auto" w:fill="FF6699"/>
            <w:hideMark/>
          </w:tcPr>
          <w:p w14:paraId="39607F1D" w14:textId="77777777" w:rsidR="00F03BDC" w:rsidRPr="00F03BDC" w:rsidRDefault="00F03BDC" w:rsidP="00F03BD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03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Reference for dose–response / infectious dose</w:t>
            </w:r>
          </w:p>
        </w:tc>
      </w:tr>
      <w:tr w:rsidR="00F03BDC" w:rsidRPr="00F03BDC" w14:paraId="7FC6B48C" w14:textId="77777777" w:rsidTr="040048D1">
        <w:tc>
          <w:tcPr>
            <w:tcW w:w="0" w:type="auto"/>
            <w:hideMark/>
          </w:tcPr>
          <w:p w14:paraId="76E08E4D" w14:textId="77777777" w:rsidR="00F03BDC" w:rsidRPr="00F03BDC" w:rsidRDefault="00F03BDC" w:rsidP="00F03B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3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African swine fever virus (ASFV)</w:t>
            </w:r>
          </w:p>
        </w:tc>
        <w:tc>
          <w:tcPr>
            <w:tcW w:w="0" w:type="auto"/>
            <w:hideMark/>
          </w:tcPr>
          <w:p w14:paraId="38641F2A" w14:textId="77777777" w:rsidR="00F03BDC" w:rsidRPr="00F03BDC" w:rsidRDefault="00F03BDC" w:rsidP="00F03B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3BDC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Liu et al. (2020); Gabriel et al. (2011); Gulenkin et al. (2011); Gallardo et al. </w:t>
            </w:r>
            <w:r w:rsidRPr="00F03B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(2015); Guinat et al. (2016); Probst et al. (2017); Spickler &amp; Roth (2006); Murray et al. (1998); Adkin et al. (2004); Mebus et al. (1993); Kovalenko (1964); McKercher et al. (1978); McKercher et al. (1987); Blackwell (1984); Kleiboeker (2002); Hartnett et al. </w:t>
            </w:r>
            <w:r w:rsidRPr="00F03BDC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(2014); Davies et al. (2017); Beltrán-Alcrudo et al. (2017); Carlson et al. (2020); Fischer et al. (2020); Mazur-Panasiuk et al. (2019); EFSA (2010a); De Kock et al. </w:t>
            </w:r>
            <w:r w:rsidRPr="00F03BDC">
              <w:rPr>
                <w:rFonts w:ascii="Times New Roman" w:eastAsia="Times New Roman" w:hAnsi="Times New Roman" w:cs="Times New Roman"/>
                <w:sz w:val="24"/>
                <w:szCs w:val="24"/>
              </w:rPr>
              <w:t>(1940); Montgomery (1921)</w:t>
            </w:r>
          </w:p>
        </w:tc>
        <w:tc>
          <w:tcPr>
            <w:tcW w:w="0" w:type="auto"/>
            <w:hideMark/>
          </w:tcPr>
          <w:p w14:paraId="7CBA5155" w14:textId="77777777" w:rsidR="00F03BDC" w:rsidRPr="00F03BDC" w:rsidRDefault="00F03BDC" w:rsidP="00F03B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3BDC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Gale et al. (2004); Greig et al. (1972); Howey et al. (2013); Pietschmann et al. (2015); Davies et al. (2007); McVicar (1984); Petrini et al. </w:t>
            </w:r>
            <w:r w:rsidRPr="00F03BDC">
              <w:rPr>
                <w:rFonts w:ascii="Times New Roman" w:eastAsia="Times New Roman" w:hAnsi="Times New Roman" w:cs="Times New Roman"/>
                <w:sz w:val="24"/>
                <w:szCs w:val="24"/>
              </w:rPr>
              <w:t>(2019); Hughes et al. (2002); Morley (1993); Nuanualsuwan et al. (2022)</w:t>
            </w:r>
          </w:p>
        </w:tc>
      </w:tr>
      <w:tr w:rsidR="00F03BDC" w:rsidRPr="00F03BDC" w14:paraId="58CE9664" w14:textId="77777777" w:rsidTr="040048D1">
        <w:tc>
          <w:tcPr>
            <w:tcW w:w="0" w:type="auto"/>
            <w:hideMark/>
          </w:tcPr>
          <w:p w14:paraId="753B0737" w14:textId="77777777" w:rsidR="00F03BDC" w:rsidRPr="00F03BDC" w:rsidRDefault="00F03BDC" w:rsidP="00F03B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3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African swine fever virus genotype II</w:t>
            </w:r>
          </w:p>
        </w:tc>
        <w:tc>
          <w:tcPr>
            <w:tcW w:w="0" w:type="auto"/>
            <w:hideMark/>
          </w:tcPr>
          <w:p w14:paraId="663FC1B5" w14:textId="77777777" w:rsidR="00F03BDC" w:rsidRPr="00F03BDC" w:rsidRDefault="00F03BDC" w:rsidP="00F03B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3BDC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Jelsma et al. (2019</w:t>
            </w:r>
            <w:r w:rsidR="00225FC0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a, b</w:t>
            </w:r>
            <w:r w:rsidRPr="00F03BDC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); Stoian et al. (2019); Dee et al. (2018); Petrini et al. </w:t>
            </w:r>
            <w:r w:rsidRPr="00F03BDC">
              <w:rPr>
                <w:rFonts w:ascii="Times New Roman" w:eastAsia="Times New Roman" w:hAnsi="Times New Roman" w:cs="Times New Roman"/>
                <w:sz w:val="24"/>
                <w:szCs w:val="24"/>
              </w:rPr>
              <w:t>(2019); McKercher et al. (1978); Mebus et al. (1997); Sindryakova et al. (2016); Plowright et al. (1967); EFSA (2021)</w:t>
            </w:r>
          </w:p>
        </w:tc>
        <w:tc>
          <w:tcPr>
            <w:tcW w:w="0" w:type="auto"/>
            <w:hideMark/>
          </w:tcPr>
          <w:p w14:paraId="4E521778" w14:textId="77777777" w:rsidR="00F03BDC" w:rsidRPr="00F03BDC" w:rsidRDefault="00F03BDC" w:rsidP="00F03B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3BDC">
              <w:rPr>
                <w:rFonts w:ascii="Times New Roman" w:eastAsia="Times New Roman" w:hAnsi="Times New Roman" w:cs="Times New Roman"/>
                <w:sz w:val="24"/>
                <w:szCs w:val="24"/>
              </w:rPr>
              <w:t>Niederwerder et al. (2019)</w:t>
            </w:r>
          </w:p>
        </w:tc>
      </w:tr>
      <w:tr w:rsidR="00F03BDC" w:rsidRPr="00F03BDC" w14:paraId="6A81AE73" w14:textId="77777777" w:rsidTr="040048D1">
        <w:tc>
          <w:tcPr>
            <w:tcW w:w="0" w:type="auto"/>
            <w:hideMark/>
          </w:tcPr>
          <w:p w14:paraId="2CCA47BF" w14:textId="77777777" w:rsidR="00F03BDC" w:rsidRPr="00F03BDC" w:rsidRDefault="00F03BDC" w:rsidP="00F03B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3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Classical swine fever virus (CSFV)</w:t>
            </w:r>
            <w:r w:rsidR="008071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(hog cholera)</w:t>
            </w:r>
          </w:p>
        </w:tc>
        <w:tc>
          <w:tcPr>
            <w:tcW w:w="0" w:type="auto"/>
            <w:hideMark/>
          </w:tcPr>
          <w:p w14:paraId="2F29FED9" w14:textId="77777777" w:rsidR="00F03BDC" w:rsidRPr="00F03BDC" w:rsidRDefault="00F03BDC" w:rsidP="00B82C8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3B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Edwards (2000); </w:t>
            </w:r>
            <w:r w:rsidRPr="00DC1224">
              <w:rPr>
                <w:rFonts w:ascii="Times New Roman" w:eastAsia="Times New Roman" w:hAnsi="Times New Roman" w:cs="Times New Roman"/>
                <w:sz w:val="24"/>
                <w:szCs w:val="24"/>
              </w:rPr>
              <w:t>Stewart et al. (1979);</w:t>
            </w:r>
            <w:r w:rsidRPr="00F03B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McKercher et al. </w:t>
            </w:r>
            <w:r w:rsidRPr="009450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(1980); McKercher et al. </w:t>
            </w:r>
            <w:r w:rsidRPr="00DC12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(1987); </w:t>
            </w:r>
            <w:r w:rsidR="00807104" w:rsidRPr="007E2C26">
              <w:rPr>
                <w:rFonts w:ascii="Calibri" w:eastAsia="Times New Roman" w:hAnsi="Calibri" w:cs="Calibri"/>
                <w:color w:val="000000"/>
              </w:rPr>
              <w:t>HELWIG D.M. &amp; KEAST J.C. (1966</w:t>
            </w:r>
            <w:r w:rsidR="00807104">
              <w:rPr>
                <w:rFonts w:ascii="Calibri" w:eastAsia="Times New Roman" w:hAnsi="Calibri" w:cs="Calibri"/>
                <w:color w:val="000000"/>
              </w:rPr>
              <w:t>), Panina et a</w:t>
            </w:r>
            <w:r w:rsidR="00945065">
              <w:rPr>
                <w:rFonts w:ascii="Calibri" w:eastAsia="Times New Roman" w:hAnsi="Calibri" w:cs="Calibri"/>
                <w:color w:val="000000"/>
              </w:rPr>
              <w:t>l</w:t>
            </w:r>
            <w:r w:rsidR="00807104">
              <w:rPr>
                <w:rFonts w:ascii="Calibri" w:eastAsia="Times New Roman" w:hAnsi="Calibri" w:cs="Calibri"/>
                <w:color w:val="000000"/>
              </w:rPr>
              <w:t>., (1989</w:t>
            </w:r>
            <w:r w:rsidR="00DC1224">
              <w:rPr>
                <w:rFonts w:ascii="Calibri" w:eastAsia="Times New Roman" w:hAnsi="Calibri" w:cs="Calibri"/>
                <w:color w:val="000000"/>
              </w:rPr>
              <w:t>a</w:t>
            </w:r>
            <w:r w:rsidR="00807104"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0" w:type="auto"/>
            <w:hideMark/>
          </w:tcPr>
          <w:p w14:paraId="216E8DD4" w14:textId="77777777" w:rsidR="00F03BDC" w:rsidRPr="00F03BDC" w:rsidRDefault="00F03BDC" w:rsidP="00F03B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3BDC">
              <w:rPr>
                <w:rFonts w:ascii="Times New Roman" w:eastAsia="Times New Roman" w:hAnsi="Times New Roman" w:cs="Times New Roman"/>
                <w:sz w:val="24"/>
                <w:szCs w:val="24"/>
              </w:rPr>
              <w:t>Liess (1987); Haas (2001)</w:t>
            </w:r>
          </w:p>
        </w:tc>
      </w:tr>
      <w:tr w:rsidR="00F03BDC" w:rsidRPr="00F03BDC" w14:paraId="1D724F87" w14:textId="77777777" w:rsidTr="040048D1">
        <w:tc>
          <w:tcPr>
            <w:tcW w:w="0" w:type="auto"/>
            <w:hideMark/>
          </w:tcPr>
          <w:p w14:paraId="0B39D15F" w14:textId="77777777" w:rsidR="00F03BDC" w:rsidRPr="00F03BDC" w:rsidRDefault="00F03BDC" w:rsidP="00F03B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3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Foot-and-mouth disease virus (FMDV)</w:t>
            </w:r>
          </w:p>
        </w:tc>
        <w:tc>
          <w:tcPr>
            <w:tcW w:w="0" w:type="auto"/>
            <w:hideMark/>
          </w:tcPr>
          <w:p w14:paraId="25751F2B" w14:textId="77777777" w:rsidR="00F03BDC" w:rsidRPr="00F03BDC" w:rsidRDefault="00F03BDC" w:rsidP="00B82C8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3BDC">
              <w:rPr>
                <w:rFonts w:ascii="Times New Roman" w:eastAsia="Times New Roman" w:hAnsi="Times New Roman" w:cs="Times New Roman"/>
                <w:sz w:val="24"/>
                <w:szCs w:val="24"/>
              </w:rPr>
              <w:t>Henderson &amp; Brooksby (1948); Bachrach et al. (1957); Savi et al. (1962); Gailiunas &amp; Cottral (1966); Cottral (1969); Sellers (1969); Sellers (1971); Hyslop (1970); Hyslop (1973); Heidelbaugh &amp; Graves (1968); Blackwell (1976); Blackwell (1978); Blackwell et al. (1982); Cunliffe &amp; Blackwell (1977); Cunliffe et al. (1978); McKercher et al. (1978); McKercher et al. (1980); McKercher et al. (1987); Alexandersen et al. (2001); Alexandersen et al. (2003); Kitching &amp; Alexandersen (2002); Pharo (2002); DAFF (2012); Bartley et al. (2002); Mielke et al. (2020)</w:t>
            </w:r>
            <w:r w:rsidR="00B82C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="00B82C82" w:rsidRPr="00F03BDC">
              <w:rPr>
                <w:rFonts w:ascii="Times New Roman" w:eastAsia="Times New Roman" w:hAnsi="Times New Roman" w:cs="Times New Roman"/>
                <w:sz w:val="24"/>
                <w:szCs w:val="24"/>
              </w:rPr>
              <w:t>Blackwell et al. (1976</w:t>
            </w:r>
            <w:r w:rsidR="00B82C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); </w:t>
            </w:r>
            <w:r w:rsidR="00B82C82" w:rsidRPr="00F03BDC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 Panina et al. </w:t>
            </w:r>
            <w:r w:rsidR="00B82C82" w:rsidRPr="00F03BDC">
              <w:rPr>
                <w:rFonts w:ascii="Times New Roman" w:eastAsia="Times New Roman" w:hAnsi="Times New Roman" w:cs="Times New Roman"/>
                <w:sz w:val="24"/>
                <w:szCs w:val="24"/>
              </w:rPr>
              <w:t>(1989</w:t>
            </w:r>
            <w:r w:rsidR="00DC1224">
              <w:rPr>
                <w:rFonts w:ascii="Times New Roman" w:eastAsia="Times New Roman" w:hAnsi="Times New Roman" w:cs="Times New Roman"/>
                <w:sz w:val="24"/>
                <w:szCs w:val="24"/>
              </w:rPr>
              <w:t>b</w:t>
            </w:r>
            <w:r w:rsidR="00B82C82" w:rsidRPr="00F03BDC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hideMark/>
          </w:tcPr>
          <w:p w14:paraId="7FEFAA23" w14:textId="77777777" w:rsidR="00F03BDC" w:rsidRPr="00F03BDC" w:rsidRDefault="00F03BDC" w:rsidP="00F03B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3BDC">
              <w:rPr>
                <w:rFonts w:ascii="Times New Roman" w:eastAsia="Times New Roman" w:hAnsi="Times New Roman" w:cs="Times New Roman"/>
                <w:sz w:val="24"/>
                <w:szCs w:val="24"/>
              </w:rPr>
              <w:t>French et al. (2002); Callis (1996); Ryan et al. (2008); Gubbins et al. (2016); Expert opinion (French et al., 2002)</w:t>
            </w:r>
          </w:p>
        </w:tc>
      </w:tr>
      <w:tr w:rsidR="00F03BDC" w:rsidRPr="00F03BDC" w14:paraId="02EAB548" w14:textId="77777777" w:rsidTr="040048D1">
        <w:tc>
          <w:tcPr>
            <w:tcW w:w="0" w:type="auto"/>
            <w:hideMark/>
          </w:tcPr>
          <w:p w14:paraId="42894077" w14:textId="77777777" w:rsidR="00F03BDC" w:rsidRPr="00F03BDC" w:rsidRDefault="00F03BDC" w:rsidP="00F03B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3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Swine vesicular disease virus (SVDV)</w:t>
            </w:r>
          </w:p>
        </w:tc>
        <w:tc>
          <w:tcPr>
            <w:tcW w:w="0" w:type="auto"/>
            <w:hideMark/>
          </w:tcPr>
          <w:p w14:paraId="18E3330D" w14:textId="77777777" w:rsidR="00F03BDC" w:rsidRPr="00F03BDC" w:rsidRDefault="00F03BDC" w:rsidP="00F03B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3BDC">
              <w:rPr>
                <w:rFonts w:ascii="Times New Roman" w:eastAsia="Times New Roman" w:hAnsi="Times New Roman" w:cs="Times New Roman"/>
                <w:sz w:val="24"/>
                <w:szCs w:val="24"/>
              </w:rPr>
              <w:t>Dawe (1974); Frescura et al. (1976); Blackwell (1984); McKercher et al. (1985); OIE (2013a)</w:t>
            </w:r>
            <w:r w:rsidR="00B82C82">
              <w:rPr>
                <w:rFonts w:ascii="Times New Roman" w:eastAsia="Times New Roman" w:hAnsi="Times New Roman" w:cs="Times New Roman"/>
                <w:sz w:val="24"/>
                <w:szCs w:val="24"/>
              </w:rPr>
              <w:t>; McKercher et al. (1974</w:t>
            </w:r>
            <w:r w:rsidR="00B82C82" w:rsidRPr="00F03BDC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hideMark/>
          </w:tcPr>
          <w:p w14:paraId="29E4B1B5" w14:textId="77777777" w:rsidR="00F03BDC" w:rsidRPr="00F03BDC" w:rsidRDefault="00F03BDC" w:rsidP="00F03B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3BDC">
              <w:rPr>
                <w:rFonts w:ascii="Times New Roman" w:eastAsia="Times New Roman" w:hAnsi="Times New Roman" w:cs="Times New Roman"/>
                <w:sz w:val="24"/>
                <w:szCs w:val="24"/>
              </w:rPr>
              <w:t>Dekker (2000)</w:t>
            </w:r>
          </w:p>
        </w:tc>
      </w:tr>
      <w:tr w:rsidR="00F03BDC" w:rsidRPr="00F03BDC" w14:paraId="0CC93ACB" w14:textId="77777777" w:rsidTr="040048D1">
        <w:tc>
          <w:tcPr>
            <w:tcW w:w="0" w:type="auto"/>
            <w:hideMark/>
          </w:tcPr>
          <w:p w14:paraId="4BC7E62B" w14:textId="77777777" w:rsidR="00F03BDC" w:rsidRPr="00F03BDC" w:rsidRDefault="00F03BDC" w:rsidP="00F03B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3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Mycoplasma spp.</w:t>
            </w:r>
          </w:p>
        </w:tc>
        <w:tc>
          <w:tcPr>
            <w:tcW w:w="0" w:type="auto"/>
            <w:hideMark/>
          </w:tcPr>
          <w:p w14:paraId="654B876A" w14:textId="77777777" w:rsidR="00F03BDC" w:rsidRPr="00F03BDC" w:rsidRDefault="00F03BDC" w:rsidP="00F03B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3BDC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Chandiramani et al. (1966); Peters et al. </w:t>
            </w:r>
            <w:r w:rsidRPr="00F03BDC">
              <w:rPr>
                <w:rFonts w:ascii="Times New Roman" w:eastAsia="Times New Roman" w:hAnsi="Times New Roman" w:cs="Times New Roman"/>
                <w:sz w:val="24"/>
                <w:szCs w:val="24"/>
              </w:rPr>
              <w:t>(1966); Ley (2008); Nagatomo et al. (2011)</w:t>
            </w:r>
          </w:p>
        </w:tc>
        <w:tc>
          <w:tcPr>
            <w:tcW w:w="0" w:type="auto"/>
            <w:hideMark/>
          </w:tcPr>
          <w:p w14:paraId="00275873" w14:textId="77777777" w:rsidR="00F03BDC" w:rsidRPr="00F03BDC" w:rsidRDefault="00F03BDC" w:rsidP="00F03B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3BDC">
              <w:rPr>
                <w:rFonts w:ascii="Times New Roman" w:eastAsia="Times New Roman" w:hAnsi="Times New Roman" w:cs="Times New Roman"/>
                <w:sz w:val="24"/>
                <w:szCs w:val="24"/>
              </w:rPr>
              <w:t>Bradbury &amp; Kleven (2008)</w:t>
            </w:r>
          </w:p>
        </w:tc>
      </w:tr>
      <w:tr w:rsidR="00F03BDC" w:rsidRPr="00F03BDC" w14:paraId="5EA1DAD2" w14:textId="77777777" w:rsidTr="040048D1">
        <w:tc>
          <w:tcPr>
            <w:tcW w:w="0" w:type="auto"/>
            <w:hideMark/>
          </w:tcPr>
          <w:p w14:paraId="357292C9" w14:textId="77777777" w:rsidR="00F03BDC" w:rsidRPr="00F03BDC" w:rsidRDefault="00F03BDC" w:rsidP="00F03B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3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Ornithobacterium rhinotracheale</w:t>
            </w:r>
          </w:p>
        </w:tc>
        <w:tc>
          <w:tcPr>
            <w:tcW w:w="0" w:type="auto"/>
            <w:hideMark/>
          </w:tcPr>
          <w:p w14:paraId="0E352604" w14:textId="77777777" w:rsidR="00F03BDC" w:rsidRPr="00F03BDC" w:rsidRDefault="00F03BDC" w:rsidP="00F03B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3BDC">
              <w:rPr>
                <w:rFonts w:ascii="Times New Roman" w:eastAsia="Times New Roman" w:hAnsi="Times New Roman" w:cs="Times New Roman"/>
                <w:sz w:val="24"/>
                <w:szCs w:val="24"/>
              </w:rPr>
              <w:t>Van Empel et al. (1996); Sprenger et al. (1998); MAF (New Zealand) (1999)</w:t>
            </w:r>
          </w:p>
        </w:tc>
        <w:tc>
          <w:tcPr>
            <w:tcW w:w="0" w:type="auto"/>
            <w:hideMark/>
          </w:tcPr>
          <w:p w14:paraId="2D366E0F" w14:textId="77777777" w:rsidR="00F03BDC" w:rsidRPr="00F03BDC" w:rsidRDefault="00F03BDC" w:rsidP="00F03B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3BDC">
              <w:rPr>
                <w:rFonts w:ascii="Times New Roman" w:eastAsia="Times New Roman" w:hAnsi="Times New Roman" w:cs="Times New Roman"/>
                <w:sz w:val="24"/>
                <w:szCs w:val="24"/>
              </w:rPr>
              <w:t>—</w:t>
            </w:r>
          </w:p>
        </w:tc>
      </w:tr>
      <w:tr w:rsidR="00F03BDC" w:rsidRPr="00F03BDC" w14:paraId="653130DC" w14:textId="77777777" w:rsidTr="040048D1">
        <w:tc>
          <w:tcPr>
            <w:tcW w:w="0" w:type="auto"/>
            <w:hideMark/>
          </w:tcPr>
          <w:p w14:paraId="08582B2F" w14:textId="77777777" w:rsidR="00F03BDC" w:rsidRPr="00F03BDC" w:rsidRDefault="00F03BDC" w:rsidP="00F03B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3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Riemerella anatipestifer</w:t>
            </w:r>
          </w:p>
        </w:tc>
        <w:tc>
          <w:tcPr>
            <w:tcW w:w="0" w:type="auto"/>
            <w:hideMark/>
          </w:tcPr>
          <w:p w14:paraId="4FE60236" w14:textId="77777777" w:rsidR="00F03BDC" w:rsidRPr="00F03BDC" w:rsidRDefault="00F03BDC" w:rsidP="00F03B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3BDC">
              <w:rPr>
                <w:rFonts w:ascii="Times New Roman" w:eastAsia="Times New Roman" w:hAnsi="Times New Roman" w:cs="Times New Roman"/>
                <w:sz w:val="24"/>
                <w:szCs w:val="24"/>
              </w:rPr>
              <w:t>Harry &amp; Deb (1979); Bangun et al. (1981); Sandhu (2008); MAF (2006)</w:t>
            </w:r>
          </w:p>
        </w:tc>
        <w:tc>
          <w:tcPr>
            <w:tcW w:w="0" w:type="auto"/>
            <w:hideMark/>
          </w:tcPr>
          <w:p w14:paraId="26FD7CC9" w14:textId="77777777" w:rsidR="00F03BDC" w:rsidRPr="00F03BDC" w:rsidRDefault="00F03BDC" w:rsidP="00F03B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3BDC">
              <w:rPr>
                <w:rFonts w:ascii="Times New Roman" w:eastAsia="Times New Roman" w:hAnsi="Times New Roman" w:cs="Times New Roman"/>
                <w:sz w:val="24"/>
                <w:szCs w:val="24"/>
              </w:rPr>
              <w:t>Hatfield &amp; Morris (1988); Sarver et al. (2005)</w:t>
            </w:r>
          </w:p>
        </w:tc>
      </w:tr>
      <w:tr w:rsidR="00F03BDC" w:rsidRPr="00F03BDC" w14:paraId="62A94C17" w14:textId="77777777" w:rsidTr="040048D1">
        <w:tc>
          <w:tcPr>
            <w:tcW w:w="0" w:type="auto"/>
            <w:hideMark/>
          </w:tcPr>
          <w:p w14:paraId="6F458923" w14:textId="77777777" w:rsidR="00F03BDC" w:rsidRPr="00F03BDC" w:rsidRDefault="00F03BDC" w:rsidP="00F03B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3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Bordetella avium</w:t>
            </w:r>
          </w:p>
        </w:tc>
        <w:tc>
          <w:tcPr>
            <w:tcW w:w="0" w:type="auto"/>
            <w:hideMark/>
          </w:tcPr>
          <w:p w14:paraId="4D54AC68" w14:textId="77777777" w:rsidR="00F03BDC" w:rsidRPr="00F03BDC" w:rsidRDefault="00F03BDC" w:rsidP="00F03B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3BDC">
              <w:rPr>
                <w:rFonts w:ascii="Times New Roman" w:eastAsia="Times New Roman" w:hAnsi="Times New Roman" w:cs="Times New Roman"/>
                <w:sz w:val="24"/>
                <w:szCs w:val="24"/>
              </w:rPr>
              <w:t>Arp &amp; McDonald (1985); MAF (New Zealand) (1999)</w:t>
            </w:r>
          </w:p>
        </w:tc>
        <w:tc>
          <w:tcPr>
            <w:tcW w:w="0" w:type="auto"/>
            <w:hideMark/>
          </w:tcPr>
          <w:p w14:paraId="1230D8BB" w14:textId="77777777" w:rsidR="00F03BDC" w:rsidRPr="00F03BDC" w:rsidRDefault="00F03BDC" w:rsidP="00F03B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3BDC">
              <w:rPr>
                <w:rFonts w:ascii="Times New Roman" w:eastAsia="Times New Roman" w:hAnsi="Times New Roman" w:cs="Times New Roman"/>
                <w:sz w:val="24"/>
                <w:szCs w:val="24"/>
              </w:rPr>
              <w:t>—</w:t>
            </w:r>
          </w:p>
        </w:tc>
      </w:tr>
      <w:tr w:rsidR="00F03BDC" w:rsidRPr="00F03BDC" w14:paraId="12311C3C" w14:textId="77777777" w:rsidTr="040048D1">
        <w:tc>
          <w:tcPr>
            <w:tcW w:w="0" w:type="auto"/>
            <w:hideMark/>
          </w:tcPr>
          <w:p w14:paraId="1AC7E25E" w14:textId="77777777" w:rsidR="00F03BDC" w:rsidRPr="00F03BDC" w:rsidRDefault="00F03BDC" w:rsidP="00F03B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3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Salmonella enterica subsp. arizonae</w:t>
            </w:r>
          </w:p>
        </w:tc>
        <w:tc>
          <w:tcPr>
            <w:tcW w:w="0" w:type="auto"/>
            <w:hideMark/>
          </w:tcPr>
          <w:p w14:paraId="3F17959D" w14:textId="77777777" w:rsidR="00F03BDC" w:rsidRPr="00F03BDC" w:rsidRDefault="00F03BDC" w:rsidP="00F03B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3BDC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Izat et al. (1991); Bisaillon et al. </w:t>
            </w:r>
            <w:r w:rsidRPr="00F03BDC">
              <w:rPr>
                <w:rFonts w:ascii="Times New Roman" w:eastAsia="Times New Roman" w:hAnsi="Times New Roman" w:cs="Times New Roman"/>
                <w:sz w:val="24"/>
                <w:szCs w:val="24"/>
              </w:rPr>
              <w:t>(2001)</w:t>
            </w:r>
          </w:p>
        </w:tc>
        <w:tc>
          <w:tcPr>
            <w:tcW w:w="0" w:type="auto"/>
            <w:hideMark/>
          </w:tcPr>
          <w:p w14:paraId="2170B065" w14:textId="77777777" w:rsidR="00F03BDC" w:rsidRPr="00F03BDC" w:rsidRDefault="00F03BDC" w:rsidP="00F03B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3BDC">
              <w:rPr>
                <w:rFonts w:ascii="Times New Roman" w:eastAsia="Times New Roman" w:hAnsi="Times New Roman" w:cs="Times New Roman"/>
                <w:sz w:val="24"/>
                <w:szCs w:val="24"/>
              </w:rPr>
              <w:t>—</w:t>
            </w:r>
          </w:p>
        </w:tc>
      </w:tr>
      <w:tr w:rsidR="00F03BDC" w:rsidRPr="00F03BDC" w14:paraId="704EE831" w14:textId="77777777" w:rsidTr="040048D1">
        <w:tc>
          <w:tcPr>
            <w:tcW w:w="0" w:type="auto"/>
            <w:hideMark/>
          </w:tcPr>
          <w:p w14:paraId="11646337" w14:textId="77777777" w:rsidR="00F03BDC" w:rsidRPr="00F03BDC" w:rsidRDefault="00F03BDC" w:rsidP="00F03B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3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Sheep pox and goat pox</w:t>
            </w:r>
          </w:p>
        </w:tc>
        <w:tc>
          <w:tcPr>
            <w:tcW w:w="0" w:type="auto"/>
            <w:hideMark/>
          </w:tcPr>
          <w:p w14:paraId="41ABBCF2" w14:textId="77777777" w:rsidR="00F03BDC" w:rsidRPr="00F03BDC" w:rsidRDefault="00F03BDC" w:rsidP="00F03B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3BDC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Martinez et al. (2011); Elbagerma et al. </w:t>
            </w:r>
            <w:r w:rsidRPr="00F03BDC">
              <w:rPr>
                <w:rFonts w:ascii="Times New Roman" w:eastAsia="Times New Roman" w:hAnsi="Times New Roman" w:cs="Times New Roman"/>
                <w:sz w:val="24"/>
                <w:szCs w:val="24"/>
              </w:rPr>
              <w:t>(2014); EFSA (2014)</w:t>
            </w:r>
          </w:p>
        </w:tc>
        <w:tc>
          <w:tcPr>
            <w:tcW w:w="0" w:type="auto"/>
            <w:hideMark/>
          </w:tcPr>
          <w:p w14:paraId="63E8E420" w14:textId="77777777" w:rsidR="00F03BDC" w:rsidRPr="00F03BDC" w:rsidRDefault="00F03BDC" w:rsidP="00F03B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3BDC">
              <w:rPr>
                <w:rFonts w:ascii="Times New Roman" w:eastAsia="Times New Roman" w:hAnsi="Times New Roman" w:cs="Times New Roman"/>
                <w:sz w:val="24"/>
                <w:szCs w:val="24"/>
              </w:rPr>
              <w:t>—</w:t>
            </w:r>
          </w:p>
        </w:tc>
      </w:tr>
      <w:tr w:rsidR="00F03BDC" w:rsidRPr="00F03BDC" w14:paraId="27F32FB6" w14:textId="77777777" w:rsidTr="040048D1">
        <w:tc>
          <w:tcPr>
            <w:tcW w:w="0" w:type="auto"/>
            <w:hideMark/>
          </w:tcPr>
          <w:p w14:paraId="7A6FC65B" w14:textId="77777777" w:rsidR="00F03BDC" w:rsidRPr="00F03BDC" w:rsidRDefault="00F03BDC" w:rsidP="00F03B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3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Zaire ebolavirus</w:t>
            </w:r>
          </w:p>
        </w:tc>
        <w:tc>
          <w:tcPr>
            <w:tcW w:w="0" w:type="auto"/>
            <w:hideMark/>
          </w:tcPr>
          <w:p w14:paraId="05F1044A" w14:textId="77777777" w:rsidR="00F03BDC" w:rsidRPr="00F03BDC" w:rsidRDefault="00F03BDC" w:rsidP="00F03B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3BDC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Piercy et al. (2010); Swanepoel et al. </w:t>
            </w:r>
            <w:r w:rsidRPr="00F03B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(1996); Geisbert et al. (2003); Johnson et al. </w:t>
            </w:r>
            <w:r w:rsidRPr="00F03BDC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(1995); Ryabchikova et al. (1999); Ignatiev et al. (2000); Kortepeter et al. (2011); Twenhafel et al. </w:t>
            </w:r>
            <w:r w:rsidRPr="00F03BDC">
              <w:rPr>
                <w:rFonts w:ascii="Times New Roman" w:eastAsia="Times New Roman" w:hAnsi="Times New Roman" w:cs="Times New Roman"/>
                <w:sz w:val="24"/>
                <w:szCs w:val="24"/>
              </w:rPr>
              <w:t>(2013); Jaax et al. (1995)</w:t>
            </w:r>
          </w:p>
        </w:tc>
        <w:tc>
          <w:tcPr>
            <w:tcW w:w="0" w:type="auto"/>
            <w:hideMark/>
          </w:tcPr>
          <w:p w14:paraId="283510A6" w14:textId="00DD9B8A" w:rsidR="00F03BDC" w:rsidRPr="00F03BDC" w:rsidRDefault="001910B6" w:rsidP="00F03B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40048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Fogarty </w:t>
            </w:r>
            <w:r w:rsidR="00F03BDC" w:rsidRPr="040048D1">
              <w:rPr>
                <w:rFonts w:ascii="Times New Roman" w:eastAsia="Times New Roman" w:hAnsi="Times New Roman" w:cs="Times New Roman"/>
                <w:sz w:val="24"/>
                <w:szCs w:val="24"/>
              </w:rPr>
              <w:t>er et al. (2011)</w:t>
            </w:r>
          </w:p>
        </w:tc>
      </w:tr>
      <w:tr w:rsidR="00F03BDC" w:rsidRPr="00F03BDC" w14:paraId="755C50F0" w14:textId="77777777" w:rsidTr="040048D1">
        <w:tc>
          <w:tcPr>
            <w:tcW w:w="0" w:type="auto"/>
            <w:hideMark/>
          </w:tcPr>
          <w:p w14:paraId="2E99B7F4" w14:textId="77777777" w:rsidR="00F03BDC" w:rsidRPr="00F03BDC" w:rsidRDefault="00F03BDC" w:rsidP="00F03B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3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Hendra virus</w:t>
            </w:r>
          </w:p>
        </w:tc>
        <w:tc>
          <w:tcPr>
            <w:tcW w:w="0" w:type="auto"/>
            <w:hideMark/>
          </w:tcPr>
          <w:p w14:paraId="5EBC9103" w14:textId="77777777" w:rsidR="00F03BDC" w:rsidRPr="00F03BDC" w:rsidRDefault="00F03BDC" w:rsidP="00F03B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3BDC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Fogarty et al. (2008); Li et al. (2010); Marsh et al. (2011); Martin et al. </w:t>
            </w:r>
            <w:r w:rsidRPr="00F03BDC">
              <w:rPr>
                <w:rFonts w:ascii="Times New Roman" w:eastAsia="Times New Roman" w:hAnsi="Times New Roman" w:cs="Times New Roman"/>
                <w:sz w:val="24"/>
                <w:szCs w:val="24"/>
              </w:rPr>
              <w:t>(2015); Middleton et al. (2014); Scanlan et al. (2014); Hooper et al. (1997)</w:t>
            </w:r>
          </w:p>
        </w:tc>
        <w:tc>
          <w:tcPr>
            <w:tcW w:w="0" w:type="auto"/>
            <w:hideMark/>
          </w:tcPr>
          <w:p w14:paraId="47B92CD1" w14:textId="77777777" w:rsidR="00F03BDC" w:rsidRPr="00F03BDC" w:rsidRDefault="00F03BDC" w:rsidP="00F03B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3BDC">
              <w:rPr>
                <w:rFonts w:ascii="Times New Roman" w:eastAsia="Times New Roman" w:hAnsi="Times New Roman" w:cs="Times New Roman"/>
                <w:sz w:val="24"/>
                <w:szCs w:val="24"/>
              </w:rPr>
              <w:t>—</w:t>
            </w:r>
          </w:p>
        </w:tc>
      </w:tr>
      <w:tr w:rsidR="00F03BDC" w:rsidRPr="00F03BDC" w14:paraId="0B81AD27" w14:textId="77777777" w:rsidTr="040048D1">
        <w:tc>
          <w:tcPr>
            <w:tcW w:w="0" w:type="auto"/>
            <w:hideMark/>
          </w:tcPr>
          <w:p w14:paraId="02459C6F" w14:textId="77777777" w:rsidR="00F03BDC" w:rsidRPr="00F03BDC" w:rsidRDefault="00F03BDC" w:rsidP="00F03B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3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Middle East respiratory syndrome coronavirus (MERS-CoV)</w:t>
            </w:r>
          </w:p>
        </w:tc>
        <w:tc>
          <w:tcPr>
            <w:tcW w:w="0" w:type="auto"/>
            <w:hideMark/>
          </w:tcPr>
          <w:p w14:paraId="79395DED" w14:textId="77777777" w:rsidR="00F03BDC" w:rsidRPr="00F03BDC" w:rsidRDefault="00F03BDC" w:rsidP="00F03B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3BDC">
              <w:rPr>
                <w:rFonts w:ascii="Times New Roman" w:eastAsia="Times New Roman" w:hAnsi="Times New Roman" w:cs="Times New Roman"/>
                <w:sz w:val="24"/>
                <w:szCs w:val="24"/>
              </w:rPr>
              <w:t>van Doremalen et al. (2013; 2014)</w:t>
            </w:r>
          </w:p>
        </w:tc>
        <w:tc>
          <w:tcPr>
            <w:tcW w:w="0" w:type="auto"/>
            <w:hideMark/>
          </w:tcPr>
          <w:p w14:paraId="3B9BF366" w14:textId="77777777" w:rsidR="00F03BDC" w:rsidRPr="00F03BDC" w:rsidRDefault="00F03BDC" w:rsidP="00F03B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3BDC">
              <w:rPr>
                <w:rFonts w:ascii="Times New Roman" w:eastAsia="Times New Roman" w:hAnsi="Times New Roman" w:cs="Times New Roman"/>
                <w:sz w:val="24"/>
                <w:szCs w:val="24"/>
              </w:rPr>
              <w:t>Yao et al. (2014); de Wit et al. (2013)</w:t>
            </w:r>
          </w:p>
        </w:tc>
      </w:tr>
      <w:tr w:rsidR="00F03BDC" w:rsidRPr="00F03BDC" w14:paraId="01CA3B5A" w14:textId="77777777" w:rsidTr="040048D1">
        <w:tc>
          <w:tcPr>
            <w:tcW w:w="0" w:type="auto"/>
            <w:hideMark/>
          </w:tcPr>
          <w:p w14:paraId="44FF753B" w14:textId="77777777" w:rsidR="00F03BDC" w:rsidRPr="00F03BDC" w:rsidRDefault="00F03BDC" w:rsidP="00F03B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3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Marburg virus</w:t>
            </w:r>
          </w:p>
        </w:tc>
        <w:tc>
          <w:tcPr>
            <w:tcW w:w="0" w:type="auto"/>
            <w:hideMark/>
          </w:tcPr>
          <w:p w14:paraId="54AD7B39" w14:textId="77777777" w:rsidR="00F03BDC" w:rsidRPr="00F03BDC" w:rsidRDefault="00F03BDC" w:rsidP="00F03B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3BDC">
              <w:rPr>
                <w:rFonts w:ascii="Times New Roman" w:eastAsia="Times New Roman" w:hAnsi="Times New Roman" w:cs="Times New Roman"/>
                <w:sz w:val="24"/>
                <w:szCs w:val="24"/>
              </w:rPr>
              <w:t>Piercy et al. (2010)</w:t>
            </w:r>
          </w:p>
        </w:tc>
        <w:tc>
          <w:tcPr>
            <w:tcW w:w="0" w:type="auto"/>
            <w:hideMark/>
          </w:tcPr>
          <w:p w14:paraId="0761982C" w14:textId="77777777" w:rsidR="00F03BDC" w:rsidRPr="00F03BDC" w:rsidRDefault="00F03BDC" w:rsidP="00F03B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3BDC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Carrion et al. (2011); Geisbert et al. </w:t>
            </w:r>
            <w:r w:rsidRPr="00F03BDC">
              <w:rPr>
                <w:rFonts w:ascii="Times New Roman" w:eastAsia="Times New Roman" w:hAnsi="Times New Roman" w:cs="Times New Roman"/>
                <w:sz w:val="24"/>
                <w:szCs w:val="24"/>
              </w:rPr>
              <w:t>(2007); Hensley et al. (2011); Smith et al. (2013); Alves et al. (2010); Thi et al. (2014)</w:t>
            </w:r>
          </w:p>
        </w:tc>
      </w:tr>
      <w:tr w:rsidR="00F03BDC" w:rsidRPr="00F03BDC" w14:paraId="024F507E" w14:textId="77777777" w:rsidTr="040048D1">
        <w:tc>
          <w:tcPr>
            <w:tcW w:w="0" w:type="auto"/>
            <w:hideMark/>
          </w:tcPr>
          <w:p w14:paraId="62DDD09D" w14:textId="77777777" w:rsidR="00F03BDC" w:rsidRPr="00F03BDC" w:rsidRDefault="00F03BDC" w:rsidP="00F03B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3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Porcine reproductive and respiratory syndrome virus (PRRSV)</w:t>
            </w:r>
          </w:p>
        </w:tc>
        <w:tc>
          <w:tcPr>
            <w:tcW w:w="0" w:type="auto"/>
            <w:hideMark/>
          </w:tcPr>
          <w:p w14:paraId="7922F82B" w14:textId="77777777" w:rsidR="00F03BDC" w:rsidRPr="00F03BDC" w:rsidRDefault="00F03BDC" w:rsidP="00F03B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3BDC">
              <w:rPr>
                <w:rFonts w:ascii="Times New Roman" w:eastAsia="Times New Roman" w:hAnsi="Times New Roman" w:cs="Times New Roman"/>
                <w:sz w:val="24"/>
                <w:szCs w:val="24"/>
              </w:rPr>
              <w:t>Bloemraad et al. (1994); Costers et al. (2009); Klinge et al. (2009); Vanhee et al. (2009); Wasilk et al. (2004); Jacobs et al. (2010); Cano et al. (2007); EFSA</w:t>
            </w:r>
          </w:p>
        </w:tc>
        <w:tc>
          <w:tcPr>
            <w:tcW w:w="0" w:type="auto"/>
            <w:hideMark/>
          </w:tcPr>
          <w:p w14:paraId="182AD8AA" w14:textId="77777777" w:rsidR="00F03BDC" w:rsidRPr="00F03BDC" w:rsidRDefault="00F03BDC" w:rsidP="00F03B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3BDC">
              <w:rPr>
                <w:rFonts w:ascii="Times New Roman" w:eastAsia="Times New Roman" w:hAnsi="Times New Roman" w:cs="Times New Roman"/>
                <w:sz w:val="24"/>
                <w:szCs w:val="24"/>
              </w:rPr>
              <w:t>Hermann et al. (2005); BPEX (2008); Neumann et al. (2005); Magar &amp; Larochelle (2004)</w:t>
            </w:r>
          </w:p>
        </w:tc>
      </w:tr>
      <w:tr w:rsidR="00F03BDC" w:rsidRPr="00F03BDC" w14:paraId="689BA4B5" w14:textId="77777777" w:rsidTr="040048D1">
        <w:tc>
          <w:tcPr>
            <w:tcW w:w="0" w:type="auto"/>
            <w:hideMark/>
          </w:tcPr>
          <w:p w14:paraId="6E5D3D67" w14:textId="77777777" w:rsidR="00F03BDC" w:rsidRPr="00F03BDC" w:rsidRDefault="00F03BDC" w:rsidP="00F03B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3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Trichinella spiralis / Trichinella spp.</w:t>
            </w:r>
          </w:p>
        </w:tc>
        <w:tc>
          <w:tcPr>
            <w:tcW w:w="0" w:type="auto"/>
            <w:hideMark/>
          </w:tcPr>
          <w:p w14:paraId="63597B5A" w14:textId="77777777" w:rsidR="00F03BDC" w:rsidRPr="00F03BDC" w:rsidRDefault="00F03BDC" w:rsidP="00F03BD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F03B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Smith (1975); Wakelin &amp; Goyal (1996); Nöckler et al. </w:t>
            </w:r>
            <w:r w:rsidRPr="00F03BDC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(2000); Ros-Moreno et al. (2000); Pozio (2016; 2022)</w:t>
            </w:r>
          </w:p>
        </w:tc>
        <w:tc>
          <w:tcPr>
            <w:tcW w:w="0" w:type="auto"/>
            <w:hideMark/>
          </w:tcPr>
          <w:p w14:paraId="75A1F347" w14:textId="77777777" w:rsidR="00F03BDC" w:rsidRPr="00F03BDC" w:rsidRDefault="00F03BDC" w:rsidP="00F03B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3BDC">
              <w:rPr>
                <w:rFonts w:ascii="Times New Roman" w:eastAsia="Times New Roman" w:hAnsi="Times New Roman" w:cs="Times New Roman"/>
                <w:sz w:val="24"/>
                <w:szCs w:val="24"/>
              </w:rPr>
              <w:t>Corwin (1999)</w:t>
            </w:r>
          </w:p>
        </w:tc>
      </w:tr>
    </w:tbl>
    <w:p w14:paraId="0A37501D" w14:textId="77777777" w:rsidR="00945065" w:rsidRDefault="00945065">
      <w:pPr>
        <w:rPr>
          <w:rStyle w:val="findhit"/>
          <w:rFonts w:ascii="Calibri" w:hAnsi="Calibri" w:cs="Calibri"/>
          <w:b/>
          <w:bCs/>
          <w:color w:val="000000"/>
          <w:shd w:val="clear" w:color="auto" w:fill="FFFFFF"/>
        </w:rPr>
      </w:pPr>
    </w:p>
    <w:p w14:paraId="5DAB6C7B" w14:textId="77777777" w:rsidR="00945065" w:rsidRDefault="00945065">
      <w:pPr>
        <w:rPr>
          <w:rStyle w:val="findhit"/>
          <w:rFonts w:ascii="Calibri" w:hAnsi="Calibri" w:cs="Calibri"/>
          <w:b/>
          <w:bCs/>
          <w:color w:val="000000"/>
          <w:shd w:val="clear" w:color="auto" w:fill="FFFFFF"/>
        </w:rPr>
      </w:pPr>
    </w:p>
    <w:p w14:paraId="02EB378F" w14:textId="77777777" w:rsidR="00945065" w:rsidRDefault="00945065">
      <w:pPr>
        <w:rPr>
          <w:rStyle w:val="findhit"/>
          <w:rFonts w:ascii="Calibri" w:hAnsi="Calibri" w:cs="Calibri"/>
          <w:b/>
          <w:bCs/>
          <w:color w:val="000000"/>
          <w:shd w:val="clear" w:color="auto" w:fill="FFFFFF"/>
        </w:rPr>
      </w:pPr>
    </w:p>
    <w:p w14:paraId="350EB32C" w14:textId="6FFB64BC" w:rsidR="0080438E" w:rsidRPr="00013F73" w:rsidRDefault="0080438E" w:rsidP="00013F73">
      <w:pPr>
        <w:spacing w:after="0" w:line="240" w:lineRule="auto"/>
        <w:rPr>
          <w:b/>
        </w:rPr>
      </w:pPr>
      <w:r w:rsidRPr="00013F73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African Swine Fever</w:t>
      </w:r>
      <w:r w:rsidR="00013F73" w:rsidRPr="00013F73">
        <w:rPr>
          <w:rFonts w:ascii="Times New Roman" w:eastAsia="Times New Roman" w:hAnsi="Times New Roman" w:cs="Times New Roman"/>
          <w:b/>
          <w:sz w:val="24"/>
          <w:szCs w:val="24"/>
        </w:rPr>
        <w:t xml:space="preserve"> Virus</w:t>
      </w:r>
      <w:r w:rsidRPr="00013F73">
        <w:rPr>
          <w:rFonts w:ascii="Times New Roman" w:eastAsia="Times New Roman" w:hAnsi="Times New Roman" w:cs="Times New Roman"/>
          <w:b/>
          <w:sz w:val="24"/>
          <w:szCs w:val="24"/>
        </w:rPr>
        <w:t xml:space="preserve"> (ASF</w:t>
      </w:r>
      <w:r w:rsidR="00013F73" w:rsidRPr="00013F73">
        <w:rPr>
          <w:rFonts w:ascii="Times New Roman" w:eastAsia="Times New Roman" w:hAnsi="Times New Roman" w:cs="Times New Roman"/>
          <w:b/>
          <w:sz w:val="24"/>
          <w:szCs w:val="24"/>
        </w:rPr>
        <w:t>V</w:t>
      </w:r>
      <w:r w:rsidRPr="00013F73">
        <w:rPr>
          <w:rFonts w:ascii="Times New Roman" w:eastAsia="Times New Roman" w:hAnsi="Times New Roman" w:cs="Times New Roman"/>
          <w:b/>
          <w:sz w:val="24"/>
          <w:szCs w:val="24"/>
        </w:rPr>
        <w:t>)</w:t>
      </w:r>
    </w:p>
    <w:p w14:paraId="104ACBA8" w14:textId="77777777" w:rsidR="0080438E" w:rsidRDefault="0080438E" w:rsidP="0080438E">
      <w:pPr>
        <w:pStyle w:val="NormaleWeb"/>
        <w:numPr>
          <w:ilvl w:val="0"/>
          <w:numId w:val="12"/>
        </w:numPr>
      </w:pPr>
      <w:r>
        <w:t xml:space="preserve">Morley, R. S. (1993). A model for the assessment of the animal disease risks associated with the importation of animals and animal products. </w:t>
      </w:r>
      <w:r>
        <w:rPr>
          <w:rStyle w:val="Enfasicorsivo"/>
        </w:rPr>
        <w:t>Revue Scientifique et Technique de l’OIE, 12</w:t>
      </w:r>
      <w:r>
        <w:t>(4), 1055–1092.</w:t>
      </w:r>
    </w:p>
    <w:p w14:paraId="7F4F54EE" w14:textId="77777777" w:rsidR="0080438E" w:rsidRDefault="0080438E" w:rsidP="0080438E">
      <w:pPr>
        <w:pStyle w:val="NormaleWeb"/>
        <w:numPr>
          <w:ilvl w:val="0"/>
          <w:numId w:val="12"/>
        </w:numPr>
      </w:pPr>
      <w:r w:rsidRPr="0080438E">
        <w:rPr>
          <w:lang w:val="it-IT"/>
        </w:rPr>
        <w:t xml:space="preserve">Gabriel, C., Blome, S., Malogolovkin, A., Parilov, S., Kolbasov, D., Teifke, J. P., et al. </w:t>
      </w:r>
      <w:r>
        <w:t xml:space="preserve">(2011). Characterization of African swine fever virus Caucasus isolate in European wild boars. </w:t>
      </w:r>
      <w:r>
        <w:rPr>
          <w:rStyle w:val="Enfasicorsivo"/>
        </w:rPr>
        <w:t>Emerging Infectious Diseases, 17</w:t>
      </w:r>
      <w:r>
        <w:t>, 2342–2345. https://doi.org/10.3201/eid1712.110430</w:t>
      </w:r>
    </w:p>
    <w:p w14:paraId="64108B75" w14:textId="77777777" w:rsidR="0080438E" w:rsidRDefault="0080438E" w:rsidP="0080438E">
      <w:pPr>
        <w:pStyle w:val="NormaleWeb"/>
        <w:numPr>
          <w:ilvl w:val="0"/>
          <w:numId w:val="12"/>
        </w:numPr>
      </w:pPr>
      <w:r>
        <w:t xml:space="preserve">Liu, J., Liu, B., Shan, B., Wei, S., An, T., Shen, G., et al. (2020). Prevalence of African swine fever in China, 2018–2019. </w:t>
      </w:r>
      <w:r>
        <w:rPr>
          <w:rStyle w:val="Enfasicorsivo"/>
        </w:rPr>
        <w:t>Journal of Medical Virology, 92</w:t>
      </w:r>
      <w:r>
        <w:t>, 1023–1034. https://doi.org/10.1002/jmv.25638</w:t>
      </w:r>
    </w:p>
    <w:p w14:paraId="7692738F" w14:textId="77777777" w:rsidR="0080438E" w:rsidRDefault="0080438E" w:rsidP="0080438E">
      <w:pPr>
        <w:pStyle w:val="NormaleWeb"/>
        <w:numPr>
          <w:ilvl w:val="0"/>
          <w:numId w:val="12"/>
        </w:numPr>
      </w:pPr>
      <w:r>
        <w:t xml:space="preserve">Gulenkin, V. M., Korennoy, F. I., Karaulov, A. K., &amp; Dudnikov, S. A. (2011). Cartographical analysis of African swine fever outbreaks in the territory of the Russian Federation and computer modeling of the basic reproduction ratio. </w:t>
      </w:r>
      <w:r>
        <w:rPr>
          <w:rStyle w:val="Enfasicorsivo"/>
        </w:rPr>
        <w:t>Preventive Veterinary Medicine, 102</w:t>
      </w:r>
      <w:r>
        <w:t>, 167–174. https://doi.org/10.1016/j.prevetmed.2011.07.004</w:t>
      </w:r>
    </w:p>
    <w:p w14:paraId="7DCF7FCD" w14:textId="77777777" w:rsidR="0080438E" w:rsidRDefault="0080438E" w:rsidP="0080438E">
      <w:pPr>
        <w:pStyle w:val="NormaleWeb"/>
        <w:numPr>
          <w:ilvl w:val="0"/>
          <w:numId w:val="12"/>
        </w:numPr>
      </w:pPr>
      <w:r w:rsidRPr="0080438E">
        <w:rPr>
          <w:lang w:val="it-IT"/>
        </w:rPr>
        <w:t xml:space="preserve">Gallardo, M. C., DelaTorre Reoyo, A., Fernández-Pinero, J., Iglesias, I., Munoz, M. J., &amp; Arias, M. L. (2015). </w:t>
      </w:r>
      <w:r>
        <w:t xml:space="preserve">African swine fever: A global view of the current challenge. </w:t>
      </w:r>
      <w:r>
        <w:rPr>
          <w:rStyle w:val="Enfasicorsivo"/>
        </w:rPr>
        <w:t>Porcine Health Management, 1</w:t>
      </w:r>
      <w:r>
        <w:t>, 21. https://doi.org/10.1186/s40813-015-0013-y</w:t>
      </w:r>
    </w:p>
    <w:p w14:paraId="36019900" w14:textId="77777777" w:rsidR="0080438E" w:rsidRDefault="0080438E" w:rsidP="0080438E">
      <w:pPr>
        <w:pStyle w:val="NormaleWeb"/>
        <w:numPr>
          <w:ilvl w:val="0"/>
          <w:numId w:val="12"/>
        </w:numPr>
      </w:pPr>
      <w:r>
        <w:t xml:space="preserve">Guinat, C., Gogin, A., Blome, S., Keil, G., Pollin, R., Pfeiffer, D. U., et al. (2016). Transmission routes of African swine fever virus to domestic pigs: Current knowledge and future research directions. </w:t>
      </w:r>
      <w:r>
        <w:rPr>
          <w:rStyle w:val="Enfasicorsivo"/>
        </w:rPr>
        <w:t>Veterinary Record, 178</w:t>
      </w:r>
      <w:r>
        <w:t>, 262. https://doi.org/10.1136/vr.103593</w:t>
      </w:r>
    </w:p>
    <w:p w14:paraId="65870094" w14:textId="77777777" w:rsidR="0080438E" w:rsidRDefault="0080438E" w:rsidP="0080438E">
      <w:pPr>
        <w:pStyle w:val="NormaleWeb"/>
        <w:numPr>
          <w:ilvl w:val="0"/>
          <w:numId w:val="12"/>
        </w:numPr>
      </w:pPr>
      <w:r>
        <w:t xml:space="preserve">Probst, C., Globig, A., Knoll, B., Conraths, F. J., &amp; Depner, K. (2017). Behaviour of free-ranging wild boar towards their dead fellows: Potential implications for the transmission of African swine fever. </w:t>
      </w:r>
      <w:r>
        <w:rPr>
          <w:rStyle w:val="Enfasicorsivo"/>
        </w:rPr>
        <w:t>Royal Society Open Science, 4</w:t>
      </w:r>
      <w:r>
        <w:t>, 170054. https://doi.org/10.1098/rsos.170054</w:t>
      </w:r>
    </w:p>
    <w:p w14:paraId="75183D4A" w14:textId="77777777" w:rsidR="0080438E" w:rsidRDefault="0080438E" w:rsidP="0080438E">
      <w:pPr>
        <w:pStyle w:val="NormaleWeb"/>
        <w:numPr>
          <w:ilvl w:val="0"/>
          <w:numId w:val="12"/>
        </w:numPr>
      </w:pPr>
      <w:r>
        <w:t xml:space="preserve">Spickler, A. R., &amp; Roth, J. A. (2006). </w:t>
      </w:r>
      <w:r>
        <w:rPr>
          <w:rStyle w:val="Enfasicorsivo"/>
        </w:rPr>
        <w:t>Peste Porcina Africana</w:t>
      </w:r>
      <w:r>
        <w:t xml:space="preserve">. Iowa State University, College of Veterinary Medicine. Retrieved from </w:t>
      </w:r>
      <w:hyperlink r:id="rId8" w:tgtFrame="_new" w:history="1">
        <w:r>
          <w:rPr>
            <w:rStyle w:val="Collegamentoipertestuale"/>
          </w:rPr>
          <w:t>http://www.cfsph.iastate.edu/?lang=en</w:t>
        </w:r>
      </w:hyperlink>
    </w:p>
    <w:p w14:paraId="512B32F3" w14:textId="77777777" w:rsidR="0080438E" w:rsidRDefault="0080438E" w:rsidP="0080438E">
      <w:pPr>
        <w:pStyle w:val="NormaleWeb"/>
        <w:numPr>
          <w:ilvl w:val="0"/>
          <w:numId w:val="12"/>
        </w:numPr>
      </w:pPr>
      <w:r>
        <w:t xml:space="preserve">Murray, A. C., &amp; Johnson, C. P. (1998). Impact of the halothane gene on muscle quality and preslaughter deaths in Western Canadian pigs. </w:t>
      </w:r>
      <w:r>
        <w:rPr>
          <w:rStyle w:val="Enfasicorsivo"/>
        </w:rPr>
        <w:t>Canadian Journal of Animal Science, 78</w:t>
      </w:r>
      <w:r>
        <w:t>, 543–548.</w:t>
      </w:r>
    </w:p>
    <w:p w14:paraId="523582B1" w14:textId="77777777" w:rsidR="0080438E" w:rsidRDefault="0080438E" w:rsidP="0080438E">
      <w:pPr>
        <w:pStyle w:val="NormaleWeb"/>
        <w:numPr>
          <w:ilvl w:val="0"/>
          <w:numId w:val="12"/>
        </w:numPr>
      </w:pPr>
      <w:r>
        <w:t xml:space="preserve">Kovalenko, Y. R. (1964). Viability of ASF in the environment. </w:t>
      </w:r>
      <w:r>
        <w:rPr>
          <w:rStyle w:val="Enfasicorsivo"/>
        </w:rPr>
        <w:t>Vestnik Sel' Skokhozyaistrenoi Nanki, 9</w:t>
      </w:r>
      <w:r>
        <w:t>, 62.</w:t>
      </w:r>
    </w:p>
    <w:p w14:paraId="36B9A3AC" w14:textId="77777777" w:rsidR="0080438E" w:rsidRDefault="0080438E" w:rsidP="0080438E">
      <w:pPr>
        <w:pStyle w:val="NormaleWeb"/>
        <w:numPr>
          <w:ilvl w:val="0"/>
          <w:numId w:val="12"/>
        </w:numPr>
      </w:pPr>
      <w:r>
        <w:t xml:space="preserve">Kleiboeker, S. B. (2002). Swine fever: Classical swine fever and African swine fever. </w:t>
      </w:r>
      <w:r>
        <w:rPr>
          <w:rStyle w:val="Enfasicorsivo"/>
        </w:rPr>
        <w:t>Veterinary Clinics of North America: Food Animal Practice, 18</w:t>
      </w:r>
      <w:r>
        <w:t>(3), 431–451.</w:t>
      </w:r>
    </w:p>
    <w:p w14:paraId="14088DAC" w14:textId="77777777" w:rsidR="0080438E" w:rsidRDefault="0080438E" w:rsidP="0080438E">
      <w:pPr>
        <w:pStyle w:val="NormaleWeb"/>
        <w:numPr>
          <w:ilvl w:val="0"/>
          <w:numId w:val="12"/>
        </w:numPr>
      </w:pPr>
      <w:r>
        <w:t>Hartnett, M., Adkin, A., England, T., Coburn, H., Watson, E., Hall, S., Marooney, C., &amp; Wooldridge, M. (2014). Risk assessment for the import of contaminated meat and meat products into Great Britain and the subsequent exposure of GB livestock.</w:t>
      </w:r>
    </w:p>
    <w:p w14:paraId="6353586B" w14:textId="77777777" w:rsidR="0080438E" w:rsidRDefault="0080438E" w:rsidP="0080438E">
      <w:pPr>
        <w:pStyle w:val="NormaleWeb"/>
        <w:numPr>
          <w:ilvl w:val="0"/>
          <w:numId w:val="12"/>
        </w:numPr>
      </w:pPr>
      <w:r>
        <w:t xml:space="preserve">Gale, P. (2004). Risks to farm animals from pathogens in composted catering waste containing meat. </w:t>
      </w:r>
      <w:r>
        <w:rPr>
          <w:rStyle w:val="Enfasicorsivo"/>
        </w:rPr>
        <w:t>Veterinary Record, 155</w:t>
      </w:r>
      <w:r>
        <w:t>(3), 77–82.</w:t>
      </w:r>
    </w:p>
    <w:p w14:paraId="34D72494" w14:textId="77777777" w:rsidR="0080438E" w:rsidRDefault="0080438E" w:rsidP="0080438E">
      <w:pPr>
        <w:pStyle w:val="NormaleWeb"/>
        <w:numPr>
          <w:ilvl w:val="0"/>
          <w:numId w:val="12"/>
        </w:numPr>
      </w:pPr>
      <w:r>
        <w:t>Adkin, A., Coburn, H., England, T., Hall, S., Hartnett, E., Marooney, C., Wooldridge, M., Watson, E., Cooper, J., Cox, T., &amp; Seaman, M. (2004). Risk assessment for the illegal import of contaminated meat and meat products into Great Britain and the subsequent exposure of GB livestock (IIRA): Foot and mouth disease (FMD), classical swine fever (CSF), African swine fever (ASF), swine vesicular disease (SVD). New Haw: Veterinary Laboratories Agency.</w:t>
      </w:r>
    </w:p>
    <w:p w14:paraId="1D8AF425" w14:textId="77777777" w:rsidR="0080438E" w:rsidRDefault="0080438E" w:rsidP="0080438E">
      <w:pPr>
        <w:pStyle w:val="NormaleWeb"/>
        <w:numPr>
          <w:ilvl w:val="0"/>
          <w:numId w:val="12"/>
        </w:numPr>
      </w:pPr>
      <w:r w:rsidRPr="0080438E">
        <w:rPr>
          <w:lang w:val="it-IT"/>
        </w:rPr>
        <w:t xml:space="preserve">Petrini, S., Feliziani, F., Casciari, C., Giammarioli, M., Torresi, C., &amp; De Mia, G. M. (2019). </w:t>
      </w:r>
      <w:r>
        <w:t xml:space="preserve">Survival of African swine fever virus (ASFV) in various traditional Italian dry-cured meat products. </w:t>
      </w:r>
      <w:r>
        <w:rPr>
          <w:rStyle w:val="Enfasicorsivo"/>
        </w:rPr>
        <w:t>Preventive Veterinary Medicine, 162</w:t>
      </w:r>
      <w:r>
        <w:t xml:space="preserve">, 126–130. </w:t>
      </w:r>
      <w:hyperlink r:id="rId9" w:tgtFrame="_new" w:history="1">
        <w:r>
          <w:rPr>
            <w:rStyle w:val="Collegamentoipertestuale"/>
          </w:rPr>
          <w:t>https://doi.org/10.1016/j.prevetmed.2018.11.013</w:t>
        </w:r>
      </w:hyperlink>
    </w:p>
    <w:p w14:paraId="3C11E3A1" w14:textId="77777777" w:rsidR="0080438E" w:rsidRDefault="0080438E" w:rsidP="0080438E">
      <w:pPr>
        <w:pStyle w:val="NormaleWeb"/>
        <w:numPr>
          <w:ilvl w:val="0"/>
          <w:numId w:val="12"/>
        </w:numPr>
      </w:pPr>
      <w:r>
        <w:lastRenderedPageBreak/>
        <w:t xml:space="preserve">Greig, A. (1972). Pathogenesis of African swine fever in pigs naturally exposed to the disease. </w:t>
      </w:r>
      <w:r>
        <w:rPr>
          <w:rStyle w:val="Enfasicorsivo"/>
        </w:rPr>
        <w:t>Journal of Comparative Pathology, 82</w:t>
      </w:r>
      <w:r>
        <w:t xml:space="preserve">, 73–79. </w:t>
      </w:r>
      <w:hyperlink r:id="rId10" w:tgtFrame="_new" w:history="1">
        <w:r>
          <w:rPr>
            <w:rStyle w:val="Collegamentoipertestuale"/>
          </w:rPr>
          <w:t>https://doi.org/10.1016/0021-9975(72)90028-x</w:t>
        </w:r>
      </w:hyperlink>
    </w:p>
    <w:p w14:paraId="51AB84A9" w14:textId="77777777" w:rsidR="0080438E" w:rsidRDefault="0080438E" w:rsidP="0080438E">
      <w:pPr>
        <w:pStyle w:val="NormaleWeb"/>
        <w:numPr>
          <w:ilvl w:val="0"/>
          <w:numId w:val="12"/>
        </w:numPr>
      </w:pPr>
      <w:r>
        <w:t xml:space="preserve">Howey, E. B., O’Donnell, V., de Carvalho Ferreira, H. C., Borca, M. V., &amp; Arzt, J. (2013). Pathogenesis of highly virulent African swine fever virus in domestic pigs exposed via intraoropharyngeal, intranasopharyngeal, and intramuscular inoculation, and by direct contact with infected pigs. </w:t>
      </w:r>
      <w:r>
        <w:rPr>
          <w:rStyle w:val="Enfasicorsivo"/>
        </w:rPr>
        <w:t>Virus Research, 178</w:t>
      </w:r>
      <w:r>
        <w:t xml:space="preserve">, 328–339. </w:t>
      </w:r>
      <w:hyperlink r:id="rId11" w:tgtFrame="_new" w:history="1">
        <w:r>
          <w:rPr>
            <w:rStyle w:val="Collegamentoipertestuale"/>
          </w:rPr>
          <w:t>https://doi.org/10.1016/j.virusres.2013.09.024</w:t>
        </w:r>
      </w:hyperlink>
    </w:p>
    <w:p w14:paraId="03532865" w14:textId="77777777" w:rsidR="0080438E" w:rsidRDefault="0080438E" w:rsidP="0080438E">
      <w:pPr>
        <w:pStyle w:val="NormaleWeb"/>
        <w:numPr>
          <w:ilvl w:val="0"/>
          <w:numId w:val="12"/>
        </w:numPr>
      </w:pPr>
      <w:r>
        <w:t xml:space="preserve">Pietschmann, J., Guinat, C., Beer, M., Pronin, V., Tauscher, K., Petrov, A., et al. (2015). Course and transmission characteristics of oral low-dose infection of domestic pigs and European wild boar with a Caucasian African swine fever virus isolate. </w:t>
      </w:r>
      <w:r>
        <w:rPr>
          <w:rStyle w:val="Enfasicorsivo"/>
        </w:rPr>
        <w:t>Archives of Virology, 160</w:t>
      </w:r>
      <w:r>
        <w:t xml:space="preserve">, 1657–1667. </w:t>
      </w:r>
      <w:hyperlink r:id="rId12" w:tgtFrame="_new" w:history="1">
        <w:r>
          <w:rPr>
            <w:rStyle w:val="Collegamentoipertestuale"/>
          </w:rPr>
          <w:t>https://doi.org/10.1007/s00705-015-2430-2</w:t>
        </w:r>
      </w:hyperlink>
    </w:p>
    <w:p w14:paraId="45B441AC" w14:textId="77777777" w:rsidR="0080438E" w:rsidRDefault="0080438E" w:rsidP="0080438E">
      <w:pPr>
        <w:pStyle w:val="NormaleWeb"/>
        <w:numPr>
          <w:ilvl w:val="0"/>
          <w:numId w:val="12"/>
        </w:numPr>
      </w:pPr>
      <w:r>
        <w:t xml:space="preserve">Davies, K., Goatley, L. C., Guinat, C., Netherton, C. L., Gubbins, S., Dixon, L. K., et al. (2017). Survival of African swine fever virus in excretions from pigs experimentally infected with the Georgia 2007/1 isolate. </w:t>
      </w:r>
      <w:r>
        <w:rPr>
          <w:rStyle w:val="Enfasicorsivo"/>
        </w:rPr>
        <w:t>Transboundary and Emerging Diseases, 64</w:t>
      </w:r>
      <w:r>
        <w:t xml:space="preserve">, 425–431. </w:t>
      </w:r>
      <w:hyperlink r:id="rId13" w:tgtFrame="_new" w:history="1">
        <w:r>
          <w:rPr>
            <w:rStyle w:val="Collegamentoipertestuale"/>
          </w:rPr>
          <w:t>https://doi.org/10.1111/tbed.12381</w:t>
        </w:r>
      </w:hyperlink>
    </w:p>
    <w:p w14:paraId="0F8D5706" w14:textId="77777777" w:rsidR="0080438E" w:rsidRDefault="0080438E" w:rsidP="0080438E">
      <w:pPr>
        <w:pStyle w:val="NormaleWeb"/>
        <w:numPr>
          <w:ilvl w:val="0"/>
          <w:numId w:val="12"/>
        </w:numPr>
      </w:pPr>
      <w:r>
        <w:t xml:space="preserve">Nuanualsuwan, S., Songkasupa, T., Boonpornprasert, P., Suwankitwat, N., Lohlamoh, W., &amp; Nuengjamnong, C. (2022). Thermal inactivation of African swine fever virus in swill. </w:t>
      </w:r>
      <w:r>
        <w:rPr>
          <w:rStyle w:val="Enfasicorsivo"/>
        </w:rPr>
        <w:t>Frontiers in Veterinary Science, 9</w:t>
      </w:r>
      <w:r>
        <w:t>, 906064. https://doi.org/10.3389/fvets.2022.906064</w:t>
      </w:r>
    </w:p>
    <w:p w14:paraId="052D3E15" w14:textId="77777777" w:rsidR="0080438E" w:rsidRDefault="0080438E" w:rsidP="0080438E">
      <w:pPr>
        <w:pStyle w:val="NormaleWeb"/>
        <w:numPr>
          <w:ilvl w:val="0"/>
          <w:numId w:val="12"/>
        </w:numPr>
      </w:pPr>
      <w:r w:rsidRPr="0080438E">
        <w:rPr>
          <w:lang w:val="it-IT"/>
        </w:rPr>
        <w:t xml:space="preserve">McKercher, P. D., Yedloutschnig, R. J., Callis, J. J., Murphy, R., Panina, G. F., Civardi, A., Bugnetti, M., Foni, E., Laddomada, A., Scarano, C., &amp; Scatozza, F. (1987). </w:t>
      </w:r>
      <w:r>
        <w:t xml:space="preserve">Survival of viruses in </w:t>
      </w:r>
      <w:r>
        <w:rPr>
          <w:rStyle w:val="Enfasicorsivo"/>
        </w:rPr>
        <w:t>Prosciutto di Parma</w:t>
      </w:r>
      <w:r>
        <w:t xml:space="preserve"> (Parma ham). </w:t>
      </w:r>
      <w:r>
        <w:rPr>
          <w:rStyle w:val="Enfasicorsivo"/>
        </w:rPr>
        <w:t>Canadian Institute of Food Science and Technology Journal, 20</w:t>
      </w:r>
      <w:r>
        <w:t>(4), 267–272.</w:t>
      </w:r>
    </w:p>
    <w:p w14:paraId="1D122F16" w14:textId="77777777" w:rsidR="0080438E" w:rsidRDefault="0080438E" w:rsidP="0080438E">
      <w:pPr>
        <w:pStyle w:val="NormaleWeb"/>
        <w:numPr>
          <w:ilvl w:val="0"/>
          <w:numId w:val="12"/>
        </w:numPr>
      </w:pPr>
      <w:r>
        <w:t xml:space="preserve">McKercher, P. D., Hess, W. R., &amp; Hamdy, F. (1978). Residual viruses in pork products. </w:t>
      </w:r>
      <w:r>
        <w:rPr>
          <w:rStyle w:val="Enfasicorsivo"/>
        </w:rPr>
        <w:t>Applied and Environmental Microbiology, 35</w:t>
      </w:r>
      <w:r>
        <w:t>, 142–145.</w:t>
      </w:r>
    </w:p>
    <w:p w14:paraId="416709A0" w14:textId="77777777" w:rsidR="0080438E" w:rsidRDefault="0080438E" w:rsidP="0080438E">
      <w:pPr>
        <w:pStyle w:val="NormaleWeb"/>
        <w:numPr>
          <w:ilvl w:val="0"/>
          <w:numId w:val="12"/>
        </w:numPr>
      </w:pPr>
      <w:r>
        <w:t>Beltrán-Alcrudo, D., Arias, M., Gallardo, C., Kramer, S., &amp; Penrith, M. L. (2017). African swine fever: Detection and diagnosis – A manual for veterinarians. FAO Animal Production and Health Manual No. 19. Rome: Food and Agriculture Organization of the United Nations.</w:t>
      </w:r>
    </w:p>
    <w:p w14:paraId="1BFF6701" w14:textId="77777777" w:rsidR="0080438E" w:rsidRDefault="0080438E" w:rsidP="0080438E">
      <w:pPr>
        <w:pStyle w:val="NormaleWeb"/>
        <w:numPr>
          <w:ilvl w:val="0"/>
          <w:numId w:val="12"/>
        </w:numPr>
      </w:pPr>
      <w:r>
        <w:t xml:space="preserve">Fischer, M., Hühr, J., Blome, S., Conraths, F. J., &amp; Probst, C. (2020). Stability of African swine fever virus in carcasses of domestic pigs and wild boar experimentally infected with the ASFV “Estonia 2014” isolate. </w:t>
      </w:r>
      <w:r>
        <w:rPr>
          <w:rStyle w:val="Enfasicorsivo"/>
        </w:rPr>
        <w:t>Viruses, 12</w:t>
      </w:r>
      <w:r>
        <w:t xml:space="preserve">, 1118. </w:t>
      </w:r>
      <w:hyperlink r:id="rId14" w:tgtFrame="_new" w:history="1">
        <w:r>
          <w:rPr>
            <w:rStyle w:val="Collegamentoipertestuale"/>
          </w:rPr>
          <w:t>https://doi.org/10.3390/v12101118</w:t>
        </w:r>
      </w:hyperlink>
    </w:p>
    <w:p w14:paraId="2A34CBC6" w14:textId="77777777" w:rsidR="0080438E" w:rsidRDefault="0080438E" w:rsidP="0080438E">
      <w:pPr>
        <w:pStyle w:val="NormaleWeb"/>
        <w:numPr>
          <w:ilvl w:val="0"/>
          <w:numId w:val="12"/>
        </w:numPr>
      </w:pPr>
      <w:r>
        <w:t xml:space="preserve">Mazur-Panasiuk, N., Żmudzki, J., &amp; Woźniakowski, G. (2019). African swine fever virus - Persistence in different environmental conditions and the possibility of its indirect transmission. </w:t>
      </w:r>
      <w:r>
        <w:rPr>
          <w:rStyle w:val="Enfasicorsivo"/>
        </w:rPr>
        <w:t>Journal of Veterinary Research, 63</w:t>
      </w:r>
      <w:r>
        <w:t xml:space="preserve">(3), 303–310. </w:t>
      </w:r>
      <w:hyperlink r:id="rId15" w:tgtFrame="_new" w:history="1">
        <w:r>
          <w:rPr>
            <w:rStyle w:val="Collegamentoipertestuale"/>
          </w:rPr>
          <w:t>https://doi.org/10.2478/jvetres-2019-0058</w:t>
        </w:r>
      </w:hyperlink>
    </w:p>
    <w:p w14:paraId="27E65409" w14:textId="77777777" w:rsidR="0080438E" w:rsidRDefault="0080438E" w:rsidP="0080438E">
      <w:pPr>
        <w:pStyle w:val="NormaleWeb"/>
        <w:numPr>
          <w:ilvl w:val="0"/>
          <w:numId w:val="12"/>
        </w:numPr>
      </w:pPr>
      <w:r>
        <w:t xml:space="preserve">Blackwell, J. H. (1984). Foreign animal disease agent survival in animal products: Recent developments. </w:t>
      </w:r>
      <w:r>
        <w:rPr>
          <w:rStyle w:val="Enfasicorsivo"/>
        </w:rPr>
        <w:t>Journal of the American Veterinary Medical Association, 184</w:t>
      </w:r>
      <w:r>
        <w:t>(6), 674–679.</w:t>
      </w:r>
    </w:p>
    <w:p w14:paraId="450A5844" w14:textId="77777777" w:rsidR="0080438E" w:rsidRDefault="0080438E" w:rsidP="0080438E">
      <w:pPr>
        <w:pStyle w:val="NormaleWeb"/>
        <w:numPr>
          <w:ilvl w:val="0"/>
          <w:numId w:val="12"/>
        </w:numPr>
      </w:pPr>
      <w:r>
        <w:t xml:space="preserve">De Kock, G., Robinson, E. M., &amp; Keppel, J. J. (1940). Swine fever in South Africa. </w:t>
      </w:r>
      <w:r>
        <w:rPr>
          <w:rStyle w:val="Enfasicorsivo"/>
        </w:rPr>
        <w:t>Onderstepoort Journal of Veterinary Science and Animal Industry, 14</w:t>
      </w:r>
      <w:r>
        <w:t>, 31–93.</w:t>
      </w:r>
    </w:p>
    <w:p w14:paraId="400C7805" w14:textId="77777777" w:rsidR="0080438E" w:rsidRDefault="0080438E" w:rsidP="0080438E">
      <w:pPr>
        <w:pStyle w:val="NormaleWeb"/>
        <w:numPr>
          <w:ilvl w:val="0"/>
          <w:numId w:val="12"/>
        </w:numPr>
      </w:pPr>
      <w:r>
        <w:t xml:space="preserve">Montgomery, R. E. (1921). On a form of swine fever occurring in British East Africa (Kenya Colony). </w:t>
      </w:r>
      <w:r>
        <w:rPr>
          <w:rStyle w:val="Enfasicorsivo"/>
        </w:rPr>
        <w:t>The Journal of Comparative Pathology and Therapeutics, 3</w:t>
      </w:r>
      <w:r>
        <w:t>, 159–191.</w:t>
      </w:r>
    </w:p>
    <w:p w14:paraId="7488B1E7" w14:textId="77777777" w:rsidR="0080438E" w:rsidRDefault="0080438E" w:rsidP="0080438E">
      <w:pPr>
        <w:pStyle w:val="NormaleWeb"/>
        <w:numPr>
          <w:ilvl w:val="0"/>
          <w:numId w:val="12"/>
        </w:numPr>
      </w:pPr>
      <w:r>
        <w:t xml:space="preserve">McVicar, J. W. (1984). Quantitative aspects of the transmission of African swine fever. </w:t>
      </w:r>
      <w:r>
        <w:rPr>
          <w:rStyle w:val="Enfasicorsivo"/>
        </w:rPr>
        <w:t>American Journal of Veterinary Research, 8</w:t>
      </w:r>
      <w:r>
        <w:t>, 1535–1541.</w:t>
      </w:r>
    </w:p>
    <w:p w14:paraId="5FE21D38" w14:textId="77777777" w:rsidR="0080438E" w:rsidRDefault="0080438E" w:rsidP="0080438E">
      <w:pPr>
        <w:pStyle w:val="NormaleWeb"/>
        <w:numPr>
          <w:ilvl w:val="0"/>
          <w:numId w:val="12"/>
        </w:numPr>
      </w:pPr>
      <w:r>
        <w:t xml:space="preserve">Mebus, C. A., House, C., Ruiz Gonzalvo, F., Pineda, J. M., Tapiador, J., Pire, J. J., Bergada, J., Yedloutschnig, R. J., Sahu, S., Becerra, V., &amp; Sanchez-Vizcaino, J. M. (1993). Survival of foot and mouth disease, African swine fever, and hog cholera viruses in Spanish Serrano cured hams and Iberian cured hams; shoulders and loins. </w:t>
      </w:r>
      <w:r>
        <w:rPr>
          <w:rStyle w:val="Enfasicorsivo"/>
        </w:rPr>
        <w:t>Food Microbiology, 10</w:t>
      </w:r>
      <w:r>
        <w:t>, 133–143.</w:t>
      </w:r>
    </w:p>
    <w:p w14:paraId="1477E8B9" w14:textId="77777777" w:rsidR="0080438E" w:rsidRDefault="0080438E" w:rsidP="0080438E">
      <w:pPr>
        <w:pStyle w:val="NormaleWeb"/>
        <w:numPr>
          <w:ilvl w:val="0"/>
          <w:numId w:val="12"/>
        </w:numPr>
      </w:pPr>
      <w:r>
        <w:t xml:space="preserve">Cottral, G. E. (1969). Persistence of foot and mouth disease virus in animals, their products and the environment. </w:t>
      </w:r>
      <w:r>
        <w:rPr>
          <w:rStyle w:val="Enfasicorsivo"/>
        </w:rPr>
        <w:t>Bulletin of the Office International Epizooties, 71</w:t>
      </w:r>
      <w:r>
        <w:t>(3–4), 549–568.</w:t>
      </w:r>
    </w:p>
    <w:p w14:paraId="3371C6F9" w14:textId="77777777" w:rsidR="0080438E" w:rsidRDefault="0080438E" w:rsidP="0080438E">
      <w:pPr>
        <w:pStyle w:val="NormaleWeb"/>
        <w:numPr>
          <w:ilvl w:val="0"/>
          <w:numId w:val="12"/>
        </w:numPr>
      </w:pPr>
      <w:r>
        <w:lastRenderedPageBreak/>
        <w:t xml:space="preserve">Pharo, H. J. (2002). Foot-and-mouth disease: An assessment of the risks facing New Zealand. </w:t>
      </w:r>
      <w:r>
        <w:rPr>
          <w:rStyle w:val="Enfasicorsivo"/>
        </w:rPr>
        <w:t>New Zealand Veterinary Journal, 50</w:t>
      </w:r>
      <w:r>
        <w:t>(2), 46–55.</w:t>
      </w:r>
    </w:p>
    <w:p w14:paraId="4790FA1A" w14:textId="77777777" w:rsidR="0080438E" w:rsidRDefault="0080438E" w:rsidP="0080438E">
      <w:pPr>
        <w:pStyle w:val="NormaleWeb"/>
        <w:numPr>
          <w:ilvl w:val="0"/>
          <w:numId w:val="12"/>
        </w:numPr>
      </w:pPr>
      <w:r>
        <w:t xml:space="preserve">Murray, A. C., &amp; Johnson, C. P. (1998). Impact of the halothane gene on muscle quality and pre-slaughter deaths in Western Canadian pigs. </w:t>
      </w:r>
      <w:r>
        <w:rPr>
          <w:rStyle w:val="Enfasicorsivo"/>
        </w:rPr>
        <w:t>Canadian Journal of Animal Science, 78</w:t>
      </w:r>
      <w:r>
        <w:t>, 543–548.</w:t>
      </w:r>
    </w:p>
    <w:p w14:paraId="6647A526" w14:textId="77777777" w:rsidR="0080438E" w:rsidRDefault="0080438E" w:rsidP="0080438E">
      <w:pPr>
        <w:pStyle w:val="NormaleWeb"/>
        <w:numPr>
          <w:ilvl w:val="0"/>
          <w:numId w:val="12"/>
        </w:numPr>
      </w:pPr>
      <w:r>
        <w:t xml:space="preserve">EFSA Panel on Animal Health and Welfare. (2021). African swine fever epidemiological analyses. </w:t>
      </w:r>
      <w:r>
        <w:rPr>
          <w:rStyle w:val="Enfasicorsivo"/>
        </w:rPr>
        <w:t>EFSA Journal, 19</w:t>
      </w:r>
      <w:r>
        <w:t>(1), e06486.</w:t>
      </w:r>
    </w:p>
    <w:p w14:paraId="56D1C319" w14:textId="63EBFA5C" w:rsidR="0080438E" w:rsidRPr="00013F73" w:rsidRDefault="0080438E" w:rsidP="0003173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13F7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ASF </w:t>
      </w:r>
      <w:r w:rsidR="00013F7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Virus - </w:t>
      </w:r>
      <w:r w:rsidRPr="00013F73">
        <w:rPr>
          <w:rFonts w:ascii="Times New Roman" w:eastAsia="Times New Roman" w:hAnsi="Times New Roman" w:cs="Times New Roman"/>
          <w:b/>
          <w:bCs/>
          <w:sz w:val="24"/>
          <w:szCs w:val="24"/>
        </w:rPr>
        <w:t>Genotype II</w:t>
      </w:r>
    </w:p>
    <w:p w14:paraId="5DF4434E" w14:textId="77777777" w:rsidR="0080438E" w:rsidRDefault="0080438E" w:rsidP="0080438E">
      <w:pPr>
        <w:pStyle w:val="NormaleWeb"/>
        <w:numPr>
          <w:ilvl w:val="0"/>
          <w:numId w:val="13"/>
        </w:numPr>
      </w:pPr>
      <w:r w:rsidRPr="0080438E">
        <w:rPr>
          <w:lang w:val="it-IT"/>
        </w:rPr>
        <w:t xml:space="preserve">Jelsma, T., et al. (2019a). </w:t>
      </w:r>
      <w:r>
        <w:t xml:space="preserve">Phylodynamic analysis of African swine fever virus genotype II. </w:t>
      </w:r>
      <w:r>
        <w:rPr>
          <w:rStyle w:val="Enfasicorsivo"/>
        </w:rPr>
        <w:t>Emerging Infectious Diseases, 25</w:t>
      </w:r>
      <w:r>
        <w:t>(11), 2120–2128. https://doi.org/10.3201/eid2511.190345</w:t>
      </w:r>
    </w:p>
    <w:p w14:paraId="35A37F21" w14:textId="77777777" w:rsidR="0080438E" w:rsidRDefault="0080438E" w:rsidP="0080438E">
      <w:pPr>
        <w:pStyle w:val="NormaleWeb"/>
        <w:numPr>
          <w:ilvl w:val="0"/>
          <w:numId w:val="13"/>
        </w:numPr>
      </w:pPr>
      <w:r>
        <w:t xml:space="preserve">Jelsma, T., Wijnker, J. J., Smid, B., Verheij, E., van der Poel, W. H., &amp; Wisselink, H. J. (2019b). Salt inactivation of classical swine fever virus and African swine fever virus in porcine intestines confirms the existing in vitro casings model. </w:t>
      </w:r>
      <w:r>
        <w:rPr>
          <w:rStyle w:val="Enfasicorsivo"/>
        </w:rPr>
        <w:t>Veterinary Microbiology, 238</w:t>
      </w:r>
      <w:r>
        <w:t xml:space="preserve">, 108424. </w:t>
      </w:r>
      <w:hyperlink r:id="rId16" w:tgtFrame="_new" w:history="1">
        <w:r>
          <w:rPr>
            <w:rStyle w:val="Collegamentoipertestuale"/>
          </w:rPr>
          <w:t>https://doi.org/10.1016/j.vetmic.2019.108424</w:t>
        </w:r>
      </w:hyperlink>
    </w:p>
    <w:p w14:paraId="61A2330F" w14:textId="77777777" w:rsidR="0080438E" w:rsidRDefault="0080438E" w:rsidP="0080438E">
      <w:pPr>
        <w:pStyle w:val="NormaleWeb"/>
        <w:numPr>
          <w:ilvl w:val="0"/>
          <w:numId w:val="13"/>
        </w:numPr>
      </w:pPr>
      <w:r>
        <w:t xml:space="preserve">Stoian, A. M., Zimmerman, J., Ji, J., Hefley, T. J., Dee, S., Diel, D. G., Rowland, R. R., &amp; Niederwerder, M. C. (2019). Half-life of African swine fever virus in shipped feed. </w:t>
      </w:r>
      <w:r>
        <w:rPr>
          <w:rStyle w:val="Enfasicorsivo"/>
        </w:rPr>
        <w:t>Emerging Infectious Diseases, 25</w:t>
      </w:r>
      <w:r>
        <w:t xml:space="preserve">(12), 2261. </w:t>
      </w:r>
      <w:hyperlink r:id="rId17" w:tgtFrame="_new" w:history="1">
        <w:r>
          <w:rPr>
            <w:rStyle w:val="Collegamentoipertestuale"/>
          </w:rPr>
          <w:t>https://doi.org/10.3201/eid2512.191002</w:t>
        </w:r>
      </w:hyperlink>
    </w:p>
    <w:p w14:paraId="3A2C4CEC" w14:textId="77777777" w:rsidR="0080438E" w:rsidRDefault="0080438E" w:rsidP="0080438E">
      <w:pPr>
        <w:pStyle w:val="NormaleWeb"/>
        <w:numPr>
          <w:ilvl w:val="0"/>
          <w:numId w:val="13"/>
        </w:numPr>
      </w:pPr>
      <w:r>
        <w:t xml:space="preserve">Dee, S. A., Bauermann, F. V., Niederwerder, M. C., Singrey, A., Clement, T., De Lima, M., Long, C., Patterson, G., Sheahan, M. A., Stoian, A. M., &amp; Petrovan, V. (2018). Survival of viral pathogens in animal feed ingredients under transboundary shipping models. </w:t>
      </w:r>
      <w:r>
        <w:rPr>
          <w:rStyle w:val="Enfasicorsivo"/>
        </w:rPr>
        <w:t>PLoS One, 13</w:t>
      </w:r>
      <w:r>
        <w:t xml:space="preserve">(3), e0194509. </w:t>
      </w:r>
      <w:hyperlink r:id="rId18" w:tgtFrame="_new" w:history="1">
        <w:r>
          <w:rPr>
            <w:rStyle w:val="Collegamentoipertestuale"/>
          </w:rPr>
          <w:t>https://doi.org/10.1371/journal.pone.0194509</w:t>
        </w:r>
      </w:hyperlink>
    </w:p>
    <w:p w14:paraId="45C56A20" w14:textId="77777777" w:rsidR="0080438E" w:rsidRDefault="0080438E" w:rsidP="0080438E">
      <w:pPr>
        <w:pStyle w:val="NormaleWeb"/>
        <w:numPr>
          <w:ilvl w:val="0"/>
          <w:numId w:val="13"/>
        </w:numPr>
      </w:pPr>
      <w:r>
        <w:t xml:space="preserve">McKercher, P. D., Yedloutschnig, R. J., Callis, J. J., Murphy, R., Panina, G. F., Civardi, A., Bugnetti, M., &amp; Foni, E. (1987). Survival of viruses in </w:t>
      </w:r>
      <w:r>
        <w:rPr>
          <w:rStyle w:val="Enfasicorsivo"/>
        </w:rPr>
        <w:t>Prosciutto di Parma</w:t>
      </w:r>
      <w:r>
        <w:t xml:space="preserve">. </w:t>
      </w:r>
      <w:r>
        <w:rPr>
          <w:rStyle w:val="Enfasicorsivo"/>
        </w:rPr>
        <w:t>Journal of Food Protection, 50</w:t>
      </w:r>
      <w:r>
        <w:t>(7), 608–610.</w:t>
      </w:r>
    </w:p>
    <w:p w14:paraId="05FA8621" w14:textId="77777777" w:rsidR="0080438E" w:rsidRDefault="0080438E" w:rsidP="0080438E">
      <w:pPr>
        <w:pStyle w:val="NormaleWeb"/>
        <w:numPr>
          <w:ilvl w:val="0"/>
          <w:numId w:val="13"/>
        </w:numPr>
      </w:pPr>
      <w:r>
        <w:t xml:space="preserve">McKercher, P. D., Hess, W. R., &amp; Hamdy, F. (1978). Residual viruses in pork products. </w:t>
      </w:r>
      <w:r>
        <w:rPr>
          <w:rStyle w:val="Enfasicorsivo"/>
        </w:rPr>
        <w:t>Applied and Environmental Microbiology, 35</w:t>
      </w:r>
      <w:r>
        <w:t xml:space="preserve">(1), 142–145. </w:t>
      </w:r>
      <w:hyperlink r:id="rId19" w:tgtFrame="_new" w:history="1">
        <w:r>
          <w:rPr>
            <w:rStyle w:val="Collegamentoipertestuale"/>
          </w:rPr>
          <w:t>https://doi.org/10.1128/aem.35.1.142-145.1978</w:t>
        </w:r>
      </w:hyperlink>
    </w:p>
    <w:p w14:paraId="70502AB6" w14:textId="77777777" w:rsidR="0080438E" w:rsidRDefault="0080438E" w:rsidP="0080438E">
      <w:pPr>
        <w:pStyle w:val="NormaleWeb"/>
        <w:numPr>
          <w:ilvl w:val="0"/>
          <w:numId w:val="13"/>
        </w:numPr>
      </w:pPr>
      <w:r>
        <w:t xml:space="preserve">Sindryakova, I. P., Morgunov, Y. P., Chichikin, A. Y., Gazaev, I. K., Kudryashov, D. A., &amp; Tsybanov, S. Z. (2016). The influence of temperature on the Russian isolate of African swine fever virus in pork products and feed with extrapolation to natural conditions. </w:t>
      </w:r>
      <w:r>
        <w:rPr>
          <w:rStyle w:val="Enfasicorsivo"/>
        </w:rPr>
        <w:t>Agricultural Biology, 51</w:t>
      </w:r>
      <w:r>
        <w:t xml:space="preserve">, 467–474. </w:t>
      </w:r>
      <w:hyperlink r:id="rId20" w:tgtFrame="_new" w:history="1">
        <w:r>
          <w:rPr>
            <w:rStyle w:val="Collegamentoipertestuale"/>
          </w:rPr>
          <w:t>https://doi.org/10.15389/agrobiology.2016.4.467eng</w:t>
        </w:r>
      </w:hyperlink>
    </w:p>
    <w:p w14:paraId="1883C4B0" w14:textId="77777777" w:rsidR="0080438E" w:rsidRDefault="0080438E" w:rsidP="0080438E">
      <w:pPr>
        <w:pStyle w:val="NormaleWeb"/>
        <w:numPr>
          <w:ilvl w:val="0"/>
          <w:numId w:val="13"/>
        </w:numPr>
      </w:pPr>
      <w:r>
        <w:t xml:space="preserve">Plowright, W., &amp; McCulloch, B. (1967). Investigations on the incidence of rinderpest virus infection in game animals of N. Tanganyika and S. Kenya 1960/63. </w:t>
      </w:r>
      <w:r>
        <w:rPr>
          <w:rStyle w:val="Enfasicorsivo"/>
        </w:rPr>
        <w:t>Epidemiology and Infection, 65</w:t>
      </w:r>
      <w:r>
        <w:t xml:space="preserve">(3), 343–358. </w:t>
      </w:r>
      <w:hyperlink r:id="rId21" w:tgtFrame="_new" w:history="1">
        <w:r>
          <w:rPr>
            <w:rStyle w:val="Collegamentoipertestuale"/>
          </w:rPr>
          <w:t>https://doi.org/10.1017/S0022172400045861</w:t>
        </w:r>
      </w:hyperlink>
    </w:p>
    <w:p w14:paraId="2473325F" w14:textId="77777777" w:rsidR="0080438E" w:rsidRDefault="0080438E" w:rsidP="0080438E">
      <w:pPr>
        <w:pStyle w:val="NormaleWeb"/>
        <w:numPr>
          <w:ilvl w:val="0"/>
          <w:numId w:val="13"/>
        </w:numPr>
      </w:pPr>
      <w:r>
        <w:t xml:space="preserve">Mebus, C. A., Arias, M., Pineda, J. M., Tapiador, J., House, C., &amp; Sanchez-Vizcaino, J. M. (1997). Survival of several porcine viruses in different Spanish dry-cured meat products. </w:t>
      </w:r>
      <w:r>
        <w:rPr>
          <w:rStyle w:val="Enfasicorsivo"/>
        </w:rPr>
        <w:t>Food Chemistry, 59</w:t>
      </w:r>
      <w:r>
        <w:t>(4), 555–559.</w:t>
      </w:r>
    </w:p>
    <w:p w14:paraId="3257608C" w14:textId="77777777" w:rsidR="0080438E" w:rsidRDefault="0080438E" w:rsidP="0080438E">
      <w:pPr>
        <w:pStyle w:val="NormaleWeb"/>
        <w:numPr>
          <w:ilvl w:val="0"/>
          <w:numId w:val="13"/>
        </w:numPr>
      </w:pPr>
      <w:r>
        <w:t xml:space="preserve">Niederwerder, M. C., Stoian, A. M., Rowland, R. R., Dritz, S. S., Petrovan, V., Constance, L. A., Gebhardt, J. T., Olcha, M., Jones, C. K., Woodworth, J. C., &amp; Fang, Y. (2019). Infectious dose of African swine fever virus when consumed naturally in liquid or feed. </w:t>
      </w:r>
      <w:r>
        <w:rPr>
          <w:rStyle w:val="Enfasicorsivo"/>
        </w:rPr>
        <w:t>Emerging Infectious Diseases, 25</w:t>
      </w:r>
      <w:r>
        <w:t>(5), 891. http://doi.org/10.3201/eid2505.181495</w:t>
      </w:r>
    </w:p>
    <w:p w14:paraId="0D7A0E44" w14:textId="77777777" w:rsidR="0080438E" w:rsidRPr="00013F73" w:rsidRDefault="0080438E" w:rsidP="0003173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13F73">
        <w:rPr>
          <w:rFonts w:ascii="Times New Roman" w:eastAsia="Times New Roman" w:hAnsi="Times New Roman" w:cs="Times New Roman"/>
          <w:b/>
          <w:sz w:val="24"/>
          <w:szCs w:val="24"/>
        </w:rPr>
        <w:t>Classical Swine Fever Virus (CSFV / Hog Cholera)</w:t>
      </w:r>
    </w:p>
    <w:p w14:paraId="6771CF91" w14:textId="77777777" w:rsidR="0080438E" w:rsidRDefault="0080438E" w:rsidP="0080438E">
      <w:pPr>
        <w:pStyle w:val="NormaleWeb"/>
        <w:numPr>
          <w:ilvl w:val="0"/>
          <w:numId w:val="14"/>
        </w:numPr>
      </w:pPr>
      <w:r>
        <w:t xml:space="preserve">Edwards, S. (2000). Survival and inactivation of classical swine fever virus. </w:t>
      </w:r>
      <w:r>
        <w:rPr>
          <w:rStyle w:val="Enfasicorsivo"/>
        </w:rPr>
        <w:t>Veterinary Microbiology, 73</w:t>
      </w:r>
      <w:r>
        <w:t>, 175–181.</w:t>
      </w:r>
    </w:p>
    <w:p w14:paraId="4DC5A1E2" w14:textId="77777777" w:rsidR="0080438E" w:rsidRDefault="0080438E" w:rsidP="0080438E">
      <w:pPr>
        <w:pStyle w:val="NormaleWeb"/>
        <w:numPr>
          <w:ilvl w:val="0"/>
          <w:numId w:val="14"/>
        </w:numPr>
      </w:pPr>
      <w:r>
        <w:lastRenderedPageBreak/>
        <w:t xml:space="preserve">Helwig, D. M., &amp; Keast, J. C. (1966). Viability of virulent swine fever virus in cooked and uncooked ham and sausage casings. </w:t>
      </w:r>
      <w:r>
        <w:rPr>
          <w:rStyle w:val="Enfasicorsivo"/>
        </w:rPr>
        <w:t>Australian Veterinary Journal, 42</w:t>
      </w:r>
      <w:r>
        <w:t>, 131–135.</w:t>
      </w:r>
    </w:p>
    <w:p w14:paraId="0A58D8B7" w14:textId="77777777" w:rsidR="0080438E" w:rsidRDefault="0080438E" w:rsidP="0080438E">
      <w:pPr>
        <w:pStyle w:val="NormaleWeb"/>
        <w:numPr>
          <w:ilvl w:val="0"/>
          <w:numId w:val="14"/>
        </w:numPr>
      </w:pPr>
      <w:r>
        <w:t xml:space="preserve">Liess, B. (1987). Pathogenesis and epidemiology of hog cholera. </w:t>
      </w:r>
      <w:r>
        <w:rPr>
          <w:rStyle w:val="Enfasicorsivo"/>
        </w:rPr>
        <w:t>Annales de Recherche Vétérinaire, 18</w:t>
      </w:r>
      <w:r>
        <w:t>, 139–145.</w:t>
      </w:r>
    </w:p>
    <w:p w14:paraId="188F8A7B" w14:textId="77777777" w:rsidR="0080438E" w:rsidRDefault="0080438E" w:rsidP="0080438E">
      <w:pPr>
        <w:pStyle w:val="NormaleWeb"/>
        <w:numPr>
          <w:ilvl w:val="0"/>
          <w:numId w:val="14"/>
        </w:numPr>
      </w:pPr>
      <w:r w:rsidRPr="0080438E">
        <w:rPr>
          <w:lang w:val="it-IT"/>
        </w:rPr>
        <w:t xml:space="preserve">Haas, et al. (2001). </w:t>
      </w:r>
      <w:r w:rsidRPr="0080438E">
        <w:rPr>
          <w:rStyle w:val="Enfasicorsivo"/>
          <w:lang w:val="it-IT"/>
        </w:rPr>
        <w:t>Quantitative microbial risk assessment.</w:t>
      </w:r>
      <w:r w:rsidRPr="0080438E">
        <w:rPr>
          <w:lang w:val="it-IT"/>
        </w:rPr>
        <w:t xml:space="preserve"> </w:t>
      </w:r>
      <w:r>
        <w:t>John Wiley &amp; Sons, Inc.</w:t>
      </w:r>
    </w:p>
    <w:p w14:paraId="59B1DF06" w14:textId="77777777" w:rsidR="0080438E" w:rsidRDefault="0080438E" w:rsidP="0080438E">
      <w:pPr>
        <w:pStyle w:val="NormaleWeb"/>
        <w:numPr>
          <w:ilvl w:val="0"/>
          <w:numId w:val="14"/>
        </w:numPr>
      </w:pPr>
      <w:r>
        <w:t xml:space="preserve">McKercher, P. D., et al. (1980). Survival of classical swine fever virus in meat products. </w:t>
      </w:r>
      <w:r>
        <w:rPr>
          <w:rStyle w:val="Enfasicorsivo"/>
        </w:rPr>
        <w:t>Applied and Environmental Microbiology, 40</w:t>
      </w:r>
      <w:r>
        <w:t>(4), 889–893.</w:t>
      </w:r>
    </w:p>
    <w:p w14:paraId="2A16CCC2" w14:textId="77777777" w:rsidR="0080438E" w:rsidRDefault="0080438E" w:rsidP="0080438E">
      <w:pPr>
        <w:pStyle w:val="NormaleWeb"/>
        <w:numPr>
          <w:ilvl w:val="0"/>
          <w:numId w:val="14"/>
        </w:numPr>
      </w:pPr>
      <w:r w:rsidRPr="0080438E">
        <w:rPr>
          <w:lang w:val="it-IT"/>
        </w:rPr>
        <w:t xml:space="preserve">Panina, G. F., et al. </w:t>
      </w:r>
      <w:r>
        <w:t xml:space="preserve">(1989a). Classical swine fever virus survival in cured meats. </w:t>
      </w:r>
      <w:r>
        <w:rPr>
          <w:rStyle w:val="Enfasicorsivo"/>
        </w:rPr>
        <w:t>Veterinary Record, 124</w:t>
      </w:r>
      <w:r>
        <w:t>, 357–358.</w:t>
      </w:r>
    </w:p>
    <w:p w14:paraId="6093E9A7" w14:textId="77777777" w:rsidR="0080438E" w:rsidRDefault="0080438E" w:rsidP="0080438E">
      <w:pPr>
        <w:pStyle w:val="NormaleWeb"/>
        <w:numPr>
          <w:ilvl w:val="0"/>
          <w:numId w:val="14"/>
        </w:numPr>
      </w:pPr>
      <w:r>
        <w:t xml:space="preserve">McKercher, P. D., Hess, W. R., &amp; Hamdy, F. (1978). Residual viruses in pork products. </w:t>
      </w:r>
      <w:r>
        <w:rPr>
          <w:rStyle w:val="Enfasicorsivo"/>
        </w:rPr>
        <w:t>Applied and Environmental Microbiology, 35</w:t>
      </w:r>
      <w:r>
        <w:t>, 142–145.</w:t>
      </w:r>
    </w:p>
    <w:p w14:paraId="18408CAF" w14:textId="77777777" w:rsidR="00945065" w:rsidRDefault="0080438E" w:rsidP="0003173D">
      <w:pPr>
        <w:pStyle w:val="NormaleWeb"/>
        <w:numPr>
          <w:ilvl w:val="0"/>
          <w:numId w:val="14"/>
        </w:numPr>
      </w:pPr>
      <w:r>
        <w:t xml:space="preserve">Stewart, W. C., Downing, D. R., Carbrey, E. A., Kresse, J. L., &amp; Snyder, M. L. (1979). Thermal inactivation of HCV in ham. </w:t>
      </w:r>
      <w:r>
        <w:rPr>
          <w:rStyle w:val="Enfasicorsivo"/>
        </w:rPr>
        <w:t>American Journal of Veterinary Research, 40</w:t>
      </w:r>
      <w:r>
        <w:t>, 739–741.</w:t>
      </w:r>
    </w:p>
    <w:p w14:paraId="5AE0E37E" w14:textId="77777777" w:rsidR="0003173D" w:rsidRPr="00013F73" w:rsidRDefault="0003173D" w:rsidP="0003173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13F73">
        <w:rPr>
          <w:rFonts w:ascii="Times New Roman" w:eastAsia="Times New Roman" w:hAnsi="Times New Roman" w:cs="Times New Roman"/>
          <w:b/>
          <w:sz w:val="24"/>
          <w:szCs w:val="24"/>
        </w:rPr>
        <w:t>Foot-and-Mouth Disease Virus (FMDV)</w:t>
      </w:r>
    </w:p>
    <w:p w14:paraId="5A39BBE3" w14:textId="77777777" w:rsidR="0003173D" w:rsidRPr="0003173D" w:rsidRDefault="0003173D" w:rsidP="0003173D">
      <w:pPr>
        <w:pStyle w:val="Paragrafoelenco"/>
        <w:spacing w:after="0" w:line="240" w:lineRule="auto"/>
        <w:rPr>
          <w:rFonts w:asciiTheme="majorBidi" w:eastAsia="Times New Roman" w:hAnsiTheme="majorBidi" w:cstheme="majorBidi"/>
          <w:color w:val="000000"/>
          <w:sz w:val="24"/>
          <w:szCs w:val="24"/>
        </w:rPr>
      </w:pPr>
    </w:p>
    <w:p w14:paraId="269ED6BD" w14:textId="77777777" w:rsidR="0003173D" w:rsidRPr="0003173D" w:rsidRDefault="0003173D" w:rsidP="0003173D">
      <w:pPr>
        <w:pStyle w:val="Paragrafoelenco"/>
        <w:numPr>
          <w:ilvl w:val="0"/>
          <w:numId w:val="14"/>
        </w:numPr>
        <w:spacing w:after="0" w:line="240" w:lineRule="auto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03173D">
        <w:rPr>
          <w:rFonts w:asciiTheme="majorBidi" w:eastAsia="Times New Roman" w:hAnsiTheme="majorBidi" w:cstheme="majorBidi"/>
          <w:color w:val="000000"/>
          <w:sz w:val="24"/>
          <w:szCs w:val="24"/>
          <w:lang w:val="it-IT"/>
        </w:rPr>
        <w:t xml:space="preserve">Panina, G. F., et al. </w:t>
      </w:r>
      <w:r w:rsidRPr="0003173D">
        <w:rPr>
          <w:rFonts w:asciiTheme="majorBidi" w:eastAsia="Times New Roman" w:hAnsiTheme="majorBidi" w:cstheme="majorBidi"/>
          <w:color w:val="000000"/>
          <w:sz w:val="24"/>
          <w:szCs w:val="24"/>
        </w:rPr>
        <w:t>(1989b). Survival of foot and mouth disease virus in sausage meat products (Italian salami). International Journal of Food Microbiology, 8, 141–148.</w:t>
      </w:r>
    </w:p>
    <w:p w14:paraId="0EDA7C10" w14:textId="77777777" w:rsidR="0003173D" w:rsidRPr="0003173D" w:rsidRDefault="0003173D" w:rsidP="0003173D">
      <w:pPr>
        <w:pStyle w:val="Paragrafoelenco"/>
        <w:numPr>
          <w:ilvl w:val="0"/>
          <w:numId w:val="14"/>
        </w:numPr>
        <w:spacing w:after="0" w:line="240" w:lineRule="auto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03173D">
        <w:rPr>
          <w:rFonts w:asciiTheme="majorBidi" w:eastAsia="Times New Roman" w:hAnsiTheme="majorBidi" w:cstheme="majorBidi"/>
          <w:color w:val="000000"/>
          <w:sz w:val="24"/>
          <w:szCs w:val="24"/>
        </w:rPr>
        <w:t>Mebus, C. A., House, C., Ruiz Gonzalvo, F., Pineda, J. M., Tapiador, J., Pire, J. J., Bergada, J., Yedloutschnig, R. J., Sahu, S., Becerra, V., &amp; Sánchez-Vizcaíno, J. M. (1993). Survival of foot and mouth disease, African swine fever, and hog cholera viruses in Spanish Serrano cured hams and Iberian cured hams; shoulders and loins. Food Microbiology, 10, 133–143.</w:t>
      </w:r>
    </w:p>
    <w:p w14:paraId="67C30ECE" w14:textId="77777777" w:rsidR="0003173D" w:rsidRPr="0003173D" w:rsidRDefault="0003173D" w:rsidP="0003173D">
      <w:pPr>
        <w:pStyle w:val="Paragrafoelenco"/>
        <w:numPr>
          <w:ilvl w:val="0"/>
          <w:numId w:val="14"/>
        </w:numPr>
        <w:spacing w:after="0" w:line="240" w:lineRule="auto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03173D">
        <w:rPr>
          <w:rFonts w:asciiTheme="majorBidi" w:eastAsia="Times New Roman" w:hAnsiTheme="majorBidi" w:cstheme="majorBidi"/>
          <w:color w:val="000000"/>
          <w:sz w:val="24"/>
          <w:szCs w:val="24"/>
        </w:rPr>
        <w:t>French, N. P., Kelly, L., Jones, R., &amp; Clancy, D. (2002). Dose-response relationships for foot and mouth disease in cattle and sheep.</w:t>
      </w:r>
    </w:p>
    <w:p w14:paraId="21798D3D" w14:textId="77777777" w:rsidR="0003173D" w:rsidRPr="0003173D" w:rsidRDefault="0003173D" w:rsidP="0003173D">
      <w:pPr>
        <w:pStyle w:val="Paragrafoelenco"/>
        <w:numPr>
          <w:ilvl w:val="0"/>
          <w:numId w:val="14"/>
        </w:numPr>
        <w:spacing w:after="0" w:line="240" w:lineRule="auto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03173D">
        <w:rPr>
          <w:rFonts w:asciiTheme="majorBidi" w:eastAsia="Times New Roman" w:hAnsiTheme="majorBidi" w:cstheme="majorBidi"/>
          <w:color w:val="000000"/>
          <w:sz w:val="24"/>
          <w:szCs w:val="24"/>
        </w:rPr>
        <w:t>McKercher, P. D., et al. (1980). Thermal processing to inactivate viruses in meat products. Proceedings of the Annual Meeting of the U.S. Animal Health Association, 84, 320–328.</w:t>
      </w:r>
    </w:p>
    <w:p w14:paraId="6B4C0DC9" w14:textId="77777777" w:rsidR="0003173D" w:rsidRPr="0003173D" w:rsidRDefault="0003173D" w:rsidP="0003173D">
      <w:pPr>
        <w:pStyle w:val="Paragrafoelenco"/>
        <w:numPr>
          <w:ilvl w:val="0"/>
          <w:numId w:val="14"/>
        </w:numPr>
        <w:spacing w:after="0" w:line="240" w:lineRule="auto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03173D">
        <w:rPr>
          <w:rFonts w:asciiTheme="majorBidi" w:eastAsia="Times New Roman" w:hAnsiTheme="majorBidi" w:cstheme="majorBidi"/>
          <w:color w:val="000000"/>
          <w:sz w:val="24"/>
          <w:szCs w:val="24"/>
        </w:rPr>
        <w:t>Hyslop, N. (1973). Transmission of the virus of foot and mouth disease between animals and man. Bulletin of the World Health Organization, 49, 577–585.</w:t>
      </w:r>
    </w:p>
    <w:p w14:paraId="32BB789D" w14:textId="77777777" w:rsidR="0003173D" w:rsidRPr="0003173D" w:rsidRDefault="0003173D" w:rsidP="0003173D">
      <w:pPr>
        <w:pStyle w:val="Paragrafoelenco"/>
        <w:numPr>
          <w:ilvl w:val="0"/>
          <w:numId w:val="14"/>
        </w:numPr>
        <w:spacing w:after="0" w:line="240" w:lineRule="auto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03173D">
        <w:rPr>
          <w:rFonts w:asciiTheme="majorBidi" w:eastAsia="Times New Roman" w:hAnsiTheme="majorBidi" w:cstheme="majorBidi"/>
          <w:color w:val="000000"/>
          <w:sz w:val="24"/>
          <w:szCs w:val="24"/>
        </w:rPr>
        <w:t>Blackwell, J. H., et al. (1982). Effect of thermal processing on the survival of foot and mouth disease virus in ground meat. Journal of Food Science, 47, 388–392.</w:t>
      </w:r>
    </w:p>
    <w:p w14:paraId="4DD1A498" w14:textId="77777777" w:rsidR="0003173D" w:rsidRPr="0003173D" w:rsidRDefault="0003173D" w:rsidP="0003173D">
      <w:pPr>
        <w:pStyle w:val="Paragrafoelenco"/>
        <w:numPr>
          <w:ilvl w:val="0"/>
          <w:numId w:val="14"/>
        </w:numPr>
        <w:spacing w:after="0" w:line="240" w:lineRule="auto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03173D">
        <w:rPr>
          <w:rFonts w:asciiTheme="majorBidi" w:eastAsia="Times New Roman" w:hAnsiTheme="majorBidi" w:cstheme="majorBidi"/>
          <w:color w:val="000000"/>
          <w:sz w:val="24"/>
          <w:szCs w:val="24"/>
        </w:rPr>
        <w:t>Heidelbaugh, N. D., &amp; Graves, J. H. (1968). Effects of some techniques applicable in food processing on the infectivity of foot and mouth disease virus. Food Technology, 22, 120–124.</w:t>
      </w:r>
    </w:p>
    <w:p w14:paraId="56BDDB46" w14:textId="77777777" w:rsidR="0003173D" w:rsidRPr="0003173D" w:rsidRDefault="0003173D" w:rsidP="0003173D">
      <w:pPr>
        <w:pStyle w:val="Paragrafoelenco"/>
        <w:numPr>
          <w:ilvl w:val="0"/>
          <w:numId w:val="14"/>
        </w:numPr>
        <w:spacing w:after="0" w:line="240" w:lineRule="auto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03173D">
        <w:rPr>
          <w:rFonts w:asciiTheme="majorBidi" w:eastAsia="Times New Roman" w:hAnsiTheme="majorBidi" w:cstheme="majorBidi"/>
          <w:color w:val="000000"/>
          <w:sz w:val="24"/>
          <w:szCs w:val="24"/>
        </w:rPr>
        <w:t>Mielke, S. R., &amp; Garabed, R. (2020). Environmental persistence of foot-and-mouth disease virus applied to endemic regions. Transboundary and Emerging Diseases, 67, 543–554. https://doi.org/10.1111/tbed.13407</w:t>
      </w:r>
    </w:p>
    <w:p w14:paraId="4ABF4142" w14:textId="77777777" w:rsidR="0003173D" w:rsidRPr="0003173D" w:rsidRDefault="0003173D" w:rsidP="0003173D">
      <w:pPr>
        <w:pStyle w:val="Paragrafoelenco"/>
        <w:numPr>
          <w:ilvl w:val="0"/>
          <w:numId w:val="14"/>
        </w:numPr>
        <w:spacing w:after="0" w:line="240" w:lineRule="auto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03173D">
        <w:rPr>
          <w:rFonts w:asciiTheme="majorBidi" w:eastAsia="Times New Roman" w:hAnsiTheme="majorBidi" w:cstheme="majorBidi"/>
          <w:color w:val="000000"/>
          <w:sz w:val="24"/>
          <w:szCs w:val="24"/>
        </w:rPr>
        <w:t>Bartley, L. M., Donnelly, C. A., &amp; Anderson, R. M. (2002). Review of foot-and-mouth disease virus survival in animal excretions and on fomites. Veterinary Record, 151, 667–669.</w:t>
      </w:r>
    </w:p>
    <w:p w14:paraId="117B75AC" w14:textId="77777777" w:rsidR="0003173D" w:rsidRPr="0003173D" w:rsidRDefault="0003173D" w:rsidP="0003173D">
      <w:pPr>
        <w:pStyle w:val="Paragrafoelenco"/>
        <w:numPr>
          <w:ilvl w:val="0"/>
          <w:numId w:val="14"/>
        </w:numPr>
        <w:spacing w:after="0" w:line="240" w:lineRule="auto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03173D">
        <w:rPr>
          <w:rFonts w:asciiTheme="majorBidi" w:eastAsia="Times New Roman" w:hAnsiTheme="majorBidi" w:cstheme="majorBidi"/>
          <w:color w:val="000000"/>
          <w:sz w:val="24"/>
          <w:szCs w:val="24"/>
        </w:rPr>
        <w:t>Alexandersen, S., Quan, M., Murphy, C., Knight, J., &amp; Zhang, Z. (2003). Studies of quantitative parameters of virus excretion and transmission in pigs and cattle experimentally infected with foot-and-mouth disease virus. Journal of Comparative Pathology, 129, 268–282.</w:t>
      </w:r>
    </w:p>
    <w:p w14:paraId="79F43405" w14:textId="77777777" w:rsidR="0003173D" w:rsidRPr="0003173D" w:rsidRDefault="0003173D" w:rsidP="0003173D">
      <w:pPr>
        <w:pStyle w:val="Paragrafoelenco"/>
        <w:numPr>
          <w:ilvl w:val="0"/>
          <w:numId w:val="14"/>
        </w:numPr>
        <w:spacing w:after="0" w:line="240" w:lineRule="auto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03173D">
        <w:rPr>
          <w:rFonts w:asciiTheme="majorBidi" w:eastAsia="Times New Roman" w:hAnsiTheme="majorBidi" w:cstheme="majorBidi"/>
          <w:color w:val="000000"/>
          <w:sz w:val="24"/>
          <w:szCs w:val="24"/>
        </w:rPr>
        <w:t>DAFF (2012). Import risk analysis. Department of Agriculture, Fisheries and Forestry, Australia. Retrieved January 10, 2013, from http://www.daff.gov.au/ba/ira</w:t>
      </w:r>
    </w:p>
    <w:p w14:paraId="6B36B862" w14:textId="77777777" w:rsidR="0003173D" w:rsidRPr="0003173D" w:rsidRDefault="0003173D" w:rsidP="0003173D">
      <w:pPr>
        <w:pStyle w:val="Paragrafoelenco"/>
        <w:numPr>
          <w:ilvl w:val="0"/>
          <w:numId w:val="14"/>
        </w:numPr>
        <w:spacing w:after="0" w:line="240" w:lineRule="auto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03173D">
        <w:rPr>
          <w:rFonts w:asciiTheme="majorBidi" w:eastAsia="Times New Roman" w:hAnsiTheme="majorBidi" w:cstheme="majorBidi"/>
          <w:color w:val="000000"/>
          <w:sz w:val="24"/>
          <w:szCs w:val="24"/>
        </w:rPr>
        <w:t>Savi, P., et al. (1962). Présence et persistance du virus aphteux dans les viandes de porcins et de bovins et dans leurs produits. Bulletin Officiel International Epizooties, 57, 853–890.</w:t>
      </w:r>
    </w:p>
    <w:p w14:paraId="4C3305D9" w14:textId="77777777" w:rsidR="0003173D" w:rsidRPr="0003173D" w:rsidRDefault="0003173D" w:rsidP="0003173D">
      <w:pPr>
        <w:pStyle w:val="Paragrafoelenco"/>
        <w:numPr>
          <w:ilvl w:val="0"/>
          <w:numId w:val="14"/>
        </w:numPr>
        <w:spacing w:after="0" w:line="240" w:lineRule="auto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03173D">
        <w:rPr>
          <w:rFonts w:asciiTheme="majorBidi" w:eastAsia="Times New Roman" w:hAnsiTheme="majorBidi" w:cstheme="majorBidi"/>
          <w:color w:val="000000"/>
          <w:sz w:val="24"/>
          <w:szCs w:val="24"/>
        </w:rPr>
        <w:t>Alexandersen, S., Oleksiewicz, M. B., &amp; Donaldson, A. I. (2001). The early pathogenesis of foot and mouth disease in pigs infected by contact: A quantitative time-course study using TaqMan RT-PCR. Journal of General Virology, 82, 747–755.</w:t>
      </w:r>
    </w:p>
    <w:p w14:paraId="62486C05" w14:textId="77777777" w:rsidR="0003173D" w:rsidRPr="0003173D" w:rsidRDefault="0003173D" w:rsidP="0003173D">
      <w:pPr>
        <w:pStyle w:val="Paragrafoelenco"/>
        <w:spacing w:after="0" w:line="240" w:lineRule="auto"/>
        <w:rPr>
          <w:rFonts w:asciiTheme="majorBidi" w:eastAsia="Times New Roman" w:hAnsiTheme="majorBidi" w:cstheme="majorBidi"/>
          <w:color w:val="000000"/>
          <w:sz w:val="24"/>
          <w:szCs w:val="24"/>
        </w:rPr>
      </w:pPr>
    </w:p>
    <w:p w14:paraId="181E25B8" w14:textId="77777777" w:rsidR="0003173D" w:rsidRPr="0003173D" w:rsidRDefault="0003173D" w:rsidP="0003173D">
      <w:pPr>
        <w:pStyle w:val="Paragrafoelenco"/>
        <w:numPr>
          <w:ilvl w:val="0"/>
          <w:numId w:val="14"/>
        </w:numPr>
        <w:spacing w:after="0" w:line="240" w:lineRule="auto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03173D">
        <w:rPr>
          <w:rFonts w:asciiTheme="majorBidi" w:eastAsia="Times New Roman" w:hAnsiTheme="majorBidi" w:cstheme="majorBidi"/>
          <w:color w:val="000000"/>
          <w:sz w:val="24"/>
          <w:szCs w:val="24"/>
        </w:rPr>
        <w:lastRenderedPageBreak/>
        <w:t>Sharma, S. K., &amp; Murty, D. K. (1981). Foot and mouth disease in sheep: Pattern of virus excretion and distribution in experimentally infected animals. Indian Journal of Animal Science, 51(1), 61–66.</w:t>
      </w:r>
    </w:p>
    <w:p w14:paraId="4FBE202F" w14:textId="77777777" w:rsidR="0003173D" w:rsidRPr="0003173D" w:rsidRDefault="0003173D" w:rsidP="0003173D">
      <w:pPr>
        <w:pStyle w:val="Paragrafoelenco"/>
        <w:numPr>
          <w:ilvl w:val="0"/>
          <w:numId w:val="14"/>
        </w:numPr>
        <w:spacing w:after="0" w:line="240" w:lineRule="auto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03173D">
        <w:rPr>
          <w:rFonts w:asciiTheme="majorBidi" w:eastAsia="Times New Roman" w:hAnsiTheme="majorBidi" w:cstheme="majorBidi"/>
          <w:color w:val="000000"/>
          <w:sz w:val="24"/>
          <w:szCs w:val="24"/>
        </w:rPr>
        <w:t>Gailiunas, P., &amp; Cottral, G. E. (1966). Presence and persistence of foot-and-mouth disease virus in bovine skin. Journal of Bacteriology, 91(6), 2333–2338.</w:t>
      </w:r>
    </w:p>
    <w:p w14:paraId="72F9C0E4" w14:textId="77777777" w:rsidR="0003173D" w:rsidRPr="0003173D" w:rsidRDefault="0003173D" w:rsidP="0003173D">
      <w:pPr>
        <w:pStyle w:val="Paragrafoelenco"/>
        <w:numPr>
          <w:ilvl w:val="0"/>
          <w:numId w:val="14"/>
        </w:numPr>
        <w:spacing w:after="0" w:line="240" w:lineRule="auto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03173D">
        <w:rPr>
          <w:rFonts w:asciiTheme="majorBidi" w:eastAsia="Times New Roman" w:hAnsiTheme="majorBidi" w:cstheme="majorBidi"/>
          <w:color w:val="000000"/>
          <w:sz w:val="24"/>
          <w:szCs w:val="24"/>
        </w:rPr>
        <w:t>Cottral, G. E. (1969). Persistence of foot and mouth disease virus in animals, their products, and the environment. Bulletin of the Office International Epizooties, 71(3–4), 549–568.</w:t>
      </w:r>
    </w:p>
    <w:p w14:paraId="178D37BB" w14:textId="77777777" w:rsidR="0003173D" w:rsidRPr="0003173D" w:rsidRDefault="0003173D" w:rsidP="0003173D">
      <w:pPr>
        <w:pStyle w:val="Paragrafoelenco"/>
        <w:numPr>
          <w:ilvl w:val="0"/>
          <w:numId w:val="14"/>
        </w:numPr>
        <w:spacing w:after="0" w:line="240" w:lineRule="auto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03173D">
        <w:rPr>
          <w:rFonts w:asciiTheme="majorBidi" w:eastAsia="Times New Roman" w:hAnsiTheme="majorBidi" w:cstheme="majorBidi"/>
          <w:color w:val="000000"/>
          <w:sz w:val="24"/>
          <w:szCs w:val="24"/>
        </w:rPr>
        <w:t>Sellers, R. F. (1969). Inactivation of foot-and-mouth disease virus in milk. British Veterinary Journal, 125, 163–167.</w:t>
      </w:r>
    </w:p>
    <w:p w14:paraId="55F6B945" w14:textId="77777777" w:rsidR="0003173D" w:rsidRPr="0003173D" w:rsidRDefault="0003173D" w:rsidP="0003173D">
      <w:pPr>
        <w:pStyle w:val="Paragrafoelenco"/>
        <w:numPr>
          <w:ilvl w:val="0"/>
          <w:numId w:val="14"/>
        </w:numPr>
        <w:spacing w:after="0" w:line="240" w:lineRule="auto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03173D">
        <w:rPr>
          <w:rFonts w:asciiTheme="majorBidi" w:eastAsia="Times New Roman" w:hAnsiTheme="majorBidi" w:cstheme="majorBidi"/>
          <w:color w:val="000000"/>
          <w:sz w:val="24"/>
          <w:szCs w:val="24"/>
        </w:rPr>
        <w:t>Blackwell, J. H. (1978). Persistence of foot-and-mouth disease virus in butter and butter oil. Journal of Dairy Research, 45, 283–285.</w:t>
      </w:r>
    </w:p>
    <w:p w14:paraId="4A7A6A7B" w14:textId="77777777" w:rsidR="0003173D" w:rsidRPr="0003173D" w:rsidRDefault="0003173D" w:rsidP="0003173D">
      <w:pPr>
        <w:pStyle w:val="Paragrafoelenco"/>
        <w:numPr>
          <w:ilvl w:val="0"/>
          <w:numId w:val="14"/>
        </w:numPr>
        <w:spacing w:after="0" w:line="240" w:lineRule="auto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03173D">
        <w:rPr>
          <w:rFonts w:asciiTheme="majorBidi" w:eastAsia="Times New Roman" w:hAnsiTheme="majorBidi" w:cstheme="majorBidi"/>
          <w:color w:val="000000"/>
          <w:sz w:val="24"/>
          <w:szCs w:val="24"/>
        </w:rPr>
        <w:t>Blackwell, J. H., &amp; Hyde, J. L. (1976). Effect of heat on foot-and-mouth disease virus in the components of milk from FMDV-infected cows. Journal of Hygiene (Cambridge), 77, 77–83.</w:t>
      </w:r>
    </w:p>
    <w:p w14:paraId="19E1EB23" w14:textId="77777777" w:rsidR="0003173D" w:rsidRPr="0003173D" w:rsidRDefault="0003173D" w:rsidP="0003173D">
      <w:pPr>
        <w:pStyle w:val="Paragrafoelenco"/>
        <w:numPr>
          <w:ilvl w:val="0"/>
          <w:numId w:val="14"/>
        </w:numPr>
        <w:spacing w:after="0" w:line="240" w:lineRule="auto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03173D">
        <w:rPr>
          <w:rFonts w:asciiTheme="majorBidi" w:eastAsia="Times New Roman" w:hAnsiTheme="majorBidi" w:cstheme="majorBidi"/>
          <w:color w:val="000000"/>
          <w:sz w:val="24"/>
          <w:szCs w:val="24"/>
        </w:rPr>
        <w:t>Blackwell, J. H. (1976). Survival of foot and mouth disease virus in cheese. Journal of Dairy Science, 59, 1574–1579.</w:t>
      </w:r>
    </w:p>
    <w:p w14:paraId="5AFD03DD" w14:textId="77777777" w:rsidR="0003173D" w:rsidRPr="0003173D" w:rsidRDefault="0003173D" w:rsidP="0003173D">
      <w:pPr>
        <w:pStyle w:val="Paragrafoelenco"/>
        <w:numPr>
          <w:ilvl w:val="0"/>
          <w:numId w:val="14"/>
        </w:numPr>
        <w:spacing w:after="0" w:line="240" w:lineRule="auto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03173D">
        <w:rPr>
          <w:rFonts w:asciiTheme="majorBidi" w:eastAsia="Times New Roman" w:hAnsiTheme="majorBidi" w:cstheme="majorBidi"/>
          <w:color w:val="000000"/>
          <w:sz w:val="24"/>
          <w:szCs w:val="24"/>
        </w:rPr>
        <w:t>Cunliffe, H. R., &amp; Blackwell, J. H. (1977). Survival of foot-and-mouth disease virus in casein and sodium caseinate produced from the milk of infected cows. Journal of Food Protection, 40(6), 389–392.</w:t>
      </w:r>
    </w:p>
    <w:p w14:paraId="003B3AEE" w14:textId="77777777" w:rsidR="0003173D" w:rsidRPr="0003173D" w:rsidRDefault="0003173D" w:rsidP="0003173D">
      <w:pPr>
        <w:pStyle w:val="Paragrafoelenco"/>
        <w:numPr>
          <w:ilvl w:val="0"/>
          <w:numId w:val="14"/>
        </w:numPr>
        <w:spacing w:after="0" w:line="240" w:lineRule="auto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03173D">
        <w:rPr>
          <w:rFonts w:asciiTheme="majorBidi" w:eastAsia="Times New Roman" w:hAnsiTheme="majorBidi" w:cstheme="majorBidi"/>
          <w:color w:val="000000"/>
          <w:sz w:val="24"/>
          <w:szCs w:val="24"/>
        </w:rPr>
        <w:t>Leeuw, P. W. de, Tiessink, J. W. A., &amp; Van Bekkum, J. G. (1980). Aspects of heat inactivation of foot-and-mouth disease virus in milk from intramammarily infected susceptible cows. Journal of Hygiene (Cambridge), 84, 159–172.</w:t>
      </w:r>
    </w:p>
    <w:p w14:paraId="7D22B820" w14:textId="77777777" w:rsidR="0003173D" w:rsidRPr="0003173D" w:rsidRDefault="0003173D" w:rsidP="0003173D">
      <w:pPr>
        <w:pStyle w:val="Paragrafoelenco"/>
        <w:numPr>
          <w:ilvl w:val="0"/>
          <w:numId w:val="14"/>
        </w:numPr>
        <w:spacing w:after="0" w:line="240" w:lineRule="auto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03173D">
        <w:rPr>
          <w:rFonts w:asciiTheme="majorBidi" w:eastAsia="Times New Roman" w:hAnsiTheme="majorBidi" w:cstheme="majorBidi"/>
          <w:color w:val="000000"/>
          <w:sz w:val="24"/>
          <w:szCs w:val="24"/>
        </w:rPr>
        <w:t>Hyde, J. L., Blackwell, J. H., &amp; Callis, J. J. (1975). Effect of pasteurization and evaporation on foot-and-mouth disease virus in whole milk from infected cows. Canadian Journal of Comparative Medicine, 39(3), 305–309.</w:t>
      </w:r>
    </w:p>
    <w:p w14:paraId="3627E54D" w14:textId="77777777" w:rsidR="0003173D" w:rsidRPr="0003173D" w:rsidRDefault="0003173D" w:rsidP="0003173D">
      <w:pPr>
        <w:pStyle w:val="Paragrafoelenco"/>
        <w:numPr>
          <w:ilvl w:val="0"/>
          <w:numId w:val="14"/>
        </w:numPr>
        <w:spacing w:after="0" w:line="240" w:lineRule="auto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03173D">
        <w:rPr>
          <w:rFonts w:asciiTheme="majorBidi" w:eastAsia="Times New Roman" w:hAnsiTheme="majorBidi" w:cstheme="majorBidi"/>
          <w:color w:val="000000"/>
          <w:sz w:val="24"/>
          <w:szCs w:val="24"/>
        </w:rPr>
        <w:t>Bronsvoort, B. D. C., Nfon, C., Hamman, S. M., Tanya, V. N., Kitching, R. P., &amp; Morgan, K. L. (2004). Risk factors for herdsman-reported foot-and-mouth disease in the Adamawa Province of Cameroon. Preventive Veterinary Medicine, 66(1–4), 127–139.</w:t>
      </w:r>
    </w:p>
    <w:p w14:paraId="5115B4AA" w14:textId="77777777" w:rsidR="0003173D" w:rsidRPr="0003173D" w:rsidRDefault="0003173D" w:rsidP="0003173D">
      <w:pPr>
        <w:pStyle w:val="Paragrafoelenco"/>
        <w:numPr>
          <w:ilvl w:val="0"/>
          <w:numId w:val="14"/>
        </w:numPr>
        <w:spacing w:after="0" w:line="240" w:lineRule="auto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03173D">
        <w:rPr>
          <w:rFonts w:asciiTheme="majorBidi" w:eastAsia="Times New Roman" w:hAnsiTheme="majorBidi" w:cstheme="majorBidi"/>
          <w:color w:val="000000"/>
          <w:sz w:val="24"/>
          <w:szCs w:val="24"/>
        </w:rPr>
        <w:t>Pharo, H. J. (2002). Foot-and-mouth disease: An assessment of the risks facing New Zealand. New Zealand Veterinary Journal, 50, 46–55.</w:t>
      </w:r>
    </w:p>
    <w:p w14:paraId="4BDADFCF" w14:textId="77777777" w:rsidR="0003173D" w:rsidRPr="0003173D" w:rsidRDefault="0003173D" w:rsidP="0003173D">
      <w:pPr>
        <w:pStyle w:val="Paragrafoelenco"/>
        <w:numPr>
          <w:ilvl w:val="0"/>
          <w:numId w:val="14"/>
        </w:numPr>
        <w:spacing w:after="0" w:line="240" w:lineRule="auto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03173D">
        <w:rPr>
          <w:rFonts w:asciiTheme="majorBidi" w:eastAsia="Times New Roman" w:hAnsiTheme="majorBidi" w:cstheme="majorBidi"/>
          <w:color w:val="000000"/>
          <w:sz w:val="24"/>
          <w:szCs w:val="24"/>
        </w:rPr>
        <w:t>Henderson, W. M., &amp; Brooksby, B. (1948). The survival of foot-and-mouth disease virus in meat and offal. Journal of Hygiene (London), 46(4), 394–402.</w:t>
      </w:r>
    </w:p>
    <w:p w14:paraId="6FBC5575" w14:textId="77777777" w:rsidR="0003173D" w:rsidRPr="0003173D" w:rsidRDefault="0003173D" w:rsidP="0003173D">
      <w:pPr>
        <w:pStyle w:val="Paragrafoelenco"/>
        <w:numPr>
          <w:ilvl w:val="0"/>
          <w:numId w:val="14"/>
        </w:numPr>
        <w:spacing w:after="0" w:line="240" w:lineRule="auto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03173D">
        <w:rPr>
          <w:rFonts w:asciiTheme="majorBidi" w:eastAsia="Times New Roman" w:hAnsiTheme="majorBidi" w:cstheme="majorBidi"/>
          <w:color w:val="000000"/>
          <w:sz w:val="24"/>
          <w:szCs w:val="24"/>
        </w:rPr>
        <w:t>Hyslop, N. (1970). The epizootiology and epidemiology of foot and mouth disease. Advances in Veterinary Science and Comparative Medicine, 14, 261–307.</w:t>
      </w:r>
    </w:p>
    <w:p w14:paraId="46C0B862" w14:textId="77777777" w:rsidR="0003173D" w:rsidRPr="0003173D" w:rsidRDefault="0003173D" w:rsidP="0003173D">
      <w:pPr>
        <w:pStyle w:val="Paragrafoelenco"/>
        <w:numPr>
          <w:ilvl w:val="0"/>
          <w:numId w:val="14"/>
        </w:numPr>
        <w:spacing w:after="0" w:line="240" w:lineRule="auto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03173D">
        <w:rPr>
          <w:rFonts w:asciiTheme="majorBidi" w:eastAsia="Times New Roman" w:hAnsiTheme="majorBidi" w:cstheme="majorBidi"/>
          <w:color w:val="000000"/>
          <w:sz w:val="24"/>
          <w:szCs w:val="24"/>
        </w:rPr>
        <w:t>Gubbins, S., Forster, J., Clive, S., Schley, D., Zuber, S., Schaaf, J., &amp; Corley, D. (2016). Thermal inactivation of foot and mouth disease virus in extruded pet food. Rev. Sci. Tech. Int. Epiz., 35(3), 965–972.</w:t>
      </w:r>
    </w:p>
    <w:p w14:paraId="1F7B2E66" w14:textId="77777777" w:rsidR="0003173D" w:rsidRPr="0003173D" w:rsidRDefault="0003173D" w:rsidP="0003173D">
      <w:pPr>
        <w:pStyle w:val="Paragrafoelenco"/>
        <w:numPr>
          <w:ilvl w:val="0"/>
          <w:numId w:val="14"/>
        </w:numPr>
        <w:spacing w:after="0" w:line="240" w:lineRule="auto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03173D">
        <w:rPr>
          <w:rFonts w:asciiTheme="majorBidi" w:eastAsia="Times New Roman" w:hAnsiTheme="majorBidi" w:cstheme="majorBidi"/>
          <w:color w:val="000000"/>
          <w:sz w:val="24"/>
          <w:szCs w:val="24"/>
        </w:rPr>
        <w:t>Chou, C. C., &amp; Yang, S. E. (2004). Inactivation and degradation of O Taiwan 97 foot-and-mouth disease virus in pork sausage processing. Food Microbiology, 21, 737–742.</w:t>
      </w:r>
    </w:p>
    <w:p w14:paraId="71C0CD18" w14:textId="77777777" w:rsidR="0003173D" w:rsidRPr="0003173D" w:rsidRDefault="0003173D" w:rsidP="0003173D">
      <w:pPr>
        <w:pStyle w:val="Paragrafoelenco"/>
        <w:numPr>
          <w:ilvl w:val="0"/>
          <w:numId w:val="14"/>
        </w:numPr>
        <w:spacing w:after="0" w:line="240" w:lineRule="auto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03173D">
        <w:rPr>
          <w:rFonts w:asciiTheme="majorBidi" w:eastAsia="Times New Roman" w:hAnsiTheme="majorBidi" w:cstheme="majorBidi"/>
          <w:color w:val="000000"/>
          <w:sz w:val="24"/>
          <w:szCs w:val="24"/>
        </w:rPr>
        <w:t>Farez, S., &amp; Morley, R. S. (1997). Potential animal health hazards of pork and pork products. OIE Scientific and Technical Review, 16, 65–78.</w:t>
      </w:r>
    </w:p>
    <w:p w14:paraId="44B4F426" w14:textId="77777777" w:rsidR="0003173D" w:rsidRPr="0003173D" w:rsidRDefault="0003173D" w:rsidP="0003173D">
      <w:pPr>
        <w:pStyle w:val="Paragrafoelenco"/>
        <w:numPr>
          <w:ilvl w:val="0"/>
          <w:numId w:val="14"/>
        </w:numPr>
        <w:spacing w:after="0" w:line="240" w:lineRule="auto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03173D">
        <w:rPr>
          <w:rFonts w:asciiTheme="majorBidi" w:eastAsia="Times New Roman" w:hAnsiTheme="majorBidi" w:cstheme="majorBidi"/>
          <w:color w:val="000000"/>
          <w:sz w:val="24"/>
          <w:szCs w:val="24"/>
        </w:rPr>
        <w:t>Bachrach, H. L., Breese, S. S., Callis, J. J., Hess, W. R., &amp; Patty, R. E. (1957). Inactivation of foot and mouth disease virus by pH and temperature changes and by formaldehyde. Proceedings of the Society for Experimental Biology, 95, 147–152.</w:t>
      </w:r>
    </w:p>
    <w:p w14:paraId="2D2AAB65" w14:textId="77777777" w:rsidR="0003173D" w:rsidRPr="0003173D" w:rsidRDefault="0003173D" w:rsidP="0003173D">
      <w:pPr>
        <w:pStyle w:val="Paragrafoelenco"/>
        <w:numPr>
          <w:ilvl w:val="0"/>
          <w:numId w:val="14"/>
        </w:numPr>
        <w:spacing w:after="0" w:line="240" w:lineRule="auto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03173D">
        <w:rPr>
          <w:rFonts w:asciiTheme="majorBidi" w:eastAsia="Times New Roman" w:hAnsiTheme="majorBidi" w:cstheme="majorBidi"/>
          <w:color w:val="000000"/>
          <w:sz w:val="24"/>
          <w:szCs w:val="24"/>
        </w:rPr>
        <w:t>CEC (1986). Investigation on the possible effect of electrical stimulation on pH and survival of foot-and-mouth disease virus in meat and offals from experimentally infected animals. Commission of the European Communities, Directorate-General for Agriculture. Report No CEC - EUR 10048.</w:t>
      </w:r>
    </w:p>
    <w:p w14:paraId="08CE6F91" w14:textId="77777777" w:rsidR="0003173D" w:rsidRPr="0003173D" w:rsidRDefault="0003173D" w:rsidP="0003173D">
      <w:pPr>
        <w:pStyle w:val="Paragrafoelenco"/>
        <w:spacing w:after="0" w:line="240" w:lineRule="auto"/>
        <w:rPr>
          <w:rFonts w:asciiTheme="majorBidi" w:eastAsia="Times New Roman" w:hAnsiTheme="majorBidi" w:cstheme="majorBidi"/>
          <w:color w:val="000000"/>
          <w:sz w:val="24"/>
          <w:szCs w:val="24"/>
        </w:rPr>
      </w:pPr>
    </w:p>
    <w:p w14:paraId="19BEB1CA" w14:textId="77777777" w:rsidR="0003173D" w:rsidRPr="0003173D" w:rsidRDefault="0003173D" w:rsidP="0003173D">
      <w:pPr>
        <w:pStyle w:val="Paragrafoelenco"/>
        <w:numPr>
          <w:ilvl w:val="0"/>
          <w:numId w:val="14"/>
        </w:numPr>
        <w:spacing w:after="0" w:line="240" w:lineRule="auto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03173D">
        <w:rPr>
          <w:rFonts w:asciiTheme="majorBidi" w:eastAsia="Times New Roman" w:hAnsiTheme="majorBidi" w:cstheme="majorBidi"/>
          <w:color w:val="000000"/>
          <w:sz w:val="24"/>
          <w:szCs w:val="24"/>
        </w:rPr>
        <w:lastRenderedPageBreak/>
        <w:t>USDA (2002). Risk assessment – Importation of fresh (chilled or frozen) beef from Uruguay. Animal Plant Health Inspection Service, United States Department of Agriculture. Retrieved from https://web01.aphis.usda.gov/db/mtaddr.nsf</w:t>
      </w:r>
    </w:p>
    <w:p w14:paraId="013346CE" w14:textId="77777777" w:rsidR="0003173D" w:rsidRPr="0003173D" w:rsidRDefault="0003173D" w:rsidP="0003173D">
      <w:pPr>
        <w:pStyle w:val="Paragrafoelenco"/>
        <w:numPr>
          <w:ilvl w:val="0"/>
          <w:numId w:val="14"/>
        </w:numPr>
        <w:spacing w:after="0" w:line="240" w:lineRule="auto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03173D">
        <w:rPr>
          <w:rFonts w:asciiTheme="majorBidi" w:eastAsia="Times New Roman" w:hAnsiTheme="majorBidi" w:cstheme="majorBidi"/>
          <w:color w:val="000000"/>
          <w:sz w:val="24"/>
          <w:szCs w:val="24"/>
        </w:rPr>
        <w:t>Ryan, E., Mackay, D., &amp; Donaldson, A. (2008). Foot-and-mouth disease virus concentrations in products of animal origin. Transboundary and Emerging Diseases, 55(2), 89–98.</w:t>
      </w:r>
    </w:p>
    <w:p w14:paraId="765CD00A" w14:textId="77777777" w:rsidR="0003173D" w:rsidRPr="0003173D" w:rsidRDefault="0003173D" w:rsidP="0003173D">
      <w:pPr>
        <w:pStyle w:val="Paragrafoelenco"/>
        <w:numPr>
          <w:ilvl w:val="0"/>
          <w:numId w:val="14"/>
        </w:numPr>
        <w:spacing w:after="0" w:line="240" w:lineRule="auto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03173D">
        <w:rPr>
          <w:rFonts w:asciiTheme="majorBidi" w:eastAsia="Times New Roman" w:hAnsiTheme="majorBidi" w:cstheme="majorBidi"/>
          <w:color w:val="000000"/>
          <w:sz w:val="24"/>
          <w:szCs w:val="24"/>
        </w:rPr>
        <w:t>Callis, J. J. (1996). Evaluation of the presence and risk of foot and mouth disease virus by commodity in international trade. Revue Scientifique et Technique, 15(3), 1075–1085.</w:t>
      </w:r>
    </w:p>
    <w:p w14:paraId="2AB36C39" w14:textId="77777777" w:rsidR="0003173D" w:rsidRPr="0003173D" w:rsidRDefault="0003173D" w:rsidP="0003173D">
      <w:pPr>
        <w:pStyle w:val="Paragrafoelenco"/>
        <w:numPr>
          <w:ilvl w:val="0"/>
          <w:numId w:val="14"/>
        </w:numPr>
        <w:spacing w:after="0" w:line="240" w:lineRule="auto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03173D">
        <w:rPr>
          <w:rFonts w:asciiTheme="majorBidi" w:eastAsia="Times New Roman" w:hAnsiTheme="majorBidi" w:cstheme="majorBidi"/>
          <w:color w:val="000000"/>
          <w:sz w:val="24"/>
          <w:szCs w:val="24"/>
        </w:rPr>
        <w:t>Cunliffe, H. R., &amp; Blackwell, J. H. (1977). Survival of foot-and-mouth disease virus in casein and sodium caseinate produced from the milk of infected cows. Journal of Food Protection, 40(6), 389–392.</w:t>
      </w:r>
    </w:p>
    <w:p w14:paraId="44020AD3" w14:textId="77777777" w:rsidR="0003173D" w:rsidRPr="0003173D" w:rsidRDefault="0003173D" w:rsidP="0003173D">
      <w:pPr>
        <w:pStyle w:val="Paragrafoelenco"/>
        <w:numPr>
          <w:ilvl w:val="0"/>
          <w:numId w:val="14"/>
        </w:numPr>
        <w:spacing w:after="0" w:line="240" w:lineRule="auto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03173D">
        <w:rPr>
          <w:rFonts w:asciiTheme="majorBidi" w:eastAsia="Times New Roman" w:hAnsiTheme="majorBidi" w:cstheme="majorBidi"/>
          <w:color w:val="000000"/>
          <w:sz w:val="24"/>
          <w:szCs w:val="24"/>
        </w:rPr>
        <w:t>Cunliffe, H. R., Blackwell, J. H., &amp; Walker, J. S. (1978). Persistence of foot-and-mouth disease virus in dried casein. Journal of Food Protection, 41, 706–707.</w:t>
      </w:r>
    </w:p>
    <w:p w14:paraId="07547A01" w14:textId="77777777" w:rsidR="0003173D" w:rsidRPr="0003173D" w:rsidRDefault="0003173D" w:rsidP="0003173D">
      <w:pPr>
        <w:spacing w:after="0" w:line="240" w:lineRule="auto"/>
        <w:rPr>
          <w:rFonts w:asciiTheme="majorBidi" w:eastAsia="Times New Roman" w:hAnsiTheme="majorBidi" w:cstheme="majorBidi"/>
          <w:color w:val="000000"/>
          <w:sz w:val="24"/>
          <w:szCs w:val="24"/>
        </w:rPr>
      </w:pPr>
    </w:p>
    <w:p w14:paraId="15EDAF50" w14:textId="77777777" w:rsidR="0003173D" w:rsidRPr="00013F73" w:rsidRDefault="0003173D" w:rsidP="0003173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13F73">
        <w:rPr>
          <w:rFonts w:ascii="Times New Roman" w:eastAsia="Times New Roman" w:hAnsi="Times New Roman" w:cs="Times New Roman"/>
          <w:b/>
          <w:bCs/>
          <w:sz w:val="24"/>
          <w:szCs w:val="24"/>
        </w:rPr>
        <w:t>Swine Vesicular Disease Virus (SVDV)</w:t>
      </w:r>
    </w:p>
    <w:p w14:paraId="5043CB0F" w14:textId="77777777" w:rsidR="0003173D" w:rsidRPr="0003173D" w:rsidRDefault="0003173D" w:rsidP="0003173D">
      <w:pPr>
        <w:pStyle w:val="Paragrafoelenco"/>
        <w:spacing w:after="0" w:line="240" w:lineRule="auto"/>
        <w:rPr>
          <w:rFonts w:asciiTheme="majorBidi" w:eastAsia="Times New Roman" w:hAnsiTheme="majorBidi" w:cstheme="majorBidi"/>
          <w:color w:val="000000"/>
          <w:sz w:val="24"/>
          <w:szCs w:val="24"/>
        </w:rPr>
      </w:pPr>
    </w:p>
    <w:p w14:paraId="71451E50" w14:textId="77777777" w:rsidR="0003173D" w:rsidRPr="0003173D" w:rsidRDefault="0003173D" w:rsidP="0003173D">
      <w:pPr>
        <w:pStyle w:val="Paragrafoelenco"/>
        <w:numPr>
          <w:ilvl w:val="0"/>
          <w:numId w:val="14"/>
        </w:numPr>
        <w:spacing w:after="0" w:line="240" w:lineRule="auto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03173D">
        <w:rPr>
          <w:rFonts w:asciiTheme="majorBidi" w:eastAsia="Times New Roman" w:hAnsiTheme="majorBidi" w:cstheme="majorBidi"/>
          <w:color w:val="000000"/>
          <w:sz w:val="24"/>
          <w:szCs w:val="24"/>
        </w:rPr>
        <w:t>Dekker, A., Moonen, P., de Boer-Luijtze, E. A., &amp; Terpstra, C. (2000). Pathogenesis of swine vesicular disease after exposure of pigs to an infected environment. Veterinary Microbiology, 45, 243–250.</w:t>
      </w:r>
    </w:p>
    <w:p w14:paraId="4938A864" w14:textId="77777777" w:rsidR="0003173D" w:rsidRPr="0003173D" w:rsidRDefault="0003173D" w:rsidP="0003173D">
      <w:pPr>
        <w:pStyle w:val="Paragrafoelenco"/>
        <w:numPr>
          <w:ilvl w:val="0"/>
          <w:numId w:val="14"/>
        </w:numPr>
        <w:spacing w:after="0" w:line="240" w:lineRule="auto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03173D">
        <w:rPr>
          <w:rFonts w:asciiTheme="majorBidi" w:eastAsia="Times New Roman" w:hAnsiTheme="majorBidi" w:cstheme="majorBidi"/>
          <w:color w:val="000000"/>
          <w:sz w:val="24"/>
          <w:szCs w:val="24"/>
        </w:rPr>
        <w:t>Dekker, A. (2000). Swine vesicular disease: Studies on pathogenesis, diagnosis, and epizootiology – A review. Veterinary, 22(4), 189–192.</w:t>
      </w:r>
    </w:p>
    <w:p w14:paraId="5DD1E86E" w14:textId="77777777" w:rsidR="0003173D" w:rsidRPr="0003173D" w:rsidRDefault="0003173D" w:rsidP="0003173D">
      <w:pPr>
        <w:pStyle w:val="Paragrafoelenco"/>
        <w:numPr>
          <w:ilvl w:val="0"/>
          <w:numId w:val="14"/>
        </w:numPr>
        <w:spacing w:after="0" w:line="240" w:lineRule="auto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03173D">
        <w:rPr>
          <w:rFonts w:asciiTheme="majorBidi" w:eastAsia="Times New Roman" w:hAnsiTheme="majorBidi" w:cstheme="majorBidi"/>
          <w:color w:val="000000"/>
          <w:sz w:val="24"/>
          <w:szCs w:val="24"/>
        </w:rPr>
        <w:t>Dawe, P. S. (1974). Viability of swine vesicular disease in carcasses and faeces. Veterinary Record, 94(430).</w:t>
      </w:r>
    </w:p>
    <w:p w14:paraId="352407C9" w14:textId="77777777" w:rsidR="0003173D" w:rsidRPr="0003173D" w:rsidRDefault="0003173D" w:rsidP="0003173D">
      <w:pPr>
        <w:pStyle w:val="Paragrafoelenco"/>
        <w:numPr>
          <w:ilvl w:val="0"/>
          <w:numId w:val="14"/>
        </w:numPr>
        <w:spacing w:after="0" w:line="240" w:lineRule="auto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03173D">
        <w:rPr>
          <w:rFonts w:asciiTheme="majorBidi" w:eastAsia="Times New Roman" w:hAnsiTheme="majorBidi" w:cstheme="majorBidi"/>
          <w:color w:val="000000"/>
          <w:sz w:val="24"/>
          <w:szCs w:val="24"/>
        </w:rPr>
        <w:t>Frescura, T. (1976). Studies on the isolation and persistence of swine vesicular disease virus in meat and meat products. Bulletin of the Office International Epizooties, 86, 411–421.</w:t>
      </w:r>
    </w:p>
    <w:p w14:paraId="25CF1B69" w14:textId="77777777" w:rsidR="0003173D" w:rsidRPr="0003173D" w:rsidRDefault="0003173D" w:rsidP="0003173D">
      <w:pPr>
        <w:pStyle w:val="Paragrafoelenco"/>
        <w:numPr>
          <w:ilvl w:val="0"/>
          <w:numId w:val="14"/>
        </w:numPr>
        <w:spacing w:after="0" w:line="240" w:lineRule="auto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03173D">
        <w:rPr>
          <w:rFonts w:asciiTheme="majorBidi" w:eastAsia="Times New Roman" w:hAnsiTheme="majorBidi" w:cstheme="majorBidi"/>
          <w:color w:val="000000"/>
          <w:sz w:val="24"/>
          <w:szCs w:val="24"/>
          <w:lang w:val="it-IT"/>
        </w:rPr>
        <w:t xml:space="preserve">McKercher, P. D., et al. (1985). Survival of swine vesicular disease virus in “Prosciutto di Parma” (Parma Ham). </w:t>
      </w:r>
      <w:r w:rsidRPr="0003173D">
        <w:rPr>
          <w:rFonts w:asciiTheme="majorBidi" w:eastAsia="Times New Roman" w:hAnsiTheme="majorBidi" w:cstheme="majorBidi"/>
          <w:color w:val="000000"/>
          <w:sz w:val="24"/>
          <w:szCs w:val="24"/>
        </w:rPr>
        <w:t>Canadian Institute of Food Science and Technology Journal, 18(2), 163–167.</w:t>
      </w:r>
    </w:p>
    <w:p w14:paraId="0FFA067E" w14:textId="77777777" w:rsidR="0003173D" w:rsidRPr="0003173D" w:rsidRDefault="0003173D" w:rsidP="0003173D">
      <w:pPr>
        <w:pStyle w:val="Paragrafoelenco"/>
        <w:numPr>
          <w:ilvl w:val="0"/>
          <w:numId w:val="14"/>
        </w:numPr>
        <w:spacing w:after="0" w:line="240" w:lineRule="auto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03173D">
        <w:rPr>
          <w:rFonts w:asciiTheme="majorBidi" w:eastAsia="Times New Roman" w:hAnsiTheme="majorBidi" w:cstheme="majorBidi"/>
          <w:color w:val="000000"/>
          <w:sz w:val="24"/>
          <w:szCs w:val="24"/>
        </w:rPr>
        <w:t>OIE. (2013a). Swine vesicular disease. OIE Terrestrial Manual, Chapter 2.8.9. Retrieved from http://www.oie.int/fileadmin/Home/eng/Health_standards/tahm/2008/pdf/2.08.09_SVD.pdf</w:t>
      </w:r>
    </w:p>
    <w:p w14:paraId="4F0033F8" w14:textId="77777777" w:rsidR="0003173D" w:rsidRPr="0003173D" w:rsidRDefault="0003173D" w:rsidP="0003173D">
      <w:pPr>
        <w:pStyle w:val="Paragrafoelenco"/>
        <w:numPr>
          <w:ilvl w:val="0"/>
          <w:numId w:val="14"/>
        </w:numPr>
        <w:spacing w:after="0" w:line="240" w:lineRule="auto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03173D">
        <w:rPr>
          <w:rFonts w:asciiTheme="majorBidi" w:eastAsia="Times New Roman" w:hAnsiTheme="majorBidi" w:cstheme="majorBidi"/>
          <w:color w:val="000000"/>
          <w:sz w:val="24"/>
          <w:szCs w:val="24"/>
        </w:rPr>
        <w:t>McKercher, P. D. (1974). SVD virus survival in pork products. Proceedings of the 78th Annual Meeting of the United States Animal Health Association.</w:t>
      </w:r>
    </w:p>
    <w:p w14:paraId="738610EB" w14:textId="77777777" w:rsidR="0003173D" w:rsidRPr="0003173D" w:rsidRDefault="0003173D" w:rsidP="0003173D">
      <w:pPr>
        <w:pStyle w:val="Paragrafoelenco"/>
        <w:spacing w:after="0" w:line="240" w:lineRule="auto"/>
        <w:rPr>
          <w:rFonts w:asciiTheme="majorBidi" w:eastAsia="Times New Roman" w:hAnsiTheme="majorBidi" w:cstheme="majorBidi"/>
          <w:color w:val="000000"/>
          <w:sz w:val="24"/>
          <w:szCs w:val="24"/>
        </w:rPr>
      </w:pPr>
    </w:p>
    <w:p w14:paraId="04D80B22" w14:textId="77777777" w:rsidR="0003173D" w:rsidRPr="00013F73" w:rsidRDefault="0003173D" w:rsidP="0003173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13F73">
        <w:rPr>
          <w:rFonts w:ascii="Times New Roman" w:eastAsia="Times New Roman" w:hAnsi="Times New Roman" w:cs="Times New Roman"/>
          <w:b/>
          <w:sz w:val="24"/>
          <w:szCs w:val="24"/>
        </w:rPr>
        <w:t>Mycoplasma</w:t>
      </w:r>
    </w:p>
    <w:p w14:paraId="637805D2" w14:textId="77777777" w:rsidR="0003173D" w:rsidRPr="0003173D" w:rsidRDefault="0003173D" w:rsidP="0003173D">
      <w:pPr>
        <w:pStyle w:val="Paragrafoelenco"/>
        <w:spacing w:after="0" w:line="240" w:lineRule="auto"/>
        <w:rPr>
          <w:rFonts w:asciiTheme="majorBidi" w:eastAsia="Times New Roman" w:hAnsiTheme="majorBidi" w:cstheme="majorBidi"/>
          <w:color w:val="000000"/>
          <w:sz w:val="24"/>
          <w:szCs w:val="24"/>
        </w:rPr>
      </w:pPr>
    </w:p>
    <w:p w14:paraId="4C5F43D7" w14:textId="77777777" w:rsidR="0003173D" w:rsidRPr="0003173D" w:rsidRDefault="0003173D" w:rsidP="0003173D">
      <w:pPr>
        <w:pStyle w:val="Paragrafoelenco"/>
        <w:numPr>
          <w:ilvl w:val="0"/>
          <w:numId w:val="14"/>
        </w:numPr>
        <w:spacing w:after="0" w:line="240" w:lineRule="auto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03173D">
        <w:rPr>
          <w:rFonts w:asciiTheme="majorBidi" w:eastAsia="Times New Roman" w:hAnsiTheme="majorBidi" w:cstheme="majorBidi"/>
          <w:color w:val="000000"/>
          <w:sz w:val="24"/>
          <w:szCs w:val="24"/>
        </w:rPr>
        <w:t>Ley, D. H. (2008). Mycoplasma gallisepticum infection. In Y. M. Saif (Ed.), Diseases of poultry (12th ed., pp. 807–834). Blackwell Publishing.</w:t>
      </w:r>
    </w:p>
    <w:p w14:paraId="2EF2573D" w14:textId="77777777" w:rsidR="0003173D" w:rsidRPr="0003173D" w:rsidRDefault="0003173D" w:rsidP="0003173D">
      <w:pPr>
        <w:pStyle w:val="Paragrafoelenco"/>
        <w:numPr>
          <w:ilvl w:val="0"/>
          <w:numId w:val="14"/>
        </w:numPr>
        <w:spacing w:after="0" w:line="240" w:lineRule="auto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03173D">
        <w:rPr>
          <w:rFonts w:asciiTheme="majorBidi" w:eastAsia="Times New Roman" w:hAnsiTheme="majorBidi" w:cstheme="majorBidi"/>
          <w:color w:val="000000"/>
          <w:sz w:val="24"/>
          <w:szCs w:val="24"/>
          <w:lang w:val="it-IT"/>
        </w:rPr>
        <w:t xml:space="preserve">Nagatomo, H., Takegahara, Y., Sonoda, T., Yamaguchi, A., Uemura, R., Hagiwara, S., &amp; Sueyoshi, M. (2001). </w:t>
      </w:r>
      <w:r w:rsidRPr="0003173D">
        <w:rPr>
          <w:rFonts w:asciiTheme="majorBidi" w:eastAsia="Times New Roman" w:hAnsiTheme="majorBidi" w:cstheme="majorBidi"/>
          <w:color w:val="000000"/>
          <w:sz w:val="24"/>
          <w:szCs w:val="24"/>
        </w:rPr>
        <w:t>Comparative studies of the persistence of animal mycoplasmas under different environmental conditions. Veterinary Microbiology, 82(3), 223–232.</w:t>
      </w:r>
    </w:p>
    <w:p w14:paraId="797DC17A" w14:textId="77777777" w:rsidR="0003173D" w:rsidRPr="0003173D" w:rsidRDefault="0003173D" w:rsidP="0003173D">
      <w:pPr>
        <w:pStyle w:val="Paragrafoelenco"/>
        <w:numPr>
          <w:ilvl w:val="0"/>
          <w:numId w:val="14"/>
        </w:numPr>
        <w:spacing w:after="0" w:line="240" w:lineRule="auto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03173D">
        <w:rPr>
          <w:rFonts w:asciiTheme="majorBidi" w:eastAsia="Times New Roman" w:hAnsiTheme="majorBidi" w:cstheme="majorBidi"/>
          <w:color w:val="000000"/>
          <w:sz w:val="24"/>
          <w:szCs w:val="24"/>
          <w:lang w:val="it-IT"/>
        </w:rPr>
        <w:t xml:space="preserve">Chandiramani, N. K., Van Roekel, H., &amp; Olesiuk, O. M. (1966). </w:t>
      </w:r>
      <w:r w:rsidRPr="0003173D">
        <w:rPr>
          <w:rFonts w:asciiTheme="majorBidi" w:eastAsia="Times New Roman" w:hAnsiTheme="majorBidi" w:cstheme="majorBidi"/>
          <w:color w:val="000000"/>
          <w:sz w:val="24"/>
          <w:szCs w:val="24"/>
        </w:rPr>
        <w:t>Viability studies with Mycoplasma gallisepticum under different environmental conditions. Poultry Science, 45(5), 1029–1044.</w:t>
      </w:r>
    </w:p>
    <w:p w14:paraId="64664DE5" w14:textId="77777777" w:rsidR="0003173D" w:rsidRPr="0003173D" w:rsidRDefault="0003173D" w:rsidP="0003173D">
      <w:pPr>
        <w:pStyle w:val="Paragrafoelenco"/>
        <w:numPr>
          <w:ilvl w:val="0"/>
          <w:numId w:val="14"/>
        </w:numPr>
        <w:spacing w:after="0" w:line="240" w:lineRule="auto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03173D">
        <w:rPr>
          <w:rFonts w:asciiTheme="majorBidi" w:eastAsia="Times New Roman" w:hAnsiTheme="majorBidi" w:cstheme="majorBidi"/>
          <w:color w:val="000000"/>
          <w:sz w:val="24"/>
          <w:szCs w:val="24"/>
        </w:rPr>
        <w:t>Peters, R. L., Faber, J. E., Keenum, W. D., &amp; Devolt, H. M. (1966). Distribution of Mycoplasma gallisepticum in selected tissues and organs of artificially infected turkeys. Poultry Science, 45(5), 913–923.</w:t>
      </w:r>
    </w:p>
    <w:p w14:paraId="313A2402" w14:textId="77777777" w:rsidR="0003173D" w:rsidRPr="0003173D" w:rsidRDefault="0003173D" w:rsidP="0003173D">
      <w:pPr>
        <w:pStyle w:val="Paragrafoelenco"/>
        <w:numPr>
          <w:ilvl w:val="0"/>
          <w:numId w:val="14"/>
        </w:numPr>
        <w:spacing w:after="0" w:line="240" w:lineRule="auto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03173D">
        <w:rPr>
          <w:rFonts w:asciiTheme="majorBidi" w:eastAsia="Times New Roman" w:hAnsiTheme="majorBidi" w:cstheme="majorBidi"/>
          <w:color w:val="000000"/>
          <w:sz w:val="24"/>
          <w:szCs w:val="24"/>
        </w:rPr>
        <w:t>Bradbury, J. M., &amp; Morrow, C. (2008). Avian mycoplasmas. In M. Pattison, P. F. McMullin, J. M. Bradbury, &amp; D. J. Alexander (Eds.), Poultry diseases (6th ed., pp. 220–234). Elsevier/Butterworth-Heinemann.</w:t>
      </w:r>
    </w:p>
    <w:p w14:paraId="61829076" w14:textId="77777777" w:rsidR="0003173D" w:rsidRPr="0003173D" w:rsidRDefault="0003173D" w:rsidP="0003173D">
      <w:pPr>
        <w:pStyle w:val="Paragrafoelenco"/>
        <w:spacing w:after="0" w:line="240" w:lineRule="auto"/>
        <w:rPr>
          <w:rFonts w:asciiTheme="majorBidi" w:eastAsia="Times New Roman" w:hAnsiTheme="majorBidi" w:cstheme="majorBidi"/>
          <w:color w:val="000000"/>
          <w:sz w:val="24"/>
          <w:szCs w:val="24"/>
        </w:rPr>
      </w:pPr>
    </w:p>
    <w:p w14:paraId="2C53099B" w14:textId="77777777" w:rsidR="0003173D" w:rsidRPr="00013F73" w:rsidRDefault="0003173D" w:rsidP="0003173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13F73">
        <w:rPr>
          <w:rFonts w:ascii="Times New Roman" w:eastAsia="Times New Roman" w:hAnsi="Times New Roman" w:cs="Times New Roman"/>
          <w:b/>
          <w:bCs/>
          <w:sz w:val="24"/>
          <w:szCs w:val="24"/>
        </w:rPr>
        <w:t>Ornithobacterium</w:t>
      </w:r>
    </w:p>
    <w:p w14:paraId="2BA226A1" w14:textId="77777777" w:rsidR="0003173D" w:rsidRPr="0003173D" w:rsidRDefault="0003173D" w:rsidP="0003173D">
      <w:pPr>
        <w:pStyle w:val="Paragrafoelenco"/>
        <w:spacing w:after="0" w:line="240" w:lineRule="auto"/>
        <w:rPr>
          <w:rFonts w:asciiTheme="majorBidi" w:eastAsia="Times New Roman" w:hAnsiTheme="majorBidi" w:cstheme="majorBidi"/>
          <w:color w:val="000000"/>
          <w:sz w:val="24"/>
          <w:szCs w:val="24"/>
        </w:rPr>
      </w:pPr>
    </w:p>
    <w:p w14:paraId="42DC2746" w14:textId="77777777" w:rsidR="0003173D" w:rsidRPr="0003173D" w:rsidRDefault="0003173D" w:rsidP="0003173D">
      <w:pPr>
        <w:pStyle w:val="Paragrafoelenco"/>
        <w:numPr>
          <w:ilvl w:val="0"/>
          <w:numId w:val="14"/>
        </w:numPr>
        <w:spacing w:after="0" w:line="240" w:lineRule="auto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03173D">
        <w:rPr>
          <w:rFonts w:asciiTheme="majorBidi" w:eastAsia="Times New Roman" w:hAnsiTheme="majorBidi" w:cstheme="majorBidi"/>
          <w:color w:val="000000"/>
          <w:sz w:val="24"/>
          <w:szCs w:val="24"/>
        </w:rPr>
        <w:t>Ministry of Agriculture and Forestry (MAF, New Zealand). (1999). Import risk analysis: Chicken meat and chicken meat products; Bernard Matthews Foods Ltd turkey meat preparations from the United Kingdom. MAF Regulatory Authority, Wellington, New Zealand. Retrieved January 8, 2015, from https://mpi.govt.nz/document-vault/2816</w:t>
      </w:r>
    </w:p>
    <w:p w14:paraId="0BD15D2B" w14:textId="77777777" w:rsidR="0003173D" w:rsidRPr="0003173D" w:rsidRDefault="0003173D" w:rsidP="0003173D">
      <w:pPr>
        <w:pStyle w:val="Paragrafoelenco"/>
        <w:numPr>
          <w:ilvl w:val="0"/>
          <w:numId w:val="14"/>
        </w:numPr>
        <w:spacing w:after="0" w:line="240" w:lineRule="auto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03173D">
        <w:rPr>
          <w:rFonts w:asciiTheme="majorBidi" w:eastAsia="Times New Roman" w:hAnsiTheme="majorBidi" w:cstheme="majorBidi"/>
          <w:color w:val="000000"/>
          <w:sz w:val="24"/>
          <w:szCs w:val="24"/>
        </w:rPr>
        <w:t>Van Empel, P., van den Bosch, H., Goovaerts, D., &amp; Storm, P. (1996). Experimental infection in turkeys and chickens with Ornithobacterium rhinotracheale. Avian Diseases, 40(4), 858–864. https://doi.org/10.2307/1592310</w:t>
      </w:r>
    </w:p>
    <w:p w14:paraId="1151A03E" w14:textId="77777777" w:rsidR="0003173D" w:rsidRPr="0003173D" w:rsidRDefault="0003173D" w:rsidP="0003173D">
      <w:pPr>
        <w:pStyle w:val="Paragrafoelenco"/>
        <w:numPr>
          <w:ilvl w:val="0"/>
          <w:numId w:val="14"/>
        </w:numPr>
        <w:spacing w:after="0" w:line="240" w:lineRule="auto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03173D">
        <w:rPr>
          <w:rFonts w:asciiTheme="majorBidi" w:eastAsia="Times New Roman" w:hAnsiTheme="majorBidi" w:cstheme="majorBidi"/>
          <w:color w:val="000000"/>
          <w:sz w:val="24"/>
          <w:szCs w:val="24"/>
        </w:rPr>
        <w:t>Sprenger, S. J., Back, A., Shaw, D. P., Nagaraja, K. V., Roepke, D. C., &amp; Halvorson, D. A. (1998). Ornithobacterium rhinotracheale infection in turkeys: Experimental reproduction of the disease. Avian Diseases, 42(1), 154–161. https://doi.org/10.2307/1592588</w:t>
      </w:r>
    </w:p>
    <w:p w14:paraId="66204FF1" w14:textId="77777777" w:rsidR="0003173D" w:rsidRPr="0003173D" w:rsidRDefault="0003173D" w:rsidP="0003173D">
      <w:pPr>
        <w:pStyle w:val="Paragrafoelenco"/>
        <w:spacing w:after="0" w:line="240" w:lineRule="auto"/>
        <w:rPr>
          <w:rFonts w:asciiTheme="majorBidi" w:eastAsia="Times New Roman" w:hAnsiTheme="majorBidi" w:cstheme="majorBidi"/>
          <w:color w:val="000000"/>
          <w:sz w:val="24"/>
          <w:szCs w:val="24"/>
        </w:rPr>
      </w:pPr>
    </w:p>
    <w:p w14:paraId="7D2D9CD9" w14:textId="77777777" w:rsidR="0003173D" w:rsidRPr="00013F73" w:rsidRDefault="0003173D" w:rsidP="0003173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13F73">
        <w:rPr>
          <w:rFonts w:ascii="Times New Roman" w:eastAsia="Times New Roman" w:hAnsi="Times New Roman" w:cs="Times New Roman"/>
          <w:b/>
          <w:sz w:val="24"/>
          <w:szCs w:val="24"/>
        </w:rPr>
        <w:t>Riemerella anatipestifer</w:t>
      </w:r>
    </w:p>
    <w:p w14:paraId="2DBF0D7D" w14:textId="77777777" w:rsidR="0003173D" w:rsidRPr="0003173D" w:rsidRDefault="0003173D" w:rsidP="0003173D">
      <w:pPr>
        <w:pStyle w:val="Paragrafoelenco"/>
        <w:spacing w:after="0" w:line="240" w:lineRule="auto"/>
        <w:rPr>
          <w:rFonts w:asciiTheme="majorBidi" w:eastAsia="Times New Roman" w:hAnsiTheme="majorBidi" w:cstheme="majorBidi"/>
          <w:color w:val="000000"/>
          <w:sz w:val="24"/>
          <w:szCs w:val="24"/>
        </w:rPr>
      </w:pPr>
    </w:p>
    <w:p w14:paraId="5451794B" w14:textId="77777777" w:rsidR="0003173D" w:rsidRPr="0003173D" w:rsidRDefault="0003173D" w:rsidP="0003173D">
      <w:pPr>
        <w:pStyle w:val="Paragrafoelenco"/>
        <w:numPr>
          <w:ilvl w:val="0"/>
          <w:numId w:val="14"/>
        </w:numPr>
        <w:spacing w:after="0" w:line="240" w:lineRule="auto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013F73">
        <w:rPr>
          <w:rFonts w:asciiTheme="majorBidi" w:eastAsia="Times New Roman" w:hAnsiTheme="majorBidi" w:cstheme="majorBidi"/>
          <w:color w:val="000000"/>
          <w:sz w:val="24"/>
          <w:szCs w:val="24"/>
          <w:lang w:val="it-IT"/>
        </w:rPr>
        <w:t xml:space="preserve">Sandhu, T. S. (2008). Riemerella anatipestifer infection. </w:t>
      </w:r>
      <w:r w:rsidRPr="0003173D">
        <w:rPr>
          <w:rFonts w:asciiTheme="majorBidi" w:eastAsia="Times New Roman" w:hAnsiTheme="majorBidi" w:cstheme="majorBidi"/>
          <w:color w:val="000000"/>
          <w:sz w:val="24"/>
          <w:szCs w:val="24"/>
        </w:rPr>
        <w:t>In Y. M. Saif (Ed.), Diseases of poultry (12th ed., pp. 758–764). Blackwell Publishing.</w:t>
      </w:r>
    </w:p>
    <w:p w14:paraId="344013F9" w14:textId="77777777" w:rsidR="0003173D" w:rsidRPr="0003173D" w:rsidRDefault="0003173D" w:rsidP="0003173D">
      <w:pPr>
        <w:pStyle w:val="Paragrafoelenco"/>
        <w:numPr>
          <w:ilvl w:val="0"/>
          <w:numId w:val="14"/>
        </w:numPr>
        <w:spacing w:after="0" w:line="240" w:lineRule="auto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03173D">
        <w:rPr>
          <w:rFonts w:asciiTheme="majorBidi" w:eastAsia="Times New Roman" w:hAnsiTheme="majorBidi" w:cstheme="majorBidi"/>
          <w:color w:val="000000"/>
          <w:sz w:val="24"/>
          <w:szCs w:val="24"/>
        </w:rPr>
        <w:t>Bangun, A., Tripathy, D. N., &amp; Hanson, L. E. (1981). Studies of Pasteurella anatipestifer: An approach to its classification. Avian Diseases, 25(2), 326–337. https://doi.org/10.2307/1589926</w:t>
      </w:r>
    </w:p>
    <w:p w14:paraId="3D622D98" w14:textId="77777777" w:rsidR="0003173D" w:rsidRPr="0003173D" w:rsidRDefault="0003173D" w:rsidP="0003173D">
      <w:pPr>
        <w:pStyle w:val="Paragrafoelenco"/>
        <w:numPr>
          <w:ilvl w:val="0"/>
          <w:numId w:val="14"/>
        </w:numPr>
        <w:spacing w:after="0" w:line="240" w:lineRule="auto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03173D">
        <w:rPr>
          <w:rFonts w:asciiTheme="majorBidi" w:eastAsia="Times New Roman" w:hAnsiTheme="majorBidi" w:cstheme="majorBidi"/>
          <w:color w:val="000000"/>
          <w:sz w:val="24"/>
          <w:szCs w:val="24"/>
        </w:rPr>
        <w:t>Harry, E. G., &amp; Deb, J. R. (1979). Laboratory and field trials on a formalin-inactivated vaccine for the control of Pasteurella anatipestifer.</w:t>
      </w:r>
    </w:p>
    <w:p w14:paraId="7DB38DF3" w14:textId="77777777" w:rsidR="0003173D" w:rsidRPr="0003173D" w:rsidRDefault="0003173D" w:rsidP="0003173D">
      <w:pPr>
        <w:pStyle w:val="Paragrafoelenco"/>
        <w:numPr>
          <w:ilvl w:val="0"/>
          <w:numId w:val="14"/>
        </w:numPr>
        <w:spacing w:after="0" w:line="240" w:lineRule="auto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03173D">
        <w:rPr>
          <w:rFonts w:asciiTheme="majorBidi" w:eastAsia="Times New Roman" w:hAnsiTheme="majorBidi" w:cstheme="majorBidi"/>
          <w:color w:val="000000"/>
          <w:sz w:val="24"/>
          <w:szCs w:val="24"/>
        </w:rPr>
        <w:t>Hatfield, R. M., &amp; Morris, B. A. (1988). Influence of the route of infection of Pasteurella anatipestifer on the clinical and immune responses of White Pekin ducks. Research in Veterinary Science, 44(2), 208–214.</w:t>
      </w:r>
    </w:p>
    <w:p w14:paraId="133EEEF0" w14:textId="77777777" w:rsidR="0003173D" w:rsidRDefault="0003173D" w:rsidP="0003173D">
      <w:pPr>
        <w:pStyle w:val="Paragrafoelenco"/>
        <w:numPr>
          <w:ilvl w:val="0"/>
          <w:numId w:val="14"/>
        </w:numPr>
        <w:spacing w:after="0" w:line="240" w:lineRule="auto"/>
        <w:jc w:val="both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03173D">
        <w:rPr>
          <w:rFonts w:asciiTheme="majorBidi" w:eastAsia="Times New Roman" w:hAnsiTheme="majorBidi" w:cstheme="majorBidi"/>
          <w:color w:val="000000"/>
          <w:sz w:val="24"/>
          <w:szCs w:val="24"/>
        </w:rPr>
        <w:t>Sarver, C. F., Morishita, T. Y., &amp; Neressian, B. (2005). The effect of route of inoculation and challenge dosage on Riemerella anatipestifer infection in Pekin ducks (Anas platyrhynchos). Avian Diseases, 48(1), 104–107.</w:t>
      </w:r>
    </w:p>
    <w:p w14:paraId="296FEF7D" w14:textId="77777777" w:rsidR="0003173D" w:rsidRDefault="0003173D" w:rsidP="0003173D">
      <w:pPr>
        <w:spacing w:after="0" w:line="240" w:lineRule="auto"/>
        <w:ind w:left="360"/>
        <w:jc w:val="both"/>
        <w:rPr>
          <w:rFonts w:asciiTheme="majorBidi" w:eastAsia="Times New Roman" w:hAnsiTheme="majorBidi" w:cstheme="majorBidi"/>
          <w:color w:val="000000"/>
          <w:sz w:val="24"/>
          <w:szCs w:val="24"/>
        </w:rPr>
      </w:pPr>
    </w:p>
    <w:p w14:paraId="2F60B804" w14:textId="77777777" w:rsidR="0003173D" w:rsidRPr="00013F73" w:rsidRDefault="0003173D" w:rsidP="00013F7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13F73">
        <w:rPr>
          <w:rFonts w:ascii="Times New Roman" w:eastAsia="Times New Roman" w:hAnsi="Times New Roman" w:cs="Times New Roman"/>
          <w:b/>
          <w:bCs/>
          <w:sz w:val="24"/>
          <w:szCs w:val="24"/>
        </w:rPr>
        <w:t>Bordetella avium</w:t>
      </w:r>
    </w:p>
    <w:p w14:paraId="798AA061" w14:textId="77777777" w:rsidR="0003173D" w:rsidRDefault="0003173D" w:rsidP="0003173D">
      <w:pPr>
        <w:pStyle w:val="NormaleWeb"/>
        <w:numPr>
          <w:ilvl w:val="0"/>
          <w:numId w:val="14"/>
        </w:numPr>
      </w:pPr>
      <w:r>
        <w:t xml:space="preserve">Ministry of Agriculture and Forestry (MAF, New Zealand). (2006). </w:t>
      </w:r>
      <w:r>
        <w:rPr>
          <w:rStyle w:val="Enfasicorsivo"/>
        </w:rPr>
        <w:t>Import risk analysis: Cooked duck meat from Australia.</w:t>
      </w:r>
      <w:r>
        <w:t xml:space="preserve"> MAF Biosecurity New Zealand, Wellington, New Zealand. Retrieved January 8, 2015, from </w:t>
      </w:r>
      <w:hyperlink r:id="rId22" w:tgtFrame="_new" w:history="1">
        <w:r>
          <w:rPr>
            <w:rStyle w:val="Collegamentoipertestuale"/>
          </w:rPr>
          <w:t>https://mpi.govt.nz/document-vault/2821</w:t>
        </w:r>
      </w:hyperlink>
    </w:p>
    <w:p w14:paraId="43502553" w14:textId="77777777" w:rsidR="0003173D" w:rsidRDefault="0003173D" w:rsidP="0003173D">
      <w:pPr>
        <w:pStyle w:val="NormaleWeb"/>
        <w:numPr>
          <w:ilvl w:val="0"/>
          <w:numId w:val="14"/>
        </w:numPr>
      </w:pPr>
      <w:r>
        <w:t xml:space="preserve">Arp, L. H., &amp; McDonald, S. M. (1985). Influence of temperature on the growth of </w:t>
      </w:r>
      <w:r>
        <w:rPr>
          <w:rStyle w:val="Enfasicorsivo"/>
        </w:rPr>
        <w:t>Bordetella avium</w:t>
      </w:r>
      <w:r>
        <w:t xml:space="preserve"> in turkeys and in vitro. </w:t>
      </w:r>
      <w:r>
        <w:rPr>
          <w:rStyle w:val="Enfasicorsivo"/>
        </w:rPr>
        <w:t>Avian Diseases, 29</w:t>
      </w:r>
      <w:r>
        <w:t>(4), 1066–1077. https://doi.org/10.2307/1590461</w:t>
      </w:r>
    </w:p>
    <w:p w14:paraId="48DC66EC" w14:textId="77777777" w:rsidR="0003173D" w:rsidRPr="00013F73" w:rsidRDefault="0003173D" w:rsidP="00013F7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13F73">
        <w:rPr>
          <w:rFonts w:ascii="Times New Roman" w:eastAsia="Times New Roman" w:hAnsi="Times New Roman" w:cs="Times New Roman"/>
          <w:b/>
          <w:sz w:val="24"/>
          <w:szCs w:val="24"/>
        </w:rPr>
        <w:t>Salmonella enterica subsp. arizonae</w:t>
      </w:r>
    </w:p>
    <w:p w14:paraId="1138A435" w14:textId="77777777" w:rsidR="0003173D" w:rsidRDefault="0003173D" w:rsidP="0003173D">
      <w:pPr>
        <w:pStyle w:val="NormaleWeb"/>
        <w:numPr>
          <w:ilvl w:val="0"/>
          <w:numId w:val="14"/>
        </w:numPr>
      </w:pPr>
      <w:r>
        <w:t xml:space="preserve">Bisaillon, J.-R., Feltmate, T. E., Sheffield, S., Julian, R., Todd, E., Poppe, C., &amp; Quessy, S. (2001). Classification of grossly detectable abnormalities and conditions seen at post-mortem in Canadian poultry abattoirs according to a hazard identification decision tree. </w:t>
      </w:r>
      <w:r>
        <w:rPr>
          <w:rStyle w:val="Enfasicorsivo"/>
        </w:rPr>
        <w:t>Journal of Food Protection, 64</w:t>
      </w:r>
      <w:r>
        <w:t>(12), 1973–1980.</w:t>
      </w:r>
    </w:p>
    <w:p w14:paraId="7C9210C3" w14:textId="77777777" w:rsidR="0003173D" w:rsidRDefault="0003173D" w:rsidP="0003173D">
      <w:pPr>
        <w:pStyle w:val="NormaleWeb"/>
        <w:numPr>
          <w:ilvl w:val="0"/>
          <w:numId w:val="14"/>
        </w:numPr>
      </w:pPr>
      <w:r>
        <w:t xml:space="preserve">Izat, A. L., Kopek, J. M., &amp; McGinnis, J. D. (1991). Research note: Incidence, number, and serotypes of </w:t>
      </w:r>
      <w:r>
        <w:rPr>
          <w:rStyle w:val="Enfasicorsivo"/>
        </w:rPr>
        <w:t>Salmonella</w:t>
      </w:r>
      <w:r>
        <w:t xml:space="preserve"> on frozen broiler chickens at retail. </w:t>
      </w:r>
      <w:r>
        <w:rPr>
          <w:rStyle w:val="Enfasicorsivo"/>
        </w:rPr>
        <w:t>Poultry Science, 70</w:t>
      </w:r>
      <w:r>
        <w:t>(6), 1438–1440.</w:t>
      </w:r>
    </w:p>
    <w:p w14:paraId="1A3608C1" w14:textId="77777777" w:rsidR="0003173D" w:rsidRPr="00013F73" w:rsidRDefault="0003173D" w:rsidP="00013F7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13F73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Sheep pox and goat pox</w:t>
      </w:r>
    </w:p>
    <w:p w14:paraId="05002EE9" w14:textId="77777777" w:rsidR="0003173D" w:rsidRDefault="0003173D" w:rsidP="0003173D">
      <w:pPr>
        <w:pStyle w:val="NormaleWeb"/>
        <w:numPr>
          <w:ilvl w:val="0"/>
          <w:numId w:val="14"/>
        </w:numPr>
      </w:pPr>
      <w:r w:rsidRPr="0003173D">
        <w:rPr>
          <w:lang w:val="it-IT"/>
        </w:rPr>
        <w:t xml:space="preserve">Martinez, S., Franco, I., &amp; Carballo, J. (2011). </w:t>
      </w:r>
      <w:r>
        <w:t xml:space="preserve">Spanish goat and sheep milk cheeses. </w:t>
      </w:r>
      <w:r>
        <w:rPr>
          <w:rStyle w:val="Enfasicorsivo"/>
        </w:rPr>
        <w:t>Journal of Small Ruminant Research, 101</w:t>
      </w:r>
      <w:r>
        <w:t>(1–3), 41–54.</w:t>
      </w:r>
    </w:p>
    <w:p w14:paraId="1D76D58C" w14:textId="77777777" w:rsidR="0003173D" w:rsidRDefault="0003173D" w:rsidP="0003173D">
      <w:pPr>
        <w:pStyle w:val="NormaleWeb"/>
        <w:numPr>
          <w:ilvl w:val="0"/>
          <w:numId w:val="14"/>
        </w:numPr>
      </w:pPr>
      <w:r>
        <w:t xml:space="preserve">Elbagerma, M., Alajtal, A., &amp; Edwards, H. (2014). A comparative study on the physicochemical parameters and trace elements in raw milk samples collected from Misurata, Libya. </w:t>
      </w:r>
      <w:r>
        <w:rPr>
          <w:rStyle w:val="Enfasicorsivo"/>
        </w:rPr>
        <w:t>SOP Transactions on Analytical Chemistry, 1</w:t>
      </w:r>
      <w:r>
        <w:t>(2), 15–23.</w:t>
      </w:r>
    </w:p>
    <w:p w14:paraId="0D4045C4" w14:textId="77777777" w:rsidR="0003173D" w:rsidRDefault="0003173D" w:rsidP="0003173D">
      <w:pPr>
        <w:pStyle w:val="NormaleWeb"/>
        <w:numPr>
          <w:ilvl w:val="0"/>
          <w:numId w:val="14"/>
        </w:numPr>
      </w:pPr>
      <w:r>
        <w:t xml:space="preserve">EFSA. (2014). Scientific opinion on sheep and goat pox. </w:t>
      </w:r>
      <w:r>
        <w:rPr>
          <w:rStyle w:val="Enfasicorsivo"/>
        </w:rPr>
        <w:t>EFSA Journal, 12</w:t>
      </w:r>
      <w:r>
        <w:t>(11), 3885.</w:t>
      </w:r>
    </w:p>
    <w:p w14:paraId="2D6DB200" w14:textId="77777777" w:rsidR="0003173D" w:rsidRPr="00013F73" w:rsidRDefault="0003173D" w:rsidP="00013F7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13F73">
        <w:rPr>
          <w:rFonts w:ascii="Times New Roman" w:eastAsia="Times New Roman" w:hAnsi="Times New Roman" w:cs="Times New Roman"/>
          <w:b/>
          <w:sz w:val="24"/>
          <w:szCs w:val="24"/>
        </w:rPr>
        <w:t>Zaire ebolavirus</w:t>
      </w:r>
    </w:p>
    <w:p w14:paraId="42762EC2" w14:textId="77777777" w:rsidR="0003173D" w:rsidRDefault="0003173D" w:rsidP="0003173D">
      <w:pPr>
        <w:pStyle w:val="NormaleWeb"/>
        <w:numPr>
          <w:ilvl w:val="0"/>
          <w:numId w:val="14"/>
        </w:numPr>
      </w:pPr>
      <w:r>
        <w:t xml:space="preserve">Kobinger, G. P., Feldmann, H., Zhi, Y., Schumer, G., Gao, G., Feldmann, F., Jones, S., &amp; Wilson, J. M. (2011). Chimpanzee adenovirus-based vaccine protects against Zaire Ebola virus. </w:t>
      </w:r>
      <w:r>
        <w:rPr>
          <w:rStyle w:val="Enfasicorsivo"/>
        </w:rPr>
        <w:t>Nature, 462</w:t>
      </w:r>
      <w:r>
        <w:t>, 108–112.</w:t>
      </w:r>
    </w:p>
    <w:p w14:paraId="2B30A19D" w14:textId="77777777" w:rsidR="0003173D" w:rsidRDefault="0003173D" w:rsidP="0003173D">
      <w:pPr>
        <w:pStyle w:val="NormaleWeb"/>
        <w:numPr>
          <w:ilvl w:val="0"/>
          <w:numId w:val="14"/>
        </w:numPr>
      </w:pPr>
      <w:r w:rsidRPr="0003173D">
        <w:rPr>
          <w:lang w:val="it-IT"/>
        </w:rPr>
        <w:t xml:space="preserve">Piercy, T. J., et al. </w:t>
      </w:r>
      <w:r>
        <w:t xml:space="preserve">(2010). The survival of filoviruses in liquids, on solid substrates and in a dynamic aerosol. </w:t>
      </w:r>
      <w:r>
        <w:rPr>
          <w:rStyle w:val="Enfasicorsivo"/>
        </w:rPr>
        <w:t>Journal of Applied Microbiology, 109</w:t>
      </w:r>
      <w:r>
        <w:t>(5), 1531–1539.</w:t>
      </w:r>
    </w:p>
    <w:p w14:paraId="4AFDB3C9" w14:textId="77777777" w:rsidR="0003173D" w:rsidRDefault="0003173D" w:rsidP="0003173D">
      <w:pPr>
        <w:pStyle w:val="NormaleWeb"/>
        <w:numPr>
          <w:ilvl w:val="0"/>
          <w:numId w:val="14"/>
        </w:numPr>
      </w:pPr>
      <w:r>
        <w:t xml:space="preserve">Swanepoel, R., et al. (1996). Experimental inoculation of plants and animals with Ebola virus. </w:t>
      </w:r>
      <w:r>
        <w:rPr>
          <w:rStyle w:val="Enfasicorsivo"/>
        </w:rPr>
        <w:t>Emerging Infectious Diseases, 2</w:t>
      </w:r>
      <w:r>
        <w:t>(4), 321–325.</w:t>
      </w:r>
    </w:p>
    <w:p w14:paraId="78B6F4BA" w14:textId="77777777" w:rsidR="0003173D" w:rsidRDefault="0003173D" w:rsidP="0003173D">
      <w:pPr>
        <w:pStyle w:val="NormaleWeb"/>
        <w:numPr>
          <w:ilvl w:val="0"/>
          <w:numId w:val="14"/>
        </w:numPr>
      </w:pPr>
      <w:r w:rsidRPr="0003173D">
        <w:rPr>
          <w:lang w:val="it-IT"/>
        </w:rPr>
        <w:t xml:space="preserve">Geisbert, T. W., et al. </w:t>
      </w:r>
      <w:r>
        <w:t xml:space="preserve">(2003). Pathogenesis of Ebola hemorrhagic fever in Cynomolgus macaques: Evidence that dendritic cells are early and sustained targets of infection. </w:t>
      </w:r>
      <w:r>
        <w:rPr>
          <w:rStyle w:val="Enfasicorsivo"/>
        </w:rPr>
        <w:t>American Journal of Pathology, 163</w:t>
      </w:r>
      <w:r>
        <w:t>(6), 2347–2370.</w:t>
      </w:r>
    </w:p>
    <w:p w14:paraId="175434EE" w14:textId="77777777" w:rsidR="0003173D" w:rsidRDefault="0003173D" w:rsidP="0003173D">
      <w:pPr>
        <w:pStyle w:val="NormaleWeb"/>
        <w:numPr>
          <w:ilvl w:val="0"/>
          <w:numId w:val="14"/>
        </w:numPr>
      </w:pPr>
      <w:r w:rsidRPr="0003173D">
        <w:rPr>
          <w:lang w:val="it-IT"/>
        </w:rPr>
        <w:t xml:space="preserve">Kortepeter, M. G., et al. </w:t>
      </w:r>
      <w:r>
        <w:t xml:space="preserve">(2011). Real-time monitoring of cardiovascular function in Rhesus macaques infected with Zaire Ebolavirus. </w:t>
      </w:r>
      <w:r>
        <w:rPr>
          <w:rStyle w:val="Enfasicorsivo"/>
        </w:rPr>
        <w:t>Journal of Infectious Diseases, 204</w:t>
      </w:r>
      <w:r>
        <w:t>, S1000–S1010.</w:t>
      </w:r>
    </w:p>
    <w:p w14:paraId="43D91541" w14:textId="77777777" w:rsidR="0003173D" w:rsidRDefault="0003173D" w:rsidP="0003173D">
      <w:pPr>
        <w:pStyle w:val="NormaleWeb"/>
        <w:numPr>
          <w:ilvl w:val="0"/>
          <w:numId w:val="14"/>
        </w:numPr>
      </w:pPr>
      <w:r>
        <w:t xml:space="preserve">Ignatiev, G. M., et al. (2000). Immune and pathophysiological processes in baboons experimentally infected with Ebola virus adapted to guinea pigs. </w:t>
      </w:r>
      <w:r>
        <w:rPr>
          <w:rStyle w:val="Enfasicorsivo"/>
        </w:rPr>
        <w:t>Immunology Letters, 71</w:t>
      </w:r>
      <w:r>
        <w:t>(2), 131–140.</w:t>
      </w:r>
    </w:p>
    <w:p w14:paraId="5DB72A41" w14:textId="77777777" w:rsidR="0003173D" w:rsidRDefault="0003173D" w:rsidP="0003173D">
      <w:pPr>
        <w:pStyle w:val="NormaleWeb"/>
        <w:numPr>
          <w:ilvl w:val="0"/>
          <w:numId w:val="14"/>
        </w:numPr>
      </w:pPr>
      <w:r>
        <w:t xml:space="preserve">Johnson, E., et al. (1995). Lethal experimental infections of Rhesus monkeys by aerosolized Ebola virus. </w:t>
      </w:r>
      <w:r>
        <w:rPr>
          <w:rStyle w:val="Enfasicorsivo"/>
        </w:rPr>
        <w:t>International Journal of Experimental Pathology, 76</w:t>
      </w:r>
      <w:r>
        <w:t>(4), 227–236.</w:t>
      </w:r>
    </w:p>
    <w:p w14:paraId="55ABE879" w14:textId="77777777" w:rsidR="0003173D" w:rsidRDefault="0003173D" w:rsidP="0003173D">
      <w:pPr>
        <w:pStyle w:val="NormaleWeb"/>
        <w:numPr>
          <w:ilvl w:val="0"/>
          <w:numId w:val="14"/>
        </w:numPr>
      </w:pPr>
      <w:r w:rsidRPr="0003173D">
        <w:rPr>
          <w:lang w:val="it-IT"/>
        </w:rPr>
        <w:t xml:space="preserve">Ryabchikova, E. I., Kolesnikova, L. V., &amp; Luchko, S. V. (1999). </w:t>
      </w:r>
      <w:r>
        <w:t xml:space="preserve">An analysis of features of pathogenesis in two animal models of Ebola virus infection. </w:t>
      </w:r>
      <w:r>
        <w:rPr>
          <w:rStyle w:val="Enfasicorsivo"/>
        </w:rPr>
        <w:t>Journal of Infectious Diseases, 179</w:t>
      </w:r>
      <w:r>
        <w:t>, S199–S202.</w:t>
      </w:r>
    </w:p>
    <w:p w14:paraId="247DAC1E" w14:textId="77777777" w:rsidR="0003173D" w:rsidRDefault="0003173D" w:rsidP="0003173D">
      <w:pPr>
        <w:pStyle w:val="NormaleWeb"/>
        <w:numPr>
          <w:ilvl w:val="0"/>
          <w:numId w:val="14"/>
        </w:numPr>
      </w:pPr>
      <w:r>
        <w:t xml:space="preserve">Twenhafel, N. A., et al. (2013). Pathology of experimental aerosol Zaire Ebolavirus infection in Rhesus macaques. </w:t>
      </w:r>
      <w:r>
        <w:rPr>
          <w:rStyle w:val="Enfasicorsivo"/>
        </w:rPr>
        <w:t>Veterinary Pathology, 50</w:t>
      </w:r>
      <w:r>
        <w:t>(3), 514–529.</w:t>
      </w:r>
    </w:p>
    <w:p w14:paraId="2A658172" w14:textId="77777777" w:rsidR="0003173D" w:rsidRDefault="0003173D" w:rsidP="0003173D">
      <w:pPr>
        <w:pStyle w:val="NormaleWeb"/>
        <w:numPr>
          <w:ilvl w:val="0"/>
          <w:numId w:val="14"/>
        </w:numPr>
      </w:pPr>
      <w:r>
        <w:t xml:space="preserve">Jaax, N., et al. (1995). Transmission of Ebola virus (Zaire strain) to uninfected control monkeys in a biocontainment laboratory. </w:t>
      </w:r>
      <w:r>
        <w:rPr>
          <w:rStyle w:val="Enfasicorsivo"/>
        </w:rPr>
        <w:t>Lancet, 346</w:t>
      </w:r>
      <w:r>
        <w:t>(8991–2), 1669–1671.</w:t>
      </w:r>
    </w:p>
    <w:p w14:paraId="76B9ECC6" w14:textId="77777777" w:rsidR="0003173D" w:rsidRPr="00013F73" w:rsidRDefault="0003173D" w:rsidP="00013F7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13F73">
        <w:rPr>
          <w:rFonts w:ascii="Times New Roman" w:eastAsia="Times New Roman" w:hAnsi="Times New Roman" w:cs="Times New Roman"/>
          <w:b/>
          <w:bCs/>
          <w:sz w:val="24"/>
          <w:szCs w:val="24"/>
        </w:rPr>
        <w:t>Hendra virus</w:t>
      </w:r>
    </w:p>
    <w:p w14:paraId="061C24F8" w14:textId="77777777" w:rsidR="0003173D" w:rsidRDefault="0003173D" w:rsidP="0003173D">
      <w:pPr>
        <w:pStyle w:val="NormaleWeb"/>
        <w:numPr>
          <w:ilvl w:val="0"/>
          <w:numId w:val="14"/>
        </w:numPr>
      </w:pPr>
      <w:r>
        <w:t xml:space="preserve">Fogarty, R., Halpin, K., Hyatt, A. D., Daszak, P., &amp; Mungall, B. A. (2008). Henipavirus susceptibility to environmental variables. </w:t>
      </w:r>
      <w:r>
        <w:rPr>
          <w:rStyle w:val="Enfasicorsivo"/>
        </w:rPr>
        <w:t>Virus Research, 132</w:t>
      </w:r>
      <w:r>
        <w:t>(1–2), 140–144. https://doi.org/10.1016/j.virusres.2007.11.010</w:t>
      </w:r>
    </w:p>
    <w:p w14:paraId="73E9E110" w14:textId="77777777" w:rsidR="0003173D" w:rsidRDefault="0003173D" w:rsidP="0003173D">
      <w:pPr>
        <w:pStyle w:val="NormaleWeb"/>
        <w:numPr>
          <w:ilvl w:val="0"/>
          <w:numId w:val="14"/>
        </w:numPr>
      </w:pPr>
      <w:r>
        <w:t xml:space="preserve">Li, M., Embury-Hyatt, C., &amp; Weingartl, H. M. (2010). Experimental inoculation study indicates swine as a potential host for Hendra virus. </w:t>
      </w:r>
      <w:r>
        <w:rPr>
          <w:rStyle w:val="Enfasicorsivo"/>
        </w:rPr>
        <w:t>Veterinary Research, 41</w:t>
      </w:r>
      <w:r>
        <w:t>(3).</w:t>
      </w:r>
    </w:p>
    <w:p w14:paraId="019AA0E6" w14:textId="77777777" w:rsidR="0003173D" w:rsidRDefault="0003173D" w:rsidP="0003173D">
      <w:pPr>
        <w:pStyle w:val="NormaleWeb"/>
        <w:numPr>
          <w:ilvl w:val="0"/>
          <w:numId w:val="14"/>
        </w:numPr>
      </w:pPr>
      <w:r w:rsidRPr="0003173D">
        <w:rPr>
          <w:lang w:val="it-IT"/>
        </w:rPr>
        <w:t xml:space="preserve">Marsh, G. A., et al. </w:t>
      </w:r>
      <w:r>
        <w:t xml:space="preserve">(2011). Experimental infection of horses with Hendra virus/Australia/Horse/2008/Redlands. </w:t>
      </w:r>
      <w:r>
        <w:rPr>
          <w:rStyle w:val="Enfasicorsivo"/>
        </w:rPr>
        <w:t>Emerging Infectious Diseases, 17</w:t>
      </w:r>
      <w:r>
        <w:t>(12), 2232–2238.</w:t>
      </w:r>
    </w:p>
    <w:p w14:paraId="64098051" w14:textId="77777777" w:rsidR="0003173D" w:rsidRDefault="0003173D" w:rsidP="0003173D">
      <w:pPr>
        <w:pStyle w:val="NormaleWeb"/>
        <w:numPr>
          <w:ilvl w:val="0"/>
          <w:numId w:val="14"/>
        </w:numPr>
      </w:pPr>
      <w:r>
        <w:t xml:space="preserve">Middleton, D., et al. (2014). Hendra virus vaccine: A one-health approach to protecting horse, human, and environmental health. </w:t>
      </w:r>
      <w:r>
        <w:rPr>
          <w:rStyle w:val="Enfasicorsivo"/>
        </w:rPr>
        <w:t>Emerging Infectious Diseases, 20</w:t>
      </w:r>
      <w:r>
        <w:t>(3), 372–379.</w:t>
      </w:r>
    </w:p>
    <w:p w14:paraId="20889F9C" w14:textId="77777777" w:rsidR="0003173D" w:rsidRDefault="0003173D" w:rsidP="0003173D">
      <w:pPr>
        <w:pStyle w:val="NormaleWeb"/>
        <w:numPr>
          <w:ilvl w:val="0"/>
          <w:numId w:val="14"/>
        </w:numPr>
      </w:pPr>
      <w:r>
        <w:lastRenderedPageBreak/>
        <w:t xml:space="preserve">Hooper, P. T., Westbury, H. A., &amp; Russell, G. M. (1997). The lesions of experimental equine morbillivirus disease in cats and guinea pigs. </w:t>
      </w:r>
      <w:r>
        <w:rPr>
          <w:rStyle w:val="Enfasicorsivo"/>
        </w:rPr>
        <w:t>Veterinary Pathology, 34</w:t>
      </w:r>
      <w:r>
        <w:t>(4), 323–329.</w:t>
      </w:r>
    </w:p>
    <w:p w14:paraId="44DC9632" w14:textId="77777777" w:rsidR="0003173D" w:rsidRDefault="0003173D" w:rsidP="0003173D">
      <w:pPr>
        <w:pStyle w:val="NormaleWeb"/>
        <w:numPr>
          <w:ilvl w:val="0"/>
          <w:numId w:val="14"/>
        </w:numPr>
      </w:pPr>
      <w:r>
        <w:t xml:space="preserve">Scanlan, J. C., Kung, N. Y., Selleck, P. W., &amp; Field, H. E. (2014). Survival of Hendra virus in the environment: Modelling the effect of temperature. </w:t>
      </w:r>
      <w:r>
        <w:rPr>
          <w:rStyle w:val="Enfasicorsivo"/>
        </w:rPr>
        <w:t>EcoHealth.</w:t>
      </w:r>
    </w:p>
    <w:p w14:paraId="5E141F81" w14:textId="77777777" w:rsidR="0003173D" w:rsidRPr="00013F73" w:rsidRDefault="0003173D" w:rsidP="00013F7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13F73">
        <w:rPr>
          <w:rFonts w:ascii="Times New Roman" w:eastAsia="Times New Roman" w:hAnsi="Times New Roman" w:cs="Times New Roman"/>
          <w:b/>
          <w:sz w:val="24"/>
          <w:szCs w:val="24"/>
        </w:rPr>
        <w:t>Middle East respiratory syndrome coronavirus (MERS-CoV)</w:t>
      </w:r>
    </w:p>
    <w:p w14:paraId="033E78FC" w14:textId="77777777" w:rsidR="0003173D" w:rsidRDefault="0003173D" w:rsidP="0003173D">
      <w:pPr>
        <w:pStyle w:val="NormaleWeb"/>
        <w:numPr>
          <w:ilvl w:val="0"/>
          <w:numId w:val="14"/>
        </w:numPr>
      </w:pPr>
      <w:r>
        <w:t xml:space="preserve">Yao, Y., et al. (2014). An animal model of MERS produced by infection of Rhesus macaques with MERS coronavirus. </w:t>
      </w:r>
      <w:r>
        <w:rPr>
          <w:rStyle w:val="Enfasicorsivo"/>
        </w:rPr>
        <w:t>Journal of Infectious Diseases, 209</w:t>
      </w:r>
      <w:r>
        <w:t>(2), 236–242.</w:t>
      </w:r>
    </w:p>
    <w:p w14:paraId="6D067747" w14:textId="77777777" w:rsidR="0003173D" w:rsidRDefault="0003173D" w:rsidP="0003173D">
      <w:pPr>
        <w:pStyle w:val="NormaleWeb"/>
        <w:numPr>
          <w:ilvl w:val="0"/>
          <w:numId w:val="14"/>
        </w:numPr>
      </w:pPr>
      <w:r>
        <w:t xml:space="preserve">de Wit, E., et al. (2013). Middle East respiratory syndrome coronavirus (MERS-CoV) causes transient lower respiratory tract infection in Rhesus macaques. </w:t>
      </w:r>
      <w:r>
        <w:rPr>
          <w:rStyle w:val="Enfasicorsivo"/>
        </w:rPr>
        <w:t>Proceedings of the National Academy of Sciences USA, 110</w:t>
      </w:r>
      <w:r>
        <w:t>(41), 16598–16603.</w:t>
      </w:r>
    </w:p>
    <w:p w14:paraId="5EDF96CB" w14:textId="77777777" w:rsidR="0003173D" w:rsidRDefault="0003173D" w:rsidP="0003173D">
      <w:pPr>
        <w:pStyle w:val="NormaleWeb"/>
        <w:numPr>
          <w:ilvl w:val="0"/>
          <w:numId w:val="14"/>
        </w:numPr>
      </w:pPr>
      <w:r>
        <w:t xml:space="preserve">van Doremalen, N., et al. (2014). Stability of Middle East respiratory syndrome coronavirus in milk. </w:t>
      </w:r>
      <w:r>
        <w:rPr>
          <w:rStyle w:val="Enfasicorsivo"/>
        </w:rPr>
        <w:t>Emerging Infectious Diseases, 20</w:t>
      </w:r>
      <w:r>
        <w:t>(7), 1263–1264.</w:t>
      </w:r>
    </w:p>
    <w:p w14:paraId="1223F842" w14:textId="77777777" w:rsidR="0003173D" w:rsidRDefault="0003173D" w:rsidP="0003173D">
      <w:pPr>
        <w:pStyle w:val="NormaleWeb"/>
        <w:numPr>
          <w:ilvl w:val="0"/>
          <w:numId w:val="14"/>
        </w:numPr>
      </w:pPr>
      <w:r>
        <w:t xml:space="preserve">van Doremalen, N., Bushmaker, T., &amp; Munster, V. J. (2013). Stability of Middle East respiratory syndrome coronavirus (MERS-CoV) under different environmental conditions. </w:t>
      </w:r>
      <w:r>
        <w:rPr>
          <w:rStyle w:val="Enfasicorsivo"/>
        </w:rPr>
        <w:t>Eurosurveillance, 18</w:t>
      </w:r>
      <w:r>
        <w:t>(38), 7–10.</w:t>
      </w:r>
    </w:p>
    <w:p w14:paraId="7194DBDC" w14:textId="77777777" w:rsidR="0003173D" w:rsidRDefault="0003173D" w:rsidP="0003173D">
      <w:pPr>
        <w:pStyle w:val="Paragrafoelenco"/>
        <w:numPr>
          <w:ilvl w:val="0"/>
          <w:numId w:val="14"/>
        </w:numPr>
      </w:pPr>
    </w:p>
    <w:p w14:paraId="41BBF05B" w14:textId="77777777" w:rsidR="0003173D" w:rsidRPr="00013F73" w:rsidRDefault="0003173D" w:rsidP="00013F7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13F73">
        <w:rPr>
          <w:rFonts w:ascii="Times New Roman" w:eastAsia="Times New Roman" w:hAnsi="Times New Roman" w:cs="Times New Roman"/>
          <w:b/>
          <w:bCs/>
          <w:sz w:val="24"/>
          <w:szCs w:val="24"/>
        </w:rPr>
        <w:t>Marburg virus</w:t>
      </w:r>
    </w:p>
    <w:p w14:paraId="5EF5262C" w14:textId="77777777" w:rsidR="0003173D" w:rsidRDefault="0003173D" w:rsidP="0003173D">
      <w:pPr>
        <w:pStyle w:val="NormaleWeb"/>
        <w:numPr>
          <w:ilvl w:val="0"/>
          <w:numId w:val="14"/>
        </w:numPr>
      </w:pPr>
      <w:r>
        <w:t xml:space="preserve">Carrion Jr., R., et al. (2011). A small nonhuman primate model for filovirus-induced disease. </w:t>
      </w:r>
      <w:r>
        <w:rPr>
          <w:rStyle w:val="Enfasicorsivo"/>
        </w:rPr>
        <w:t>Virology, 420</w:t>
      </w:r>
      <w:r>
        <w:t>(2), 117–124.</w:t>
      </w:r>
    </w:p>
    <w:p w14:paraId="14E441A3" w14:textId="77777777" w:rsidR="0003173D" w:rsidRDefault="0003173D" w:rsidP="0003173D">
      <w:pPr>
        <w:pStyle w:val="NormaleWeb"/>
        <w:numPr>
          <w:ilvl w:val="0"/>
          <w:numId w:val="14"/>
        </w:numPr>
      </w:pPr>
      <w:r>
        <w:t xml:space="preserve">Thi, E. P., et al. (2014). Marburg virus infection in nonhuman primates: Therapeutic treatment by lipid-encapsulated siRNA. </w:t>
      </w:r>
      <w:r>
        <w:rPr>
          <w:rStyle w:val="Enfasicorsivo"/>
        </w:rPr>
        <w:t>Science Translational Medicine, 6</w:t>
      </w:r>
      <w:r>
        <w:t>(250).</w:t>
      </w:r>
    </w:p>
    <w:p w14:paraId="58FD1C82" w14:textId="77777777" w:rsidR="0003173D" w:rsidRDefault="0003173D" w:rsidP="0003173D">
      <w:pPr>
        <w:pStyle w:val="NormaleWeb"/>
        <w:numPr>
          <w:ilvl w:val="0"/>
          <w:numId w:val="14"/>
        </w:numPr>
      </w:pPr>
      <w:r w:rsidRPr="0003173D">
        <w:rPr>
          <w:lang w:val="it-IT"/>
        </w:rPr>
        <w:t xml:space="preserve">Geisbert, T. W., et al. </w:t>
      </w:r>
      <w:r>
        <w:t xml:space="preserve">(2003). Pathogenesis of Ebola hemorrhagic fever in Cynomolgus macaques: Evidence that dendritic cells are early and sustained targets of infection. </w:t>
      </w:r>
      <w:r>
        <w:rPr>
          <w:rStyle w:val="Enfasicorsivo"/>
        </w:rPr>
        <w:t>American Journal of Pathology, 163</w:t>
      </w:r>
      <w:r>
        <w:t>(6), 2347–2370.</w:t>
      </w:r>
    </w:p>
    <w:p w14:paraId="35CCB5EC" w14:textId="77777777" w:rsidR="0003173D" w:rsidRDefault="0003173D" w:rsidP="0003173D">
      <w:pPr>
        <w:pStyle w:val="NormaleWeb"/>
        <w:numPr>
          <w:ilvl w:val="0"/>
          <w:numId w:val="14"/>
        </w:numPr>
      </w:pPr>
      <w:r>
        <w:t xml:space="preserve">Hensley, L. E., et al. (2011). Pathogenesis of Marburg hemorrhagic fever in Cynomolgus macaques. </w:t>
      </w:r>
      <w:r>
        <w:rPr>
          <w:rStyle w:val="Enfasicorsivo"/>
        </w:rPr>
        <w:t>Journal of Infectious Diseases, 204</w:t>
      </w:r>
      <w:r>
        <w:t>, S1021–S1031.</w:t>
      </w:r>
    </w:p>
    <w:p w14:paraId="37311D44" w14:textId="77777777" w:rsidR="0003173D" w:rsidRDefault="0003173D" w:rsidP="0003173D">
      <w:pPr>
        <w:pStyle w:val="NormaleWeb"/>
        <w:numPr>
          <w:ilvl w:val="0"/>
          <w:numId w:val="14"/>
        </w:numPr>
      </w:pPr>
      <w:r>
        <w:t xml:space="preserve">Smith, I., &amp; Wang, L.-F. (2013). Bats and their virome: An important source of emerging viruses capable of infecting humans. </w:t>
      </w:r>
      <w:r>
        <w:rPr>
          <w:rStyle w:val="Enfasicorsivo"/>
        </w:rPr>
        <w:t>Current Opinion in Virology, 3</w:t>
      </w:r>
      <w:r>
        <w:t>(1), 84–91.</w:t>
      </w:r>
    </w:p>
    <w:p w14:paraId="23EA3B80" w14:textId="77777777" w:rsidR="0003173D" w:rsidRDefault="0003173D" w:rsidP="0003173D">
      <w:pPr>
        <w:pStyle w:val="NormaleWeb"/>
        <w:numPr>
          <w:ilvl w:val="0"/>
          <w:numId w:val="14"/>
        </w:numPr>
      </w:pPr>
      <w:r>
        <w:t xml:space="preserve">Smith, L. M., et al. (2013). Interferon-beta therapy prolongs survival in Rhesus macaque models of Ebola and Marburg hemorrhagic fever. </w:t>
      </w:r>
      <w:r>
        <w:rPr>
          <w:rStyle w:val="Enfasicorsivo"/>
        </w:rPr>
        <w:t>Journal of Infectious Diseases, 208</w:t>
      </w:r>
      <w:r>
        <w:t>(2), 310–318.</w:t>
      </w:r>
    </w:p>
    <w:p w14:paraId="6D072C0D" w14:textId="4C18DAA5" w:rsidR="00BD655B" w:rsidRPr="00013F73" w:rsidRDefault="0003173D" w:rsidP="00BD655B">
      <w:pPr>
        <w:pStyle w:val="NormaleWeb"/>
        <w:numPr>
          <w:ilvl w:val="0"/>
          <w:numId w:val="14"/>
        </w:numPr>
        <w:spacing w:before="0" w:beforeAutospacing="0" w:after="0" w:afterAutospacing="0"/>
        <w:textAlignment w:val="baseline"/>
      </w:pPr>
      <w:r>
        <w:t xml:space="preserve">Alves, D. A., et al. (2010). Aerosol exposure to the Angola strain of Marburg virus causes lethal viral hemorrhagic fever in Cynomolgus macaques. </w:t>
      </w:r>
      <w:r>
        <w:rPr>
          <w:rStyle w:val="Enfasicorsivo"/>
        </w:rPr>
        <w:t>Veterinary Pathology, 47</w:t>
      </w:r>
      <w:r>
        <w:t>(5), 831–851</w:t>
      </w:r>
      <w:r w:rsidR="00013F73">
        <w:t>.</w:t>
      </w:r>
    </w:p>
    <w:sectPr w:rsidR="00BD655B" w:rsidRPr="00013F73">
      <w:pgSz w:w="12240" w:h="15840"/>
      <w:pgMar w:top="1417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D5D52"/>
    <w:multiLevelType w:val="multilevel"/>
    <w:tmpl w:val="AE0445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7628B0"/>
    <w:multiLevelType w:val="multilevel"/>
    <w:tmpl w:val="BE02F8C2"/>
    <w:lvl w:ilvl="0">
      <w:start w:val="17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0B29BF"/>
    <w:multiLevelType w:val="multilevel"/>
    <w:tmpl w:val="BE02F8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356E4D"/>
    <w:multiLevelType w:val="multilevel"/>
    <w:tmpl w:val="8B3C1F2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A6B3F7D"/>
    <w:multiLevelType w:val="multilevel"/>
    <w:tmpl w:val="BE02F8C2"/>
    <w:lvl w:ilvl="0">
      <w:start w:val="13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9C93B82"/>
    <w:multiLevelType w:val="multilevel"/>
    <w:tmpl w:val="BE02F8C2"/>
    <w:lvl w:ilvl="0">
      <w:start w:val="17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A1815D1"/>
    <w:multiLevelType w:val="multilevel"/>
    <w:tmpl w:val="BE02F8C2"/>
    <w:lvl w:ilvl="0">
      <w:start w:val="18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C853701"/>
    <w:multiLevelType w:val="multilevel"/>
    <w:tmpl w:val="BE02F8C2"/>
    <w:lvl w:ilvl="0">
      <w:start w:val="4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E12266F"/>
    <w:multiLevelType w:val="multilevel"/>
    <w:tmpl w:val="BE02F8C2"/>
    <w:lvl w:ilvl="0">
      <w:start w:val="17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11407A7"/>
    <w:multiLevelType w:val="multilevel"/>
    <w:tmpl w:val="BE02F8C2"/>
    <w:lvl w:ilvl="0">
      <w:start w:val="19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28302F8"/>
    <w:multiLevelType w:val="hybridMultilevel"/>
    <w:tmpl w:val="2312B23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2A63C36"/>
    <w:multiLevelType w:val="hybridMultilevel"/>
    <w:tmpl w:val="2D74462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3557A11"/>
    <w:multiLevelType w:val="multilevel"/>
    <w:tmpl w:val="BE02F8C2"/>
    <w:lvl w:ilvl="0">
      <w:start w:val="3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AAF0617"/>
    <w:multiLevelType w:val="multilevel"/>
    <w:tmpl w:val="BE02F8C2"/>
    <w:lvl w:ilvl="0">
      <w:start w:val="19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E876F7B"/>
    <w:multiLevelType w:val="multilevel"/>
    <w:tmpl w:val="BE02F8C2"/>
    <w:lvl w:ilvl="0">
      <w:start w:val="4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52C6976"/>
    <w:multiLevelType w:val="hybridMultilevel"/>
    <w:tmpl w:val="A50897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8C4AA3"/>
    <w:multiLevelType w:val="hybridMultilevel"/>
    <w:tmpl w:val="0BC87D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C804742"/>
    <w:multiLevelType w:val="multilevel"/>
    <w:tmpl w:val="E346B9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F002F67"/>
    <w:multiLevelType w:val="hybridMultilevel"/>
    <w:tmpl w:val="6142BE9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74BE69CF"/>
    <w:multiLevelType w:val="multilevel"/>
    <w:tmpl w:val="BE02F8C2"/>
    <w:lvl w:ilvl="0">
      <w:start w:val="16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B816701"/>
    <w:multiLevelType w:val="hybridMultilevel"/>
    <w:tmpl w:val="DEC24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7"/>
  </w:num>
  <w:num w:numId="3">
    <w:abstractNumId w:val="3"/>
  </w:num>
  <w:num w:numId="4">
    <w:abstractNumId w:val="15"/>
  </w:num>
  <w:num w:numId="5">
    <w:abstractNumId w:val="7"/>
  </w:num>
  <w:num w:numId="6">
    <w:abstractNumId w:val="18"/>
  </w:num>
  <w:num w:numId="7">
    <w:abstractNumId w:val="11"/>
  </w:num>
  <w:num w:numId="8">
    <w:abstractNumId w:val="16"/>
  </w:num>
  <w:num w:numId="9">
    <w:abstractNumId w:val="10"/>
  </w:num>
  <w:num w:numId="10">
    <w:abstractNumId w:val="4"/>
  </w:num>
  <w:num w:numId="11">
    <w:abstractNumId w:val="20"/>
  </w:num>
  <w:num w:numId="12">
    <w:abstractNumId w:val="2"/>
  </w:num>
  <w:num w:numId="13">
    <w:abstractNumId w:val="12"/>
  </w:num>
  <w:num w:numId="14">
    <w:abstractNumId w:val="14"/>
  </w:num>
  <w:num w:numId="15">
    <w:abstractNumId w:val="19"/>
  </w:num>
  <w:num w:numId="16">
    <w:abstractNumId w:val="1"/>
  </w:num>
  <w:num w:numId="17">
    <w:abstractNumId w:val="8"/>
  </w:num>
  <w:num w:numId="18">
    <w:abstractNumId w:val="5"/>
  </w:num>
  <w:num w:numId="19">
    <w:abstractNumId w:val="6"/>
  </w:num>
  <w:num w:numId="20">
    <w:abstractNumId w:val="9"/>
  </w:num>
  <w:num w:numId="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655B"/>
    <w:rsid w:val="00013F73"/>
    <w:rsid w:val="00017542"/>
    <w:rsid w:val="0003173D"/>
    <w:rsid w:val="00041EA0"/>
    <w:rsid w:val="000506FC"/>
    <w:rsid w:val="0006333E"/>
    <w:rsid w:val="000C0B39"/>
    <w:rsid w:val="000F753F"/>
    <w:rsid w:val="001910B6"/>
    <w:rsid w:val="001A16A9"/>
    <w:rsid w:val="00225FC0"/>
    <w:rsid w:val="002419A5"/>
    <w:rsid w:val="00360981"/>
    <w:rsid w:val="0040353B"/>
    <w:rsid w:val="00441C70"/>
    <w:rsid w:val="004D4E8C"/>
    <w:rsid w:val="00520EED"/>
    <w:rsid w:val="005728C5"/>
    <w:rsid w:val="0059374A"/>
    <w:rsid w:val="00621786"/>
    <w:rsid w:val="00645B01"/>
    <w:rsid w:val="006479C3"/>
    <w:rsid w:val="006A6F82"/>
    <w:rsid w:val="00756944"/>
    <w:rsid w:val="007A1010"/>
    <w:rsid w:val="007C14B2"/>
    <w:rsid w:val="007E2C26"/>
    <w:rsid w:val="0080438E"/>
    <w:rsid w:val="00807104"/>
    <w:rsid w:val="008135C1"/>
    <w:rsid w:val="00945065"/>
    <w:rsid w:val="00992CA7"/>
    <w:rsid w:val="00A04923"/>
    <w:rsid w:val="00AB2CDC"/>
    <w:rsid w:val="00B23064"/>
    <w:rsid w:val="00B40C71"/>
    <w:rsid w:val="00B64F43"/>
    <w:rsid w:val="00B82C82"/>
    <w:rsid w:val="00B90D8C"/>
    <w:rsid w:val="00BD655B"/>
    <w:rsid w:val="00C704E7"/>
    <w:rsid w:val="00CA070A"/>
    <w:rsid w:val="00CB77FB"/>
    <w:rsid w:val="00D14793"/>
    <w:rsid w:val="00D70F17"/>
    <w:rsid w:val="00DC1224"/>
    <w:rsid w:val="00DD366B"/>
    <w:rsid w:val="00E27866"/>
    <w:rsid w:val="00E33D17"/>
    <w:rsid w:val="00EB0B2D"/>
    <w:rsid w:val="00EE685A"/>
    <w:rsid w:val="00F03BDC"/>
    <w:rsid w:val="00F24F8C"/>
    <w:rsid w:val="00F5615A"/>
    <w:rsid w:val="040048D1"/>
    <w:rsid w:val="4D375E4C"/>
    <w:rsid w:val="5CC16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55E7E9"/>
  <w15:chartTrackingRefBased/>
  <w15:docId w15:val="{60798B7F-3C7E-4C3E-BCD2-E0FC6B783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807104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0438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findhit">
    <w:name w:val="findhit"/>
    <w:basedOn w:val="Carpredefinitoparagrafo"/>
    <w:rsid w:val="00BD655B"/>
  </w:style>
  <w:style w:type="character" w:customStyle="1" w:styleId="normaltextrun">
    <w:name w:val="normaltextrun"/>
    <w:basedOn w:val="Carpredefinitoparagrafo"/>
    <w:rsid w:val="00BD655B"/>
  </w:style>
  <w:style w:type="character" w:customStyle="1" w:styleId="eop">
    <w:name w:val="eop"/>
    <w:basedOn w:val="Carpredefinitoparagrafo"/>
    <w:rsid w:val="00BD655B"/>
  </w:style>
  <w:style w:type="paragraph" w:customStyle="1" w:styleId="paragraph">
    <w:name w:val="paragraph"/>
    <w:basedOn w:val="Normale"/>
    <w:rsid w:val="00BD65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B23064"/>
    <w:rPr>
      <w:color w:val="0563C1" w:themeColor="hyperlink"/>
      <w:u w:val="single"/>
    </w:rPr>
  </w:style>
  <w:style w:type="character" w:customStyle="1" w:styleId="author">
    <w:name w:val="author"/>
    <w:basedOn w:val="Carpredefinitoparagrafo"/>
    <w:rsid w:val="00F24F8C"/>
  </w:style>
  <w:style w:type="character" w:customStyle="1" w:styleId="pubyear">
    <w:name w:val="pubyear"/>
    <w:basedOn w:val="Carpredefinitoparagrafo"/>
    <w:rsid w:val="00F24F8C"/>
  </w:style>
  <w:style w:type="character" w:customStyle="1" w:styleId="articletitle">
    <w:name w:val="articletitle"/>
    <w:basedOn w:val="Carpredefinitoparagrafo"/>
    <w:rsid w:val="00F24F8C"/>
  </w:style>
  <w:style w:type="character" w:customStyle="1" w:styleId="vol">
    <w:name w:val="vol"/>
    <w:basedOn w:val="Carpredefinitoparagrafo"/>
    <w:rsid w:val="00F24F8C"/>
  </w:style>
  <w:style w:type="character" w:customStyle="1" w:styleId="pagefirst">
    <w:name w:val="pagefirst"/>
    <w:basedOn w:val="Carpredefinitoparagrafo"/>
    <w:rsid w:val="00F24F8C"/>
  </w:style>
  <w:style w:type="character" w:customStyle="1" w:styleId="pagelast">
    <w:name w:val="pagelast"/>
    <w:basedOn w:val="Carpredefinitoparagrafo"/>
    <w:rsid w:val="00F24F8C"/>
  </w:style>
  <w:style w:type="character" w:customStyle="1" w:styleId="groupname">
    <w:name w:val="groupname"/>
    <w:basedOn w:val="Carpredefinitoparagrafo"/>
    <w:rsid w:val="00F24F8C"/>
  </w:style>
  <w:style w:type="character" w:customStyle="1" w:styleId="othertitle">
    <w:name w:val="othertitle"/>
    <w:basedOn w:val="Carpredefinitoparagrafo"/>
    <w:rsid w:val="00F24F8C"/>
  </w:style>
  <w:style w:type="character" w:styleId="Enfasigrassetto">
    <w:name w:val="Strong"/>
    <w:basedOn w:val="Carpredefinitoparagrafo"/>
    <w:uiPriority w:val="22"/>
    <w:qFormat/>
    <w:rsid w:val="00F03BDC"/>
    <w:rPr>
      <w:b/>
      <w:bCs/>
    </w:rPr>
  </w:style>
  <w:style w:type="table" w:styleId="Grigliatabella">
    <w:name w:val="Table Grid"/>
    <w:basedOn w:val="Tabellanormale"/>
    <w:uiPriority w:val="39"/>
    <w:rsid w:val="00F03B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corsivo">
    <w:name w:val="Emphasis"/>
    <w:basedOn w:val="Carpredefinitoparagrafo"/>
    <w:uiPriority w:val="20"/>
    <w:qFormat/>
    <w:rsid w:val="00CB77FB"/>
    <w:rPr>
      <w:i/>
      <w:iCs/>
    </w:rPr>
  </w:style>
  <w:style w:type="paragraph" w:styleId="NormaleWeb">
    <w:name w:val="Normal (Web)"/>
    <w:basedOn w:val="Normale"/>
    <w:uiPriority w:val="99"/>
    <w:unhideWhenUsed/>
    <w:rsid w:val="00CB77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9"/>
    <w:rsid w:val="0080710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whitespace-normal">
    <w:name w:val="whitespace-normal"/>
    <w:basedOn w:val="Carpredefinitoparagrafo"/>
    <w:rsid w:val="00807104"/>
  </w:style>
  <w:style w:type="paragraph" w:styleId="Paragrafoelenco">
    <w:name w:val="List Paragraph"/>
    <w:basedOn w:val="Normale"/>
    <w:uiPriority w:val="34"/>
    <w:qFormat/>
    <w:rsid w:val="00DC1224"/>
    <w:pPr>
      <w:ind w:left="720"/>
      <w:contextualSpacing/>
    </w:p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0438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26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866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0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32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1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10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5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78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98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8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08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71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47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1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04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3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18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6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32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99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55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621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31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91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43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2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6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87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73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24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40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037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75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77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8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72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37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26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13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2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84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74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5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1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85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94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48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90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73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38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14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2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2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1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3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24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157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72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27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58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919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19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97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00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83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6828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667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6974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26139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1895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543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073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3268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3291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8846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6046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77079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54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170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139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5821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0263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735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09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430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11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69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4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7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05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27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44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471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38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5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43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80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06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fsph.iastate.edu/?lang=en" TargetMode="External"/><Relationship Id="rId13" Type="http://schemas.openxmlformats.org/officeDocument/2006/relationships/hyperlink" Target="https://doi.org/10.1111/tbed.12381" TargetMode="External"/><Relationship Id="rId18" Type="http://schemas.openxmlformats.org/officeDocument/2006/relationships/hyperlink" Target="https://doi.org/10.1371/journal.pone.0194509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doi.org/10.1017/S0022172400045861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doi.org/10.1007/s00705-015-2430-2" TargetMode="External"/><Relationship Id="rId17" Type="http://schemas.openxmlformats.org/officeDocument/2006/relationships/hyperlink" Target="https://doi.org/10.3201/eid2512.191002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doi.org/10.1016/j.vetmic.2019.108424" TargetMode="External"/><Relationship Id="rId20" Type="http://schemas.openxmlformats.org/officeDocument/2006/relationships/hyperlink" Target="https://doi.org/10.15389/agrobiology.2016.4.467eng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doi.org/10.1016/j.virusres.2013.09.024" TargetMode="External"/><Relationship Id="rId24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yperlink" Target="https://doi.org/10.2478/jvetres-2019-0058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doi.org/10.1016/0021-9975(72)90028-x" TargetMode="External"/><Relationship Id="rId19" Type="http://schemas.openxmlformats.org/officeDocument/2006/relationships/hyperlink" Target="https://doi.org/10.1128/aem.35.1.142-145.1978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doi.org/10.1016/j.prevetmed.2018.11.013" TargetMode="External"/><Relationship Id="rId14" Type="http://schemas.openxmlformats.org/officeDocument/2006/relationships/hyperlink" Target="https://doi.org/10.3390/v12101118" TargetMode="External"/><Relationship Id="rId22" Type="http://schemas.openxmlformats.org/officeDocument/2006/relationships/hyperlink" Target="https://mpi.govt.nz/document-vault/2821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9dfffa-7ead-4bc0-b09c-9c9e2c5e868e" xsi:nil="true"/>
    <lcf76f155ced4ddcb4097134ff3c332f xmlns="96044c10-16ea-431c-8971-76ac4b1182a7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9B760AFC87EC24B9F73F684A7F966C9" ma:contentTypeVersion="11" ma:contentTypeDescription="Creare un nuovo documento." ma:contentTypeScope="" ma:versionID="96ad4b0192cccf8dbe9f3fb02caaa7ea">
  <xsd:schema xmlns:xsd="http://www.w3.org/2001/XMLSchema" xmlns:xs="http://www.w3.org/2001/XMLSchema" xmlns:p="http://schemas.microsoft.com/office/2006/metadata/properties" xmlns:ns2="96044c10-16ea-431c-8971-76ac4b1182a7" xmlns:ns3="dd9dfffa-7ead-4bc0-b09c-9c9e2c5e868e" targetNamespace="http://schemas.microsoft.com/office/2006/metadata/properties" ma:root="true" ma:fieldsID="ba8b79069d5330ac99451e883b624834" ns2:_="" ns3:_="">
    <xsd:import namespace="96044c10-16ea-431c-8971-76ac4b1182a7"/>
    <xsd:import namespace="dd9dfffa-7ead-4bc0-b09c-9c9e2c5e86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044c10-16ea-431c-8971-76ac4b1182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f0710f89-c776-48b9-a46e-43c0dadfc7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9dfffa-7ead-4bc0-b09c-9c9e2c5e868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f24d34e-fc32-4d69-83ce-48d29e07664e}" ma:internalName="TaxCatchAll" ma:showField="CatchAllData" ma:web="dd9dfffa-7ead-4bc0-b09c-9c9e2c5e86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E97293-8211-410A-B556-761717C2E2FE}">
  <ds:schemaRefs>
    <ds:schemaRef ds:uri="http://schemas.microsoft.com/office/2006/metadata/properties"/>
    <ds:schemaRef ds:uri="http://purl.org/dc/dcmitype/"/>
    <ds:schemaRef ds:uri="http://schemas.microsoft.com/office/2006/documentManagement/types"/>
    <ds:schemaRef ds:uri="http://purl.org/dc/elements/1.1/"/>
    <ds:schemaRef ds:uri="http://purl.org/dc/terms/"/>
    <ds:schemaRef ds:uri="http://schemas.openxmlformats.org/package/2006/metadata/core-properties"/>
    <ds:schemaRef ds:uri="http://schemas.microsoft.com/office/infopath/2007/PartnerControls"/>
    <ds:schemaRef ds:uri="dd9dfffa-7ead-4bc0-b09c-9c9e2c5e868e"/>
    <ds:schemaRef ds:uri="96044c10-16ea-431c-8971-76ac4b1182a7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DBA11B32-F3C4-420A-87CE-A8EC7C51206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BA14F0A-B8DE-45B6-B09C-1DD6AD3EF01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11</Pages>
  <Words>5122</Words>
  <Characters>29197</Characters>
  <Application>Microsoft Office Word</Application>
  <DocSecurity>0</DocSecurity>
  <Lines>243</Lines>
  <Paragraphs>68</Paragraphs>
  <ScaleCrop>false</ScaleCrop>
  <Company/>
  <LinksUpToDate>false</LinksUpToDate>
  <CharactersWithSpaces>34251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ZareaA</dc:creator>
  <cp:keywords/>
  <dc:description/>
  <cp:lastModifiedBy>Roberto Condoleo</cp:lastModifiedBy>
  <cp:revision>17</cp:revision>
  <dcterms:created xsi:type="dcterms:W3CDTF">2026-01-22T15:01:00Z</dcterms:created>
  <dcterms:modified xsi:type="dcterms:W3CDTF">2026-08-06T10:59:00Z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0x01010089B760AFC87EC24B9F73F684A7F966C9</vt:lpwstr>
  </property>
  <property fmtid="{D5CDD505-2E9C-101B-9397-08002B2CF9AE}" pid="3" name="MediaServiceImageTags">
    <vt:lpwstr/>
  </property>
</Properties>
</file>